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95DC9" w14:textId="77777777" w:rsidR="00985F6F" w:rsidRDefault="00985F6F" w:rsidP="009A3B7E">
      <w:pPr>
        <w:jc w:val="both"/>
        <w:rPr>
          <w:b/>
          <w:bCs/>
          <w:sz w:val="36"/>
        </w:rPr>
      </w:pPr>
      <w:bookmarkStart w:id="0" w:name="_Toc12540107"/>
      <w:bookmarkStart w:id="1" w:name="_Toc18497195"/>
    </w:p>
    <w:p w14:paraId="030F99DA" w14:textId="77777777" w:rsidR="00985F6F" w:rsidRDefault="00985F6F" w:rsidP="009A3B7E">
      <w:pPr>
        <w:jc w:val="both"/>
        <w:rPr>
          <w:b/>
          <w:bCs/>
          <w:sz w:val="36"/>
        </w:rPr>
      </w:pPr>
    </w:p>
    <w:p w14:paraId="088DEBA8" w14:textId="77777777" w:rsidR="000F2439" w:rsidRDefault="000F2439" w:rsidP="009A3B7E">
      <w:pPr>
        <w:jc w:val="both"/>
        <w:rPr>
          <w:b/>
          <w:bCs/>
          <w:sz w:val="36"/>
        </w:rPr>
      </w:pPr>
    </w:p>
    <w:p w14:paraId="47964CFF" w14:textId="77777777" w:rsidR="00A07F2E" w:rsidRDefault="00D726C4" w:rsidP="00985F6F">
      <w:pPr>
        <w:jc w:val="center"/>
        <w:rPr>
          <w:b/>
          <w:bCs/>
          <w:sz w:val="36"/>
        </w:rPr>
      </w:pPr>
      <w:r>
        <w:rPr>
          <w:b/>
          <w:bCs/>
          <w:sz w:val="36"/>
        </w:rPr>
        <w:t xml:space="preserve">Aktualizace </w:t>
      </w:r>
      <w:r w:rsidR="00A07F2E">
        <w:rPr>
          <w:b/>
          <w:bCs/>
          <w:sz w:val="36"/>
        </w:rPr>
        <w:t>Národní</w:t>
      </w:r>
      <w:r>
        <w:rPr>
          <w:b/>
          <w:bCs/>
          <w:sz w:val="36"/>
        </w:rPr>
        <w:t>ho</w:t>
      </w:r>
      <w:r w:rsidR="00BE3542">
        <w:rPr>
          <w:b/>
          <w:bCs/>
          <w:sz w:val="36"/>
        </w:rPr>
        <w:t xml:space="preserve"> </w:t>
      </w:r>
      <w:r w:rsidR="00A07F2E">
        <w:rPr>
          <w:b/>
          <w:bCs/>
          <w:sz w:val="36"/>
        </w:rPr>
        <w:t>akční</w:t>
      </w:r>
      <w:r>
        <w:rPr>
          <w:b/>
          <w:bCs/>
          <w:sz w:val="36"/>
        </w:rPr>
        <w:t>ho</w:t>
      </w:r>
      <w:r w:rsidR="00BE3542">
        <w:rPr>
          <w:b/>
          <w:bCs/>
          <w:sz w:val="36"/>
        </w:rPr>
        <w:t xml:space="preserve"> </w:t>
      </w:r>
      <w:r w:rsidR="00A07F2E">
        <w:rPr>
          <w:b/>
          <w:bCs/>
          <w:sz w:val="36"/>
        </w:rPr>
        <w:t>plán</w:t>
      </w:r>
      <w:r>
        <w:rPr>
          <w:b/>
          <w:bCs/>
          <w:sz w:val="36"/>
        </w:rPr>
        <w:t>u</w:t>
      </w:r>
      <w:r w:rsidR="00A07F2E">
        <w:rPr>
          <w:b/>
          <w:bCs/>
          <w:sz w:val="36"/>
        </w:rPr>
        <w:t xml:space="preserve"> </w:t>
      </w:r>
      <w:r w:rsidR="000F2439">
        <w:rPr>
          <w:b/>
          <w:bCs/>
          <w:sz w:val="36"/>
        </w:rPr>
        <w:t>č</w:t>
      </w:r>
      <w:r w:rsidR="00A07F2E">
        <w:rPr>
          <w:b/>
          <w:bCs/>
          <w:sz w:val="36"/>
        </w:rPr>
        <w:t>ist</w:t>
      </w:r>
      <w:r w:rsidR="000F2439">
        <w:rPr>
          <w:b/>
          <w:bCs/>
          <w:sz w:val="36"/>
        </w:rPr>
        <w:t>é</w:t>
      </w:r>
      <w:r w:rsidR="00A07F2E">
        <w:rPr>
          <w:b/>
          <w:bCs/>
          <w:sz w:val="36"/>
        </w:rPr>
        <w:t xml:space="preserve"> mobilit</w:t>
      </w:r>
      <w:r w:rsidR="000F2439">
        <w:rPr>
          <w:b/>
          <w:bCs/>
          <w:sz w:val="36"/>
        </w:rPr>
        <w:t>y</w:t>
      </w:r>
      <w:r w:rsidR="00985F6F">
        <w:rPr>
          <w:b/>
          <w:bCs/>
          <w:sz w:val="36"/>
        </w:rPr>
        <w:t xml:space="preserve"> (NAP CM)</w:t>
      </w:r>
    </w:p>
    <w:p w14:paraId="6C14AF9C" w14:textId="77777777" w:rsidR="00AF3C37" w:rsidRDefault="00985F6F" w:rsidP="00985F6F">
      <w:pPr>
        <w:jc w:val="center"/>
        <w:rPr>
          <w:b/>
          <w:bCs/>
          <w:sz w:val="36"/>
        </w:rPr>
      </w:pPr>
      <w:r>
        <w:rPr>
          <w:b/>
          <w:bCs/>
          <w:sz w:val="36"/>
        </w:rPr>
        <w:t>2019</w:t>
      </w:r>
    </w:p>
    <w:p w14:paraId="70A1F48C" w14:textId="77777777" w:rsidR="00A07F2E" w:rsidRDefault="00A07F2E" w:rsidP="009A3B7E">
      <w:pPr>
        <w:jc w:val="both"/>
        <w:rPr>
          <w:b/>
          <w:bCs/>
          <w:sz w:val="36"/>
        </w:rPr>
      </w:pPr>
    </w:p>
    <w:p w14:paraId="102F88E3" w14:textId="77777777" w:rsidR="00A07F2E" w:rsidRDefault="00A07F2E" w:rsidP="009A3B7E">
      <w:pPr>
        <w:jc w:val="both"/>
        <w:rPr>
          <w:b/>
          <w:bCs/>
          <w:sz w:val="36"/>
        </w:rPr>
      </w:pPr>
    </w:p>
    <w:p w14:paraId="0AA320D8" w14:textId="77777777" w:rsidR="00A07F2E" w:rsidRDefault="00A07F2E" w:rsidP="009A3B7E">
      <w:pPr>
        <w:jc w:val="both"/>
        <w:rPr>
          <w:b/>
          <w:bCs/>
          <w:sz w:val="36"/>
        </w:rPr>
      </w:pPr>
    </w:p>
    <w:p w14:paraId="2F2FB0AC" w14:textId="77777777" w:rsidR="00A07F2E" w:rsidRDefault="00A07F2E" w:rsidP="009A3B7E">
      <w:pPr>
        <w:jc w:val="both"/>
        <w:rPr>
          <w:b/>
          <w:bCs/>
          <w:sz w:val="36"/>
        </w:rPr>
      </w:pPr>
    </w:p>
    <w:p w14:paraId="539984C9" w14:textId="77777777" w:rsidR="00A07F2E" w:rsidRDefault="00A07F2E" w:rsidP="009A3B7E">
      <w:pPr>
        <w:jc w:val="both"/>
        <w:rPr>
          <w:b/>
          <w:bCs/>
          <w:sz w:val="36"/>
        </w:rPr>
      </w:pPr>
    </w:p>
    <w:p w14:paraId="4387E5BE" w14:textId="77777777" w:rsidR="00A07F2E" w:rsidRDefault="00A07F2E" w:rsidP="009A3B7E">
      <w:pPr>
        <w:jc w:val="both"/>
        <w:rPr>
          <w:b/>
          <w:bCs/>
          <w:sz w:val="36"/>
        </w:rPr>
      </w:pPr>
    </w:p>
    <w:p w14:paraId="4F8571E1" w14:textId="77777777" w:rsidR="00A07F2E" w:rsidRDefault="00A07F2E" w:rsidP="009A3B7E">
      <w:pPr>
        <w:jc w:val="both"/>
        <w:rPr>
          <w:b/>
          <w:bCs/>
          <w:sz w:val="36"/>
        </w:rPr>
      </w:pPr>
    </w:p>
    <w:p w14:paraId="4D6EA5FF" w14:textId="77777777" w:rsidR="00A9566E" w:rsidRDefault="00A9566E" w:rsidP="009A3B7E">
      <w:pPr>
        <w:jc w:val="both"/>
        <w:rPr>
          <w:b/>
          <w:bCs/>
          <w:sz w:val="36"/>
        </w:rPr>
      </w:pPr>
    </w:p>
    <w:p w14:paraId="28E2F8A3" w14:textId="77777777" w:rsidR="00A9566E" w:rsidRDefault="00A9566E" w:rsidP="009A3B7E">
      <w:pPr>
        <w:jc w:val="both"/>
        <w:rPr>
          <w:b/>
          <w:bCs/>
          <w:sz w:val="36"/>
        </w:rPr>
      </w:pPr>
    </w:p>
    <w:p w14:paraId="26694641" w14:textId="77777777" w:rsidR="00A9566E" w:rsidRDefault="00A9566E" w:rsidP="009A3B7E">
      <w:pPr>
        <w:jc w:val="both"/>
        <w:rPr>
          <w:b/>
          <w:bCs/>
          <w:sz w:val="36"/>
        </w:rPr>
      </w:pPr>
    </w:p>
    <w:p w14:paraId="2FB8F891" w14:textId="77777777" w:rsidR="00A9566E" w:rsidRDefault="00A9566E" w:rsidP="009A3B7E">
      <w:pPr>
        <w:jc w:val="both"/>
        <w:rPr>
          <w:b/>
          <w:bCs/>
          <w:sz w:val="36"/>
        </w:rPr>
      </w:pPr>
    </w:p>
    <w:p w14:paraId="66249B0E" w14:textId="77777777" w:rsidR="00A9566E" w:rsidRDefault="00E57E7F" w:rsidP="009A3B7E">
      <w:pPr>
        <w:jc w:val="both"/>
        <w:rPr>
          <w:b/>
          <w:bCs/>
          <w:sz w:val="36"/>
        </w:rPr>
      </w:pPr>
      <w:r>
        <w:rPr>
          <w:b/>
          <w:bCs/>
          <w:noProof/>
          <w:sz w:val="36"/>
        </w:rPr>
        <w:drawing>
          <wp:anchor distT="0" distB="0" distL="114300" distR="114300" simplePos="0" relativeHeight="251649024" behindDoc="0" locked="0" layoutInCell="1" allowOverlap="1" wp14:anchorId="0C006B97" wp14:editId="072C30B6">
            <wp:simplePos x="0" y="0"/>
            <wp:positionH relativeFrom="column">
              <wp:posOffset>1496060</wp:posOffset>
            </wp:positionH>
            <wp:positionV relativeFrom="paragraph">
              <wp:posOffset>577355</wp:posOffset>
            </wp:positionV>
            <wp:extent cx="2756931" cy="971550"/>
            <wp:effectExtent l="0" t="0" r="5715"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01507201952_logo%20MZP.png"/>
                    <pic:cNvPicPr/>
                  </pic:nvPicPr>
                  <pic:blipFill>
                    <a:blip r:embed="rId8">
                      <a:extLst>
                        <a:ext uri="{28A0092B-C50C-407E-A947-70E740481C1C}">
                          <a14:useLocalDpi xmlns:a14="http://schemas.microsoft.com/office/drawing/2010/main" val="0"/>
                        </a:ext>
                      </a:extLst>
                    </a:blip>
                    <a:stretch>
                      <a:fillRect/>
                    </a:stretch>
                  </pic:blipFill>
                  <pic:spPr>
                    <a:xfrm>
                      <a:off x="0" y="0"/>
                      <a:ext cx="2756931" cy="971550"/>
                    </a:xfrm>
                    <a:prstGeom prst="rect">
                      <a:avLst/>
                    </a:prstGeom>
                  </pic:spPr>
                </pic:pic>
              </a:graphicData>
            </a:graphic>
            <wp14:sizeRelH relativeFrom="margin">
              <wp14:pctWidth>0</wp14:pctWidth>
            </wp14:sizeRelH>
            <wp14:sizeRelV relativeFrom="margin">
              <wp14:pctHeight>0</wp14:pctHeight>
            </wp14:sizeRelV>
          </wp:anchor>
        </w:drawing>
      </w:r>
      <w:r>
        <w:rPr>
          <w:b/>
          <w:bCs/>
          <w:noProof/>
          <w:sz w:val="36"/>
        </w:rPr>
        <w:drawing>
          <wp:anchor distT="0" distB="0" distL="114300" distR="114300" simplePos="0" relativeHeight="251668480" behindDoc="0" locked="0" layoutInCell="1" allowOverlap="1" wp14:anchorId="45557A14" wp14:editId="7B392170">
            <wp:simplePos x="0" y="0"/>
            <wp:positionH relativeFrom="column">
              <wp:posOffset>4367530</wp:posOffset>
            </wp:positionH>
            <wp:positionV relativeFrom="paragraph">
              <wp:posOffset>292100</wp:posOffset>
            </wp:positionV>
            <wp:extent cx="1982470" cy="1256932"/>
            <wp:effectExtent l="0" t="0" r="0" b="63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tažený-soubo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2470" cy="1256932"/>
                    </a:xfrm>
                    <a:prstGeom prst="rect">
                      <a:avLst/>
                    </a:prstGeom>
                  </pic:spPr>
                </pic:pic>
              </a:graphicData>
            </a:graphic>
            <wp14:sizeRelH relativeFrom="margin">
              <wp14:pctWidth>0</wp14:pctWidth>
            </wp14:sizeRelH>
            <wp14:sizeRelV relativeFrom="margin">
              <wp14:pctHeight>0</wp14:pctHeight>
            </wp14:sizeRelV>
          </wp:anchor>
        </w:drawing>
      </w:r>
      <w:r>
        <w:rPr>
          <w:b/>
          <w:bCs/>
          <w:noProof/>
          <w:sz w:val="36"/>
        </w:rPr>
        <w:drawing>
          <wp:anchor distT="0" distB="0" distL="114300" distR="114300" simplePos="0" relativeHeight="251646976" behindDoc="0" locked="0" layoutInCell="1" allowOverlap="1" wp14:anchorId="59C4AD2A" wp14:editId="6933F840">
            <wp:simplePos x="0" y="0"/>
            <wp:positionH relativeFrom="column">
              <wp:posOffset>-209550</wp:posOffset>
            </wp:positionH>
            <wp:positionV relativeFrom="paragraph">
              <wp:posOffset>339090</wp:posOffset>
            </wp:positionV>
            <wp:extent cx="1619250" cy="1019175"/>
            <wp:effectExtent l="0" t="0" r="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PO.gif"/>
                    <pic:cNvPicPr/>
                  </pic:nvPicPr>
                  <pic:blipFill>
                    <a:blip r:embed="rId10">
                      <a:extLst>
                        <a:ext uri="{28A0092B-C50C-407E-A947-70E740481C1C}">
                          <a14:useLocalDpi xmlns:a14="http://schemas.microsoft.com/office/drawing/2010/main" val="0"/>
                        </a:ext>
                      </a:extLst>
                    </a:blip>
                    <a:stretch>
                      <a:fillRect/>
                    </a:stretch>
                  </pic:blipFill>
                  <pic:spPr>
                    <a:xfrm>
                      <a:off x="0" y="0"/>
                      <a:ext cx="1619250" cy="1019175"/>
                    </a:xfrm>
                    <a:prstGeom prst="rect">
                      <a:avLst/>
                    </a:prstGeom>
                  </pic:spPr>
                </pic:pic>
              </a:graphicData>
            </a:graphic>
          </wp:anchor>
        </w:drawing>
      </w:r>
    </w:p>
    <w:p w14:paraId="255D53C3" w14:textId="77777777" w:rsidR="00A07F2E" w:rsidRPr="00AF3C37" w:rsidRDefault="00A07F2E" w:rsidP="00AF3C37">
      <w:pPr>
        <w:jc w:val="both"/>
        <w:rPr>
          <w:b/>
          <w:bCs/>
          <w:sz w:val="36"/>
        </w:rPr>
        <w:sectPr w:rsidR="00A07F2E" w:rsidRPr="00AF3C37" w:rsidSect="00596A32">
          <w:headerReference w:type="default" r:id="rId11"/>
          <w:footerReference w:type="even" r:id="rId12"/>
          <w:footerReference w:type="default" r:id="rId13"/>
          <w:pgSz w:w="11906" w:h="16838"/>
          <w:pgMar w:top="3594" w:right="1417" w:bottom="1417" w:left="1417" w:header="708" w:footer="708" w:gutter="0"/>
          <w:cols w:space="708"/>
          <w:titlePg/>
          <w:docGrid w:linePitch="360"/>
        </w:sectPr>
      </w:pPr>
    </w:p>
    <w:p w14:paraId="086313FE" w14:textId="77777777" w:rsidR="00270ADF" w:rsidRDefault="00270ADF" w:rsidP="009A3B7E">
      <w:pPr>
        <w:pStyle w:val="Nadpisobsahuaseznamu"/>
        <w:jc w:val="both"/>
      </w:pPr>
    </w:p>
    <w:p w14:paraId="5C02BAEF" w14:textId="77777777" w:rsidR="00270ADF" w:rsidRDefault="00270ADF">
      <w:pPr>
        <w:spacing w:before="0" w:after="200" w:line="276" w:lineRule="auto"/>
        <w:rPr>
          <w:rFonts w:cs="Arial"/>
          <w:b/>
          <w:bCs/>
          <w:caps/>
          <w:noProof/>
          <w:sz w:val="28"/>
          <w:szCs w:val="22"/>
        </w:rPr>
      </w:pPr>
      <w:r>
        <w:br w:type="page"/>
      </w:r>
    </w:p>
    <w:p w14:paraId="6FCA3D7C" w14:textId="77777777" w:rsidR="00A07F2E" w:rsidRDefault="00A07F2E" w:rsidP="009A3B7E">
      <w:pPr>
        <w:pStyle w:val="Nadpisobsahuaseznamu"/>
        <w:jc w:val="both"/>
      </w:pPr>
      <w:r>
        <w:lastRenderedPageBreak/>
        <w:t>obsah</w:t>
      </w:r>
    </w:p>
    <w:p w14:paraId="6AF358B3" w14:textId="77777777" w:rsidR="005A1247" w:rsidRDefault="008C53DF">
      <w:pPr>
        <w:pStyle w:val="Obsah1"/>
        <w:rPr>
          <w:rFonts w:asciiTheme="minorHAnsi" w:eastAsiaTheme="minorEastAsia" w:hAnsiTheme="minorHAnsi" w:cstheme="minorBidi"/>
          <w:b w:val="0"/>
          <w:bCs w:val="0"/>
          <w:sz w:val="22"/>
        </w:rPr>
      </w:pPr>
      <w:r>
        <w:rPr>
          <w:b w:val="0"/>
          <w:bCs w:val="0"/>
        </w:rPr>
        <w:fldChar w:fldCharType="begin"/>
      </w:r>
      <w:r>
        <w:rPr>
          <w:b w:val="0"/>
          <w:bCs w:val="0"/>
        </w:rPr>
        <w:instrText xml:space="preserve"> TOC \o "1-2" \h \z \u </w:instrText>
      </w:r>
      <w:r>
        <w:rPr>
          <w:b w:val="0"/>
          <w:bCs w:val="0"/>
        </w:rPr>
        <w:fldChar w:fldCharType="separate"/>
      </w:r>
      <w:hyperlink w:anchor="_Toc34387126" w:history="1">
        <w:r w:rsidR="005A1247" w:rsidRPr="00950CD1">
          <w:rPr>
            <w:rStyle w:val="Hypertextovodkaz"/>
          </w:rPr>
          <w:t>1.</w:t>
        </w:r>
        <w:r w:rsidR="005A1247">
          <w:rPr>
            <w:rFonts w:asciiTheme="minorHAnsi" w:eastAsiaTheme="minorEastAsia" w:hAnsiTheme="minorHAnsi" w:cstheme="minorBidi"/>
            <w:b w:val="0"/>
            <w:bCs w:val="0"/>
            <w:sz w:val="22"/>
          </w:rPr>
          <w:tab/>
        </w:r>
        <w:r w:rsidR="005A1247" w:rsidRPr="00950CD1">
          <w:rPr>
            <w:rStyle w:val="Hypertextovodkaz"/>
          </w:rPr>
          <w:t>Úvod</w:t>
        </w:r>
        <w:r w:rsidR="005A1247">
          <w:rPr>
            <w:webHidden/>
          </w:rPr>
          <w:tab/>
        </w:r>
        <w:r w:rsidR="005A1247">
          <w:rPr>
            <w:webHidden/>
          </w:rPr>
          <w:fldChar w:fldCharType="begin"/>
        </w:r>
        <w:r w:rsidR="005A1247">
          <w:rPr>
            <w:webHidden/>
          </w:rPr>
          <w:instrText xml:space="preserve"> PAGEREF _Toc34387126 \h </w:instrText>
        </w:r>
        <w:r w:rsidR="005A1247">
          <w:rPr>
            <w:webHidden/>
          </w:rPr>
        </w:r>
        <w:r w:rsidR="005A1247">
          <w:rPr>
            <w:webHidden/>
          </w:rPr>
          <w:fldChar w:fldCharType="separate"/>
        </w:r>
        <w:r w:rsidR="005A1247">
          <w:rPr>
            <w:webHidden/>
          </w:rPr>
          <w:t>5</w:t>
        </w:r>
        <w:r w:rsidR="005A1247">
          <w:rPr>
            <w:webHidden/>
          </w:rPr>
          <w:fldChar w:fldCharType="end"/>
        </w:r>
      </w:hyperlink>
    </w:p>
    <w:p w14:paraId="149EAA44"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27" w:history="1">
        <w:r w:rsidR="005A1247" w:rsidRPr="00950CD1">
          <w:rPr>
            <w:rStyle w:val="Hypertextovodkaz"/>
            <w:noProof/>
          </w:rPr>
          <w:t>1.1</w:t>
        </w:r>
        <w:r w:rsidR="005A1247">
          <w:rPr>
            <w:rFonts w:asciiTheme="minorHAnsi" w:eastAsiaTheme="minorEastAsia" w:hAnsiTheme="minorHAnsi" w:cstheme="minorBidi"/>
            <w:b w:val="0"/>
            <w:noProof/>
            <w:sz w:val="22"/>
          </w:rPr>
          <w:tab/>
        </w:r>
        <w:r w:rsidR="005A1247" w:rsidRPr="00950CD1">
          <w:rPr>
            <w:rStyle w:val="Hypertextovodkaz"/>
            <w:noProof/>
          </w:rPr>
          <w:t>Obecná východiska pro zpracování aktualizace NAP CM</w:t>
        </w:r>
        <w:r w:rsidR="005A1247">
          <w:rPr>
            <w:noProof/>
            <w:webHidden/>
          </w:rPr>
          <w:tab/>
        </w:r>
        <w:r w:rsidR="005A1247">
          <w:rPr>
            <w:noProof/>
            <w:webHidden/>
          </w:rPr>
          <w:fldChar w:fldCharType="begin"/>
        </w:r>
        <w:r w:rsidR="005A1247">
          <w:rPr>
            <w:noProof/>
            <w:webHidden/>
          </w:rPr>
          <w:instrText xml:space="preserve"> PAGEREF _Toc34387127 \h </w:instrText>
        </w:r>
        <w:r w:rsidR="005A1247">
          <w:rPr>
            <w:noProof/>
            <w:webHidden/>
          </w:rPr>
        </w:r>
        <w:r w:rsidR="005A1247">
          <w:rPr>
            <w:noProof/>
            <w:webHidden/>
          </w:rPr>
          <w:fldChar w:fldCharType="separate"/>
        </w:r>
        <w:r w:rsidR="005A1247">
          <w:rPr>
            <w:noProof/>
            <w:webHidden/>
          </w:rPr>
          <w:t>5</w:t>
        </w:r>
        <w:r w:rsidR="005A1247">
          <w:rPr>
            <w:noProof/>
            <w:webHidden/>
          </w:rPr>
          <w:fldChar w:fldCharType="end"/>
        </w:r>
      </w:hyperlink>
    </w:p>
    <w:p w14:paraId="25F6A116"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28" w:history="1">
        <w:r w:rsidR="005A1247" w:rsidRPr="00950CD1">
          <w:rPr>
            <w:rStyle w:val="Hypertextovodkaz"/>
            <w:noProof/>
          </w:rPr>
          <w:t>1.2</w:t>
        </w:r>
        <w:r w:rsidR="005A1247">
          <w:rPr>
            <w:rFonts w:asciiTheme="minorHAnsi" w:eastAsiaTheme="minorEastAsia" w:hAnsiTheme="minorHAnsi" w:cstheme="minorBidi"/>
            <w:b w:val="0"/>
            <w:noProof/>
            <w:sz w:val="22"/>
          </w:rPr>
          <w:tab/>
        </w:r>
        <w:r w:rsidR="005A1247" w:rsidRPr="00950CD1">
          <w:rPr>
            <w:rStyle w:val="Hypertextovodkaz"/>
            <w:noProof/>
          </w:rPr>
          <w:t>Shrnutí cílů aktualizace NAP CM</w:t>
        </w:r>
        <w:r w:rsidR="005A1247">
          <w:rPr>
            <w:noProof/>
            <w:webHidden/>
          </w:rPr>
          <w:tab/>
        </w:r>
        <w:r w:rsidR="005A1247">
          <w:rPr>
            <w:noProof/>
            <w:webHidden/>
          </w:rPr>
          <w:fldChar w:fldCharType="begin"/>
        </w:r>
        <w:r w:rsidR="005A1247">
          <w:rPr>
            <w:noProof/>
            <w:webHidden/>
          </w:rPr>
          <w:instrText xml:space="preserve"> PAGEREF _Toc34387128 \h </w:instrText>
        </w:r>
        <w:r w:rsidR="005A1247">
          <w:rPr>
            <w:noProof/>
            <w:webHidden/>
          </w:rPr>
        </w:r>
        <w:r w:rsidR="005A1247">
          <w:rPr>
            <w:noProof/>
            <w:webHidden/>
          </w:rPr>
          <w:fldChar w:fldCharType="separate"/>
        </w:r>
        <w:r w:rsidR="005A1247">
          <w:rPr>
            <w:noProof/>
            <w:webHidden/>
          </w:rPr>
          <w:t>8</w:t>
        </w:r>
        <w:r w:rsidR="005A1247">
          <w:rPr>
            <w:noProof/>
            <w:webHidden/>
          </w:rPr>
          <w:fldChar w:fldCharType="end"/>
        </w:r>
      </w:hyperlink>
    </w:p>
    <w:p w14:paraId="018E8D2E" w14:textId="29E02CA4" w:rsidR="005A1247" w:rsidRDefault="00B85251">
      <w:pPr>
        <w:pStyle w:val="Obsah2"/>
        <w:tabs>
          <w:tab w:val="right" w:leader="dot" w:pos="9062"/>
        </w:tabs>
        <w:rPr>
          <w:rFonts w:asciiTheme="minorHAnsi" w:eastAsiaTheme="minorEastAsia" w:hAnsiTheme="minorHAnsi" w:cstheme="minorBidi"/>
          <w:b w:val="0"/>
          <w:noProof/>
          <w:sz w:val="22"/>
        </w:rPr>
      </w:pPr>
      <w:hyperlink w:anchor="_Toc34387129" w:history="1">
        <w:r w:rsidR="005A1247" w:rsidRPr="00950CD1">
          <w:rPr>
            <w:rStyle w:val="Hypertextovodkaz"/>
            <w:noProof/>
          </w:rPr>
          <w:t>1.3</w:t>
        </w:r>
        <w:r w:rsidR="005A1247">
          <w:rPr>
            <w:rFonts w:asciiTheme="minorHAnsi" w:eastAsiaTheme="minorEastAsia" w:hAnsiTheme="minorHAnsi" w:cstheme="minorBidi"/>
            <w:b w:val="0"/>
            <w:noProof/>
            <w:sz w:val="22"/>
          </w:rPr>
          <w:tab/>
        </w:r>
        <w:r w:rsidR="005A1247" w:rsidRPr="00950CD1">
          <w:rPr>
            <w:rStyle w:val="Hypertextovodkaz"/>
            <w:noProof/>
          </w:rPr>
          <w:t>Přínos Aktualizace NAP ČM ke snížení emisí NOx ze sektoru dopravy dle emisní projekce obsažené v</w:t>
        </w:r>
        <w:r w:rsidR="005A1247">
          <w:rPr>
            <w:rStyle w:val="Hypertextovodkaz"/>
            <w:noProof/>
          </w:rPr>
          <w:t> </w:t>
        </w:r>
        <w:r w:rsidR="005A1247" w:rsidRPr="00950CD1">
          <w:rPr>
            <w:rStyle w:val="Hypertextovodkaz"/>
            <w:noProof/>
          </w:rPr>
          <w:t>Aktualizaci Národního programu snižování emisí ČR</w:t>
        </w:r>
        <w:r w:rsidR="005A1247">
          <w:rPr>
            <w:noProof/>
            <w:webHidden/>
          </w:rPr>
          <w:tab/>
        </w:r>
        <w:r w:rsidR="005A1247">
          <w:rPr>
            <w:noProof/>
            <w:webHidden/>
          </w:rPr>
          <w:fldChar w:fldCharType="begin"/>
        </w:r>
        <w:r w:rsidR="005A1247">
          <w:rPr>
            <w:noProof/>
            <w:webHidden/>
          </w:rPr>
          <w:instrText xml:space="preserve"> PAGEREF _Toc34387129 \h </w:instrText>
        </w:r>
        <w:r w:rsidR="005A1247">
          <w:rPr>
            <w:noProof/>
            <w:webHidden/>
          </w:rPr>
        </w:r>
        <w:r w:rsidR="005A1247">
          <w:rPr>
            <w:noProof/>
            <w:webHidden/>
          </w:rPr>
          <w:fldChar w:fldCharType="separate"/>
        </w:r>
        <w:r w:rsidR="005A1247">
          <w:rPr>
            <w:noProof/>
            <w:webHidden/>
          </w:rPr>
          <w:t>10</w:t>
        </w:r>
        <w:r w:rsidR="005A1247">
          <w:rPr>
            <w:noProof/>
            <w:webHidden/>
          </w:rPr>
          <w:fldChar w:fldCharType="end"/>
        </w:r>
      </w:hyperlink>
    </w:p>
    <w:p w14:paraId="54CADC6D" w14:textId="3981F524" w:rsidR="005A1247" w:rsidRDefault="00B85251">
      <w:pPr>
        <w:pStyle w:val="Obsah1"/>
        <w:rPr>
          <w:rFonts w:asciiTheme="minorHAnsi" w:eastAsiaTheme="minorEastAsia" w:hAnsiTheme="minorHAnsi" w:cstheme="minorBidi"/>
          <w:b w:val="0"/>
          <w:bCs w:val="0"/>
          <w:sz w:val="22"/>
        </w:rPr>
      </w:pPr>
      <w:hyperlink w:anchor="_Toc34387130" w:history="1">
        <w:r w:rsidR="005A1247" w:rsidRPr="00950CD1">
          <w:rPr>
            <w:rStyle w:val="Hypertextovodkaz"/>
          </w:rPr>
          <w:t>2.</w:t>
        </w:r>
        <w:r w:rsidR="005A1247">
          <w:rPr>
            <w:rFonts w:asciiTheme="minorHAnsi" w:eastAsiaTheme="minorEastAsia" w:hAnsiTheme="minorHAnsi" w:cstheme="minorBidi"/>
            <w:b w:val="0"/>
            <w:bCs w:val="0"/>
            <w:sz w:val="22"/>
          </w:rPr>
          <w:tab/>
        </w:r>
        <w:r w:rsidR="005A1247" w:rsidRPr="00950CD1">
          <w:rPr>
            <w:rStyle w:val="Hypertextovodkaz"/>
          </w:rPr>
          <w:t>Elektromobilita v</w:t>
        </w:r>
        <w:r w:rsidR="005A1247">
          <w:rPr>
            <w:rStyle w:val="Hypertextovodkaz"/>
          </w:rPr>
          <w:t> </w:t>
        </w:r>
        <w:r w:rsidR="005A1247" w:rsidRPr="00950CD1">
          <w:rPr>
            <w:rStyle w:val="Hypertextovodkaz"/>
          </w:rPr>
          <w:t>silniční dopravě</w:t>
        </w:r>
        <w:r w:rsidR="005A1247">
          <w:rPr>
            <w:webHidden/>
          </w:rPr>
          <w:tab/>
        </w:r>
        <w:r w:rsidR="005A1247">
          <w:rPr>
            <w:webHidden/>
          </w:rPr>
          <w:fldChar w:fldCharType="begin"/>
        </w:r>
        <w:r w:rsidR="005A1247">
          <w:rPr>
            <w:webHidden/>
          </w:rPr>
          <w:instrText xml:space="preserve"> PAGEREF _Toc34387130 \h </w:instrText>
        </w:r>
        <w:r w:rsidR="005A1247">
          <w:rPr>
            <w:webHidden/>
          </w:rPr>
        </w:r>
        <w:r w:rsidR="005A1247">
          <w:rPr>
            <w:webHidden/>
          </w:rPr>
          <w:fldChar w:fldCharType="separate"/>
        </w:r>
        <w:r w:rsidR="005A1247">
          <w:rPr>
            <w:webHidden/>
          </w:rPr>
          <w:t>12</w:t>
        </w:r>
        <w:r w:rsidR="005A1247">
          <w:rPr>
            <w:webHidden/>
          </w:rPr>
          <w:fldChar w:fldCharType="end"/>
        </w:r>
      </w:hyperlink>
    </w:p>
    <w:p w14:paraId="05771CB7"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1" w:history="1">
        <w:r w:rsidR="005A1247" w:rsidRPr="00950CD1">
          <w:rPr>
            <w:rStyle w:val="Hypertextovodkaz"/>
            <w:noProof/>
          </w:rPr>
          <w:t>2.1</w:t>
        </w:r>
        <w:r w:rsidR="005A1247">
          <w:rPr>
            <w:rFonts w:asciiTheme="minorHAnsi" w:eastAsiaTheme="minorEastAsia" w:hAnsiTheme="minorHAnsi" w:cstheme="minorBidi"/>
            <w:b w:val="0"/>
            <w:noProof/>
            <w:sz w:val="22"/>
          </w:rPr>
          <w:tab/>
        </w:r>
        <w:r w:rsidR="005A1247" w:rsidRPr="00950CD1">
          <w:rPr>
            <w:rStyle w:val="Hypertextovodkaz"/>
            <w:noProof/>
          </w:rPr>
          <w:t>Východiska</w:t>
        </w:r>
        <w:r w:rsidR="005A1247">
          <w:rPr>
            <w:noProof/>
            <w:webHidden/>
          </w:rPr>
          <w:tab/>
        </w:r>
        <w:r w:rsidR="005A1247">
          <w:rPr>
            <w:noProof/>
            <w:webHidden/>
          </w:rPr>
          <w:fldChar w:fldCharType="begin"/>
        </w:r>
        <w:r w:rsidR="005A1247">
          <w:rPr>
            <w:noProof/>
            <w:webHidden/>
          </w:rPr>
          <w:instrText xml:space="preserve"> PAGEREF _Toc34387131 \h </w:instrText>
        </w:r>
        <w:r w:rsidR="005A1247">
          <w:rPr>
            <w:noProof/>
            <w:webHidden/>
          </w:rPr>
        </w:r>
        <w:r w:rsidR="005A1247">
          <w:rPr>
            <w:noProof/>
            <w:webHidden/>
          </w:rPr>
          <w:fldChar w:fldCharType="separate"/>
        </w:r>
        <w:r w:rsidR="005A1247">
          <w:rPr>
            <w:noProof/>
            <w:webHidden/>
          </w:rPr>
          <w:t>12</w:t>
        </w:r>
        <w:r w:rsidR="005A1247">
          <w:rPr>
            <w:noProof/>
            <w:webHidden/>
          </w:rPr>
          <w:fldChar w:fldCharType="end"/>
        </w:r>
      </w:hyperlink>
    </w:p>
    <w:p w14:paraId="459552A0" w14:textId="61057BB0"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2" w:history="1">
        <w:r w:rsidR="005A1247" w:rsidRPr="00950CD1">
          <w:rPr>
            <w:rStyle w:val="Hypertextovodkaz"/>
            <w:noProof/>
          </w:rPr>
          <w:t>2.2</w:t>
        </w:r>
        <w:r w:rsidR="005A1247">
          <w:rPr>
            <w:rFonts w:asciiTheme="minorHAnsi" w:eastAsiaTheme="minorEastAsia" w:hAnsiTheme="minorHAnsi" w:cstheme="minorBidi"/>
            <w:b w:val="0"/>
            <w:noProof/>
            <w:sz w:val="22"/>
          </w:rPr>
          <w:tab/>
        </w:r>
        <w:r w:rsidR="005A1247" w:rsidRPr="00950CD1">
          <w:rPr>
            <w:rStyle w:val="Hypertextovodkaz"/>
            <w:noProof/>
          </w:rPr>
          <w:t>Provázání s</w:t>
        </w:r>
        <w:r w:rsidR="005A1247">
          <w:rPr>
            <w:rStyle w:val="Hypertextovodkaz"/>
            <w:noProof/>
          </w:rPr>
          <w:t> </w:t>
        </w:r>
        <w:r w:rsidR="005A1247" w:rsidRPr="00950CD1">
          <w:rPr>
            <w:rStyle w:val="Hypertextovodkaz"/>
            <w:noProof/>
          </w:rPr>
          <w:t>jinými strategickými dokumenty a</w:t>
        </w:r>
        <w:r w:rsidR="005A1247">
          <w:rPr>
            <w:rStyle w:val="Hypertextovodkaz"/>
            <w:noProof/>
          </w:rPr>
          <w:t> </w:t>
        </w:r>
        <w:r w:rsidR="005A1247" w:rsidRPr="00950CD1">
          <w:rPr>
            <w:rStyle w:val="Hypertextovodkaz"/>
            <w:noProof/>
          </w:rPr>
          <w:t>strategiemi specifickými pro oblast elektromobility</w:t>
        </w:r>
        <w:r w:rsidR="005A1247">
          <w:rPr>
            <w:noProof/>
            <w:webHidden/>
          </w:rPr>
          <w:tab/>
        </w:r>
        <w:r w:rsidR="005A1247">
          <w:rPr>
            <w:noProof/>
            <w:webHidden/>
          </w:rPr>
          <w:fldChar w:fldCharType="begin"/>
        </w:r>
        <w:r w:rsidR="005A1247">
          <w:rPr>
            <w:noProof/>
            <w:webHidden/>
          </w:rPr>
          <w:instrText xml:space="preserve"> PAGEREF _Toc34387132 \h </w:instrText>
        </w:r>
        <w:r w:rsidR="005A1247">
          <w:rPr>
            <w:noProof/>
            <w:webHidden/>
          </w:rPr>
        </w:r>
        <w:r w:rsidR="005A1247">
          <w:rPr>
            <w:noProof/>
            <w:webHidden/>
          </w:rPr>
          <w:fldChar w:fldCharType="separate"/>
        </w:r>
        <w:r w:rsidR="005A1247">
          <w:rPr>
            <w:noProof/>
            <w:webHidden/>
          </w:rPr>
          <w:t>12</w:t>
        </w:r>
        <w:r w:rsidR="005A1247">
          <w:rPr>
            <w:noProof/>
            <w:webHidden/>
          </w:rPr>
          <w:fldChar w:fldCharType="end"/>
        </w:r>
      </w:hyperlink>
    </w:p>
    <w:p w14:paraId="0C8F9C2B"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3" w:history="1">
        <w:r w:rsidR="005A1247" w:rsidRPr="00950CD1">
          <w:rPr>
            <w:rStyle w:val="Hypertextovodkaz"/>
            <w:noProof/>
          </w:rPr>
          <w:t>2.3</w:t>
        </w:r>
        <w:r w:rsidR="005A1247">
          <w:rPr>
            <w:rFonts w:asciiTheme="minorHAnsi" w:eastAsiaTheme="minorEastAsia" w:hAnsiTheme="minorHAnsi" w:cstheme="minorBidi"/>
            <w:b w:val="0"/>
            <w:noProof/>
            <w:sz w:val="22"/>
          </w:rPr>
          <w:tab/>
        </w:r>
        <w:r w:rsidR="005A1247" w:rsidRPr="00950CD1">
          <w:rPr>
            <w:rStyle w:val="Hypertextovodkaz"/>
            <w:noProof/>
          </w:rPr>
          <w:t>Očekávaný vývoj</w:t>
        </w:r>
        <w:r w:rsidR="005A1247">
          <w:rPr>
            <w:noProof/>
            <w:webHidden/>
          </w:rPr>
          <w:tab/>
        </w:r>
        <w:r w:rsidR="005A1247">
          <w:rPr>
            <w:noProof/>
            <w:webHidden/>
          </w:rPr>
          <w:fldChar w:fldCharType="begin"/>
        </w:r>
        <w:r w:rsidR="005A1247">
          <w:rPr>
            <w:noProof/>
            <w:webHidden/>
          </w:rPr>
          <w:instrText xml:space="preserve"> PAGEREF _Toc34387133 \h </w:instrText>
        </w:r>
        <w:r w:rsidR="005A1247">
          <w:rPr>
            <w:noProof/>
            <w:webHidden/>
          </w:rPr>
        </w:r>
        <w:r w:rsidR="005A1247">
          <w:rPr>
            <w:noProof/>
            <w:webHidden/>
          </w:rPr>
          <w:fldChar w:fldCharType="separate"/>
        </w:r>
        <w:r w:rsidR="005A1247">
          <w:rPr>
            <w:noProof/>
            <w:webHidden/>
          </w:rPr>
          <w:t>13</w:t>
        </w:r>
        <w:r w:rsidR="005A1247">
          <w:rPr>
            <w:noProof/>
            <w:webHidden/>
          </w:rPr>
          <w:fldChar w:fldCharType="end"/>
        </w:r>
      </w:hyperlink>
    </w:p>
    <w:p w14:paraId="7C66E181"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4" w:history="1">
        <w:r w:rsidR="005A1247" w:rsidRPr="00950CD1">
          <w:rPr>
            <w:rStyle w:val="Hypertextovodkaz"/>
            <w:noProof/>
          </w:rPr>
          <w:t>2.4</w:t>
        </w:r>
        <w:r w:rsidR="005A1247">
          <w:rPr>
            <w:rFonts w:asciiTheme="minorHAnsi" w:eastAsiaTheme="minorEastAsia" w:hAnsiTheme="minorHAnsi" w:cstheme="minorBidi"/>
            <w:b w:val="0"/>
            <w:noProof/>
            <w:sz w:val="22"/>
          </w:rPr>
          <w:tab/>
        </w:r>
        <w:r w:rsidR="005A1247" w:rsidRPr="00950CD1">
          <w:rPr>
            <w:rStyle w:val="Hypertextovodkaz"/>
            <w:noProof/>
          </w:rPr>
          <w:t>Strategické cíle</w:t>
        </w:r>
        <w:r w:rsidR="005A1247">
          <w:rPr>
            <w:noProof/>
            <w:webHidden/>
          </w:rPr>
          <w:tab/>
        </w:r>
        <w:r w:rsidR="005A1247">
          <w:rPr>
            <w:noProof/>
            <w:webHidden/>
          </w:rPr>
          <w:fldChar w:fldCharType="begin"/>
        </w:r>
        <w:r w:rsidR="005A1247">
          <w:rPr>
            <w:noProof/>
            <w:webHidden/>
          </w:rPr>
          <w:instrText xml:space="preserve"> PAGEREF _Toc34387134 \h </w:instrText>
        </w:r>
        <w:r w:rsidR="005A1247">
          <w:rPr>
            <w:noProof/>
            <w:webHidden/>
          </w:rPr>
        </w:r>
        <w:r w:rsidR="005A1247">
          <w:rPr>
            <w:noProof/>
            <w:webHidden/>
          </w:rPr>
          <w:fldChar w:fldCharType="separate"/>
        </w:r>
        <w:r w:rsidR="005A1247">
          <w:rPr>
            <w:noProof/>
            <w:webHidden/>
          </w:rPr>
          <w:t>15</w:t>
        </w:r>
        <w:r w:rsidR="005A1247">
          <w:rPr>
            <w:noProof/>
            <w:webHidden/>
          </w:rPr>
          <w:fldChar w:fldCharType="end"/>
        </w:r>
      </w:hyperlink>
    </w:p>
    <w:p w14:paraId="11E6016F"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5" w:history="1">
        <w:r w:rsidR="005A1247" w:rsidRPr="00950CD1">
          <w:rPr>
            <w:rStyle w:val="Hypertextovodkaz"/>
            <w:noProof/>
          </w:rPr>
          <w:t>2.5</w:t>
        </w:r>
        <w:r w:rsidR="005A1247">
          <w:rPr>
            <w:rFonts w:asciiTheme="minorHAnsi" w:eastAsiaTheme="minorEastAsia" w:hAnsiTheme="minorHAnsi" w:cstheme="minorBidi"/>
            <w:b w:val="0"/>
            <w:noProof/>
            <w:sz w:val="22"/>
          </w:rPr>
          <w:tab/>
        </w:r>
        <w:r w:rsidR="005A1247" w:rsidRPr="00950CD1">
          <w:rPr>
            <w:rStyle w:val="Hypertextovodkaz"/>
            <w:noProof/>
          </w:rPr>
          <w:t>Klíčová opatření pro plnění cílů</w:t>
        </w:r>
        <w:r w:rsidR="005A1247">
          <w:rPr>
            <w:noProof/>
            <w:webHidden/>
          </w:rPr>
          <w:tab/>
        </w:r>
        <w:r w:rsidR="005A1247">
          <w:rPr>
            <w:noProof/>
            <w:webHidden/>
          </w:rPr>
          <w:fldChar w:fldCharType="begin"/>
        </w:r>
        <w:r w:rsidR="005A1247">
          <w:rPr>
            <w:noProof/>
            <w:webHidden/>
          </w:rPr>
          <w:instrText xml:space="preserve"> PAGEREF _Toc34387135 \h </w:instrText>
        </w:r>
        <w:r w:rsidR="005A1247">
          <w:rPr>
            <w:noProof/>
            <w:webHidden/>
          </w:rPr>
        </w:r>
        <w:r w:rsidR="005A1247">
          <w:rPr>
            <w:noProof/>
            <w:webHidden/>
          </w:rPr>
          <w:fldChar w:fldCharType="separate"/>
        </w:r>
        <w:r w:rsidR="005A1247">
          <w:rPr>
            <w:noProof/>
            <w:webHidden/>
          </w:rPr>
          <w:t>21</w:t>
        </w:r>
        <w:r w:rsidR="005A1247">
          <w:rPr>
            <w:noProof/>
            <w:webHidden/>
          </w:rPr>
          <w:fldChar w:fldCharType="end"/>
        </w:r>
      </w:hyperlink>
    </w:p>
    <w:p w14:paraId="3FD1C4A2"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6" w:history="1">
        <w:r w:rsidR="005A1247" w:rsidRPr="00950CD1">
          <w:rPr>
            <w:rStyle w:val="Hypertextovodkaz"/>
            <w:noProof/>
          </w:rPr>
          <w:t>2.6</w:t>
        </w:r>
        <w:r w:rsidR="005A1247">
          <w:rPr>
            <w:rFonts w:asciiTheme="minorHAnsi" w:eastAsiaTheme="minorEastAsia" w:hAnsiTheme="minorHAnsi" w:cstheme="minorBidi"/>
            <w:b w:val="0"/>
            <w:noProof/>
            <w:sz w:val="22"/>
          </w:rPr>
          <w:tab/>
        </w:r>
        <w:r w:rsidR="005A1247" w:rsidRPr="00950CD1">
          <w:rPr>
            <w:rStyle w:val="Hypertextovodkaz"/>
            <w:noProof/>
          </w:rPr>
          <w:t>Doporučení pro samosprávu</w:t>
        </w:r>
        <w:r w:rsidR="005A1247">
          <w:rPr>
            <w:noProof/>
            <w:webHidden/>
          </w:rPr>
          <w:tab/>
        </w:r>
        <w:r w:rsidR="005A1247">
          <w:rPr>
            <w:noProof/>
            <w:webHidden/>
          </w:rPr>
          <w:fldChar w:fldCharType="begin"/>
        </w:r>
        <w:r w:rsidR="005A1247">
          <w:rPr>
            <w:noProof/>
            <w:webHidden/>
          </w:rPr>
          <w:instrText xml:space="preserve"> PAGEREF _Toc34387136 \h </w:instrText>
        </w:r>
        <w:r w:rsidR="005A1247">
          <w:rPr>
            <w:noProof/>
            <w:webHidden/>
          </w:rPr>
        </w:r>
        <w:r w:rsidR="005A1247">
          <w:rPr>
            <w:noProof/>
            <w:webHidden/>
          </w:rPr>
          <w:fldChar w:fldCharType="separate"/>
        </w:r>
        <w:r w:rsidR="005A1247">
          <w:rPr>
            <w:noProof/>
            <w:webHidden/>
          </w:rPr>
          <w:t>24</w:t>
        </w:r>
        <w:r w:rsidR="005A1247">
          <w:rPr>
            <w:noProof/>
            <w:webHidden/>
          </w:rPr>
          <w:fldChar w:fldCharType="end"/>
        </w:r>
      </w:hyperlink>
    </w:p>
    <w:p w14:paraId="6D71555D" w14:textId="49280A06" w:rsidR="005A1247" w:rsidRDefault="00B85251">
      <w:pPr>
        <w:pStyle w:val="Obsah1"/>
        <w:rPr>
          <w:rFonts w:asciiTheme="minorHAnsi" w:eastAsiaTheme="minorEastAsia" w:hAnsiTheme="minorHAnsi" w:cstheme="minorBidi"/>
          <w:b w:val="0"/>
          <w:bCs w:val="0"/>
          <w:sz w:val="22"/>
        </w:rPr>
      </w:pPr>
      <w:hyperlink w:anchor="_Toc34387137" w:history="1">
        <w:r w:rsidR="005A1247" w:rsidRPr="00950CD1">
          <w:rPr>
            <w:rStyle w:val="Hypertextovodkaz"/>
          </w:rPr>
          <w:t>3.</w:t>
        </w:r>
        <w:r w:rsidR="005A1247">
          <w:rPr>
            <w:rFonts w:asciiTheme="minorHAnsi" w:eastAsiaTheme="minorEastAsia" w:hAnsiTheme="minorHAnsi" w:cstheme="minorBidi"/>
            <w:b w:val="0"/>
            <w:bCs w:val="0"/>
            <w:sz w:val="22"/>
          </w:rPr>
          <w:tab/>
        </w:r>
        <w:r w:rsidR="005A1247" w:rsidRPr="00950CD1">
          <w:rPr>
            <w:rStyle w:val="Hypertextovodkaz"/>
          </w:rPr>
          <w:t>Zemní plyn v</w:t>
        </w:r>
        <w:r w:rsidR="005A1247">
          <w:rPr>
            <w:rStyle w:val="Hypertextovodkaz"/>
          </w:rPr>
          <w:t> </w:t>
        </w:r>
        <w:r w:rsidR="005A1247" w:rsidRPr="00950CD1">
          <w:rPr>
            <w:rStyle w:val="Hypertextovodkaz"/>
          </w:rPr>
          <w:t>silniční dopravě</w:t>
        </w:r>
        <w:r w:rsidR="005A1247">
          <w:rPr>
            <w:webHidden/>
          </w:rPr>
          <w:tab/>
        </w:r>
        <w:r w:rsidR="005A1247">
          <w:rPr>
            <w:webHidden/>
          </w:rPr>
          <w:fldChar w:fldCharType="begin"/>
        </w:r>
        <w:r w:rsidR="005A1247">
          <w:rPr>
            <w:webHidden/>
          </w:rPr>
          <w:instrText xml:space="preserve"> PAGEREF _Toc34387137 \h </w:instrText>
        </w:r>
        <w:r w:rsidR="005A1247">
          <w:rPr>
            <w:webHidden/>
          </w:rPr>
        </w:r>
        <w:r w:rsidR="005A1247">
          <w:rPr>
            <w:webHidden/>
          </w:rPr>
          <w:fldChar w:fldCharType="separate"/>
        </w:r>
        <w:r w:rsidR="005A1247">
          <w:rPr>
            <w:webHidden/>
          </w:rPr>
          <w:t>26</w:t>
        </w:r>
        <w:r w:rsidR="005A1247">
          <w:rPr>
            <w:webHidden/>
          </w:rPr>
          <w:fldChar w:fldCharType="end"/>
        </w:r>
      </w:hyperlink>
    </w:p>
    <w:p w14:paraId="2FE4BACF"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8" w:history="1">
        <w:r w:rsidR="005A1247" w:rsidRPr="00950CD1">
          <w:rPr>
            <w:rStyle w:val="Hypertextovodkaz"/>
            <w:noProof/>
          </w:rPr>
          <w:t>3.1</w:t>
        </w:r>
        <w:r w:rsidR="005A1247">
          <w:rPr>
            <w:rFonts w:asciiTheme="minorHAnsi" w:eastAsiaTheme="minorEastAsia" w:hAnsiTheme="minorHAnsi" w:cstheme="minorBidi"/>
            <w:b w:val="0"/>
            <w:noProof/>
            <w:sz w:val="22"/>
          </w:rPr>
          <w:tab/>
        </w:r>
        <w:r w:rsidR="005A1247" w:rsidRPr="00950CD1">
          <w:rPr>
            <w:rStyle w:val="Hypertextovodkaz"/>
            <w:noProof/>
          </w:rPr>
          <w:t>Východiska</w:t>
        </w:r>
        <w:r w:rsidR="005A1247">
          <w:rPr>
            <w:noProof/>
            <w:webHidden/>
          </w:rPr>
          <w:tab/>
        </w:r>
        <w:r w:rsidR="005A1247">
          <w:rPr>
            <w:noProof/>
            <w:webHidden/>
          </w:rPr>
          <w:fldChar w:fldCharType="begin"/>
        </w:r>
        <w:r w:rsidR="005A1247">
          <w:rPr>
            <w:noProof/>
            <w:webHidden/>
          </w:rPr>
          <w:instrText xml:space="preserve"> PAGEREF _Toc34387138 \h </w:instrText>
        </w:r>
        <w:r w:rsidR="005A1247">
          <w:rPr>
            <w:noProof/>
            <w:webHidden/>
          </w:rPr>
        </w:r>
        <w:r w:rsidR="005A1247">
          <w:rPr>
            <w:noProof/>
            <w:webHidden/>
          </w:rPr>
          <w:fldChar w:fldCharType="separate"/>
        </w:r>
        <w:r w:rsidR="005A1247">
          <w:rPr>
            <w:noProof/>
            <w:webHidden/>
          </w:rPr>
          <w:t>26</w:t>
        </w:r>
        <w:r w:rsidR="005A1247">
          <w:rPr>
            <w:noProof/>
            <w:webHidden/>
          </w:rPr>
          <w:fldChar w:fldCharType="end"/>
        </w:r>
      </w:hyperlink>
    </w:p>
    <w:p w14:paraId="74DF71EF"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39" w:history="1">
        <w:r w:rsidR="005A1247" w:rsidRPr="00950CD1">
          <w:rPr>
            <w:rStyle w:val="Hypertextovodkaz"/>
            <w:noProof/>
          </w:rPr>
          <w:t>3.2</w:t>
        </w:r>
        <w:r w:rsidR="005A1247">
          <w:rPr>
            <w:rFonts w:asciiTheme="minorHAnsi" w:eastAsiaTheme="minorEastAsia" w:hAnsiTheme="minorHAnsi" w:cstheme="minorBidi"/>
            <w:b w:val="0"/>
            <w:noProof/>
            <w:sz w:val="22"/>
          </w:rPr>
          <w:tab/>
        </w:r>
        <w:r w:rsidR="005A1247" w:rsidRPr="00950CD1">
          <w:rPr>
            <w:rStyle w:val="Hypertextovodkaz"/>
            <w:noProof/>
          </w:rPr>
          <w:t>Očekávaný vývoj</w:t>
        </w:r>
        <w:r w:rsidR="005A1247">
          <w:rPr>
            <w:noProof/>
            <w:webHidden/>
          </w:rPr>
          <w:tab/>
        </w:r>
        <w:r w:rsidR="005A1247">
          <w:rPr>
            <w:noProof/>
            <w:webHidden/>
          </w:rPr>
          <w:fldChar w:fldCharType="begin"/>
        </w:r>
        <w:r w:rsidR="005A1247">
          <w:rPr>
            <w:noProof/>
            <w:webHidden/>
          </w:rPr>
          <w:instrText xml:space="preserve"> PAGEREF _Toc34387139 \h </w:instrText>
        </w:r>
        <w:r w:rsidR="005A1247">
          <w:rPr>
            <w:noProof/>
            <w:webHidden/>
          </w:rPr>
        </w:r>
        <w:r w:rsidR="005A1247">
          <w:rPr>
            <w:noProof/>
            <w:webHidden/>
          </w:rPr>
          <w:fldChar w:fldCharType="separate"/>
        </w:r>
        <w:r w:rsidR="005A1247">
          <w:rPr>
            <w:noProof/>
            <w:webHidden/>
          </w:rPr>
          <w:t>27</w:t>
        </w:r>
        <w:r w:rsidR="005A1247">
          <w:rPr>
            <w:noProof/>
            <w:webHidden/>
          </w:rPr>
          <w:fldChar w:fldCharType="end"/>
        </w:r>
      </w:hyperlink>
    </w:p>
    <w:p w14:paraId="3B22DCC1"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0" w:history="1">
        <w:r w:rsidR="005A1247" w:rsidRPr="00950CD1">
          <w:rPr>
            <w:rStyle w:val="Hypertextovodkaz"/>
            <w:noProof/>
          </w:rPr>
          <w:t>3.3</w:t>
        </w:r>
        <w:r w:rsidR="005A1247">
          <w:rPr>
            <w:rFonts w:asciiTheme="minorHAnsi" w:eastAsiaTheme="minorEastAsia" w:hAnsiTheme="minorHAnsi" w:cstheme="minorBidi"/>
            <w:b w:val="0"/>
            <w:noProof/>
            <w:sz w:val="22"/>
          </w:rPr>
          <w:tab/>
        </w:r>
        <w:r w:rsidR="005A1247" w:rsidRPr="00950CD1">
          <w:rPr>
            <w:rStyle w:val="Hypertextovodkaz"/>
            <w:noProof/>
          </w:rPr>
          <w:t>Strategické cíle</w:t>
        </w:r>
        <w:r w:rsidR="005A1247">
          <w:rPr>
            <w:noProof/>
            <w:webHidden/>
          </w:rPr>
          <w:tab/>
        </w:r>
        <w:r w:rsidR="005A1247">
          <w:rPr>
            <w:noProof/>
            <w:webHidden/>
          </w:rPr>
          <w:fldChar w:fldCharType="begin"/>
        </w:r>
        <w:r w:rsidR="005A1247">
          <w:rPr>
            <w:noProof/>
            <w:webHidden/>
          </w:rPr>
          <w:instrText xml:space="preserve"> PAGEREF _Toc34387140 \h </w:instrText>
        </w:r>
        <w:r w:rsidR="005A1247">
          <w:rPr>
            <w:noProof/>
            <w:webHidden/>
          </w:rPr>
        </w:r>
        <w:r w:rsidR="005A1247">
          <w:rPr>
            <w:noProof/>
            <w:webHidden/>
          </w:rPr>
          <w:fldChar w:fldCharType="separate"/>
        </w:r>
        <w:r w:rsidR="005A1247">
          <w:rPr>
            <w:noProof/>
            <w:webHidden/>
          </w:rPr>
          <w:t>27</w:t>
        </w:r>
        <w:r w:rsidR="005A1247">
          <w:rPr>
            <w:noProof/>
            <w:webHidden/>
          </w:rPr>
          <w:fldChar w:fldCharType="end"/>
        </w:r>
      </w:hyperlink>
    </w:p>
    <w:p w14:paraId="437BA690"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1" w:history="1">
        <w:r w:rsidR="005A1247" w:rsidRPr="00950CD1">
          <w:rPr>
            <w:rStyle w:val="Hypertextovodkaz"/>
            <w:noProof/>
          </w:rPr>
          <w:t>3.4</w:t>
        </w:r>
        <w:r w:rsidR="005A1247">
          <w:rPr>
            <w:rFonts w:asciiTheme="minorHAnsi" w:eastAsiaTheme="minorEastAsia" w:hAnsiTheme="minorHAnsi" w:cstheme="minorBidi"/>
            <w:b w:val="0"/>
            <w:noProof/>
            <w:sz w:val="22"/>
          </w:rPr>
          <w:tab/>
        </w:r>
        <w:r w:rsidR="005A1247" w:rsidRPr="00950CD1">
          <w:rPr>
            <w:rStyle w:val="Hypertextovodkaz"/>
            <w:noProof/>
          </w:rPr>
          <w:t>Klíčová opatření pro plnění cílů</w:t>
        </w:r>
        <w:r w:rsidR="005A1247">
          <w:rPr>
            <w:noProof/>
            <w:webHidden/>
          </w:rPr>
          <w:tab/>
        </w:r>
        <w:r w:rsidR="005A1247">
          <w:rPr>
            <w:noProof/>
            <w:webHidden/>
          </w:rPr>
          <w:fldChar w:fldCharType="begin"/>
        </w:r>
        <w:r w:rsidR="005A1247">
          <w:rPr>
            <w:noProof/>
            <w:webHidden/>
          </w:rPr>
          <w:instrText xml:space="preserve"> PAGEREF _Toc34387141 \h </w:instrText>
        </w:r>
        <w:r w:rsidR="005A1247">
          <w:rPr>
            <w:noProof/>
            <w:webHidden/>
          </w:rPr>
        </w:r>
        <w:r w:rsidR="005A1247">
          <w:rPr>
            <w:noProof/>
            <w:webHidden/>
          </w:rPr>
          <w:fldChar w:fldCharType="separate"/>
        </w:r>
        <w:r w:rsidR="005A1247">
          <w:rPr>
            <w:noProof/>
            <w:webHidden/>
          </w:rPr>
          <w:t>29</w:t>
        </w:r>
        <w:r w:rsidR="005A1247">
          <w:rPr>
            <w:noProof/>
            <w:webHidden/>
          </w:rPr>
          <w:fldChar w:fldCharType="end"/>
        </w:r>
      </w:hyperlink>
    </w:p>
    <w:p w14:paraId="79B1C2F8" w14:textId="7188F287" w:rsidR="005A1247" w:rsidRDefault="00B85251">
      <w:pPr>
        <w:pStyle w:val="Obsah1"/>
        <w:rPr>
          <w:rFonts w:asciiTheme="minorHAnsi" w:eastAsiaTheme="minorEastAsia" w:hAnsiTheme="minorHAnsi" w:cstheme="minorBidi"/>
          <w:b w:val="0"/>
          <w:bCs w:val="0"/>
          <w:sz w:val="22"/>
        </w:rPr>
      </w:pPr>
      <w:hyperlink w:anchor="_Toc34387142" w:history="1">
        <w:r w:rsidR="005A1247" w:rsidRPr="00950CD1">
          <w:rPr>
            <w:rStyle w:val="Hypertextovodkaz"/>
          </w:rPr>
          <w:t>4.</w:t>
        </w:r>
        <w:r w:rsidR="005A1247">
          <w:rPr>
            <w:rFonts w:asciiTheme="minorHAnsi" w:eastAsiaTheme="minorEastAsia" w:hAnsiTheme="minorHAnsi" w:cstheme="minorBidi"/>
            <w:b w:val="0"/>
            <w:bCs w:val="0"/>
            <w:sz w:val="22"/>
          </w:rPr>
          <w:tab/>
        </w:r>
        <w:r w:rsidR="005A1247" w:rsidRPr="00950CD1">
          <w:rPr>
            <w:rStyle w:val="Hypertextovodkaz"/>
          </w:rPr>
          <w:t>Vodíková elektromobilita v</w:t>
        </w:r>
        <w:r w:rsidR="005A1247">
          <w:rPr>
            <w:rStyle w:val="Hypertextovodkaz"/>
          </w:rPr>
          <w:t> </w:t>
        </w:r>
        <w:r w:rsidR="005A1247" w:rsidRPr="00950CD1">
          <w:rPr>
            <w:rStyle w:val="Hypertextovodkaz"/>
          </w:rPr>
          <w:t>silniční dopravě</w:t>
        </w:r>
        <w:r w:rsidR="005A1247">
          <w:rPr>
            <w:webHidden/>
          </w:rPr>
          <w:tab/>
        </w:r>
        <w:r w:rsidR="005A1247">
          <w:rPr>
            <w:webHidden/>
          </w:rPr>
          <w:fldChar w:fldCharType="begin"/>
        </w:r>
        <w:r w:rsidR="005A1247">
          <w:rPr>
            <w:webHidden/>
          </w:rPr>
          <w:instrText xml:space="preserve"> PAGEREF _Toc34387142 \h </w:instrText>
        </w:r>
        <w:r w:rsidR="005A1247">
          <w:rPr>
            <w:webHidden/>
          </w:rPr>
        </w:r>
        <w:r w:rsidR="005A1247">
          <w:rPr>
            <w:webHidden/>
          </w:rPr>
          <w:fldChar w:fldCharType="separate"/>
        </w:r>
        <w:r w:rsidR="005A1247">
          <w:rPr>
            <w:webHidden/>
          </w:rPr>
          <w:t>31</w:t>
        </w:r>
        <w:r w:rsidR="005A1247">
          <w:rPr>
            <w:webHidden/>
          </w:rPr>
          <w:fldChar w:fldCharType="end"/>
        </w:r>
      </w:hyperlink>
    </w:p>
    <w:p w14:paraId="33918A12"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3" w:history="1">
        <w:r w:rsidR="005A1247" w:rsidRPr="00950CD1">
          <w:rPr>
            <w:rStyle w:val="Hypertextovodkaz"/>
            <w:noProof/>
          </w:rPr>
          <w:t>4.1</w:t>
        </w:r>
        <w:r w:rsidR="005A1247">
          <w:rPr>
            <w:rFonts w:asciiTheme="minorHAnsi" w:eastAsiaTheme="minorEastAsia" w:hAnsiTheme="minorHAnsi" w:cstheme="minorBidi"/>
            <w:b w:val="0"/>
            <w:noProof/>
            <w:sz w:val="22"/>
          </w:rPr>
          <w:tab/>
        </w:r>
        <w:r w:rsidR="005A1247" w:rsidRPr="00950CD1">
          <w:rPr>
            <w:rStyle w:val="Hypertextovodkaz"/>
            <w:noProof/>
          </w:rPr>
          <w:t>Východiska</w:t>
        </w:r>
        <w:r w:rsidR="005A1247">
          <w:rPr>
            <w:noProof/>
            <w:webHidden/>
          </w:rPr>
          <w:tab/>
        </w:r>
        <w:r w:rsidR="005A1247">
          <w:rPr>
            <w:noProof/>
            <w:webHidden/>
          </w:rPr>
          <w:fldChar w:fldCharType="begin"/>
        </w:r>
        <w:r w:rsidR="005A1247">
          <w:rPr>
            <w:noProof/>
            <w:webHidden/>
          </w:rPr>
          <w:instrText xml:space="preserve"> PAGEREF _Toc34387143 \h </w:instrText>
        </w:r>
        <w:r w:rsidR="005A1247">
          <w:rPr>
            <w:noProof/>
            <w:webHidden/>
          </w:rPr>
        </w:r>
        <w:r w:rsidR="005A1247">
          <w:rPr>
            <w:noProof/>
            <w:webHidden/>
          </w:rPr>
          <w:fldChar w:fldCharType="separate"/>
        </w:r>
        <w:r w:rsidR="005A1247">
          <w:rPr>
            <w:noProof/>
            <w:webHidden/>
          </w:rPr>
          <w:t>31</w:t>
        </w:r>
        <w:r w:rsidR="005A1247">
          <w:rPr>
            <w:noProof/>
            <w:webHidden/>
          </w:rPr>
          <w:fldChar w:fldCharType="end"/>
        </w:r>
      </w:hyperlink>
    </w:p>
    <w:p w14:paraId="716AB69E"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4" w:history="1">
        <w:r w:rsidR="005A1247" w:rsidRPr="00950CD1">
          <w:rPr>
            <w:rStyle w:val="Hypertextovodkaz"/>
            <w:noProof/>
          </w:rPr>
          <w:t>4.2</w:t>
        </w:r>
        <w:r w:rsidR="005A1247">
          <w:rPr>
            <w:rFonts w:asciiTheme="minorHAnsi" w:eastAsiaTheme="minorEastAsia" w:hAnsiTheme="minorHAnsi" w:cstheme="minorBidi"/>
            <w:b w:val="0"/>
            <w:noProof/>
            <w:sz w:val="22"/>
          </w:rPr>
          <w:tab/>
        </w:r>
        <w:r w:rsidR="005A1247" w:rsidRPr="00950CD1">
          <w:rPr>
            <w:rStyle w:val="Hypertextovodkaz"/>
            <w:noProof/>
          </w:rPr>
          <w:t>Očekávaný vývoj</w:t>
        </w:r>
        <w:r w:rsidR="005A1247">
          <w:rPr>
            <w:noProof/>
            <w:webHidden/>
          </w:rPr>
          <w:tab/>
        </w:r>
        <w:r w:rsidR="005A1247">
          <w:rPr>
            <w:noProof/>
            <w:webHidden/>
          </w:rPr>
          <w:fldChar w:fldCharType="begin"/>
        </w:r>
        <w:r w:rsidR="005A1247">
          <w:rPr>
            <w:noProof/>
            <w:webHidden/>
          </w:rPr>
          <w:instrText xml:space="preserve"> PAGEREF _Toc34387144 \h </w:instrText>
        </w:r>
        <w:r w:rsidR="005A1247">
          <w:rPr>
            <w:noProof/>
            <w:webHidden/>
          </w:rPr>
        </w:r>
        <w:r w:rsidR="005A1247">
          <w:rPr>
            <w:noProof/>
            <w:webHidden/>
          </w:rPr>
          <w:fldChar w:fldCharType="separate"/>
        </w:r>
        <w:r w:rsidR="005A1247">
          <w:rPr>
            <w:noProof/>
            <w:webHidden/>
          </w:rPr>
          <w:t>31</w:t>
        </w:r>
        <w:r w:rsidR="005A1247">
          <w:rPr>
            <w:noProof/>
            <w:webHidden/>
          </w:rPr>
          <w:fldChar w:fldCharType="end"/>
        </w:r>
      </w:hyperlink>
    </w:p>
    <w:p w14:paraId="25ECC2B0"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5" w:history="1">
        <w:r w:rsidR="005A1247" w:rsidRPr="00950CD1">
          <w:rPr>
            <w:rStyle w:val="Hypertextovodkaz"/>
            <w:noProof/>
          </w:rPr>
          <w:t>4.3</w:t>
        </w:r>
        <w:r w:rsidR="005A1247">
          <w:rPr>
            <w:rFonts w:asciiTheme="minorHAnsi" w:eastAsiaTheme="minorEastAsia" w:hAnsiTheme="minorHAnsi" w:cstheme="minorBidi"/>
            <w:b w:val="0"/>
            <w:noProof/>
            <w:sz w:val="22"/>
          </w:rPr>
          <w:tab/>
        </w:r>
        <w:r w:rsidR="005A1247" w:rsidRPr="00950CD1">
          <w:rPr>
            <w:rStyle w:val="Hypertextovodkaz"/>
            <w:noProof/>
          </w:rPr>
          <w:t>Strategické cíle</w:t>
        </w:r>
        <w:r w:rsidR="005A1247">
          <w:rPr>
            <w:noProof/>
            <w:webHidden/>
          </w:rPr>
          <w:tab/>
        </w:r>
        <w:r w:rsidR="005A1247">
          <w:rPr>
            <w:noProof/>
            <w:webHidden/>
          </w:rPr>
          <w:fldChar w:fldCharType="begin"/>
        </w:r>
        <w:r w:rsidR="005A1247">
          <w:rPr>
            <w:noProof/>
            <w:webHidden/>
          </w:rPr>
          <w:instrText xml:space="preserve"> PAGEREF _Toc34387145 \h </w:instrText>
        </w:r>
        <w:r w:rsidR="005A1247">
          <w:rPr>
            <w:noProof/>
            <w:webHidden/>
          </w:rPr>
        </w:r>
        <w:r w:rsidR="005A1247">
          <w:rPr>
            <w:noProof/>
            <w:webHidden/>
          </w:rPr>
          <w:fldChar w:fldCharType="separate"/>
        </w:r>
        <w:r w:rsidR="005A1247">
          <w:rPr>
            <w:noProof/>
            <w:webHidden/>
          </w:rPr>
          <w:t>32</w:t>
        </w:r>
        <w:r w:rsidR="005A1247">
          <w:rPr>
            <w:noProof/>
            <w:webHidden/>
          </w:rPr>
          <w:fldChar w:fldCharType="end"/>
        </w:r>
      </w:hyperlink>
    </w:p>
    <w:p w14:paraId="06F59403"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6" w:history="1">
        <w:r w:rsidR="005A1247" w:rsidRPr="00950CD1">
          <w:rPr>
            <w:rStyle w:val="Hypertextovodkaz"/>
            <w:noProof/>
          </w:rPr>
          <w:t>4.4</w:t>
        </w:r>
        <w:r w:rsidR="005A1247">
          <w:rPr>
            <w:rFonts w:asciiTheme="minorHAnsi" w:eastAsiaTheme="minorEastAsia" w:hAnsiTheme="minorHAnsi" w:cstheme="minorBidi"/>
            <w:b w:val="0"/>
            <w:noProof/>
            <w:sz w:val="22"/>
          </w:rPr>
          <w:tab/>
        </w:r>
        <w:r w:rsidR="005A1247" w:rsidRPr="00950CD1">
          <w:rPr>
            <w:rStyle w:val="Hypertextovodkaz"/>
            <w:noProof/>
          </w:rPr>
          <w:t>Klíčová opatření pro plnění cílů</w:t>
        </w:r>
        <w:r w:rsidR="005A1247">
          <w:rPr>
            <w:noProof/>
            <w:webHidden/>
          </w:rPr>
          <w:tab/>
        </w:r>
        <w:r w:rsidR="005A1247">
          <w:rPr>
            <w:noProof/>
            <w:webHidden/>
          </w:rPr>
          <w:fldChar w:fldCharType="begin"/>
        </w:r>
        <w:r w:rsidR="005A1247">
          <w:rPr>
            <w:noProof/>
            <w:webHidden/>
          </w:rPr>
          <w:instrText xml:space="preserve"> PAGEREF _Toc34387146 \h </w:instrText>
        </w:r>
        <w:r w:rsidR="005A1247">
          <w:rPr>
            <w:noProof/>
            <w:webHidden/>
          </w:rPr>
        </w:r>
        <w:r w:rsidR="005A1247">
          <w:rPr>
            <w:noProof/>
            <w:webHidden/>
          </w:rPr>
          <w:fldChar w:fldCharType="separate"/>
        </w:r>
        <w:r w:rsidR="005A1247">
          <w:rPr>
            <w:noProof/>
            <w:webHidden/>
          </w:rPr>
          <w:t>38</w:t>
        </w:r>
        <w:r w:rsidR="005A1247">
          <w:rPr>
            <w:noProof/>
            <w:webHidden/>
          </w:rPr>
          <w:fldChar w:fldCharType="end"/>
        </w:r>
      </w:hyperlink>
    </w:p>
    <w:p w14:paraId="163BE1CD" w14:textId="2DD384FC" w:rsidR="005A1247" w:rsidRDefault="00B85251">
      <w:pPr>
        <w:pStyle w:val="Obsah1"/>
        <w:rPr>
          <w:rFonts w:asciiTheme="minorHAnsi" w:eastAsiaTheme="minorEastAsia" w:hAnsiTheme="minorHAnsi" w:cstheme="minorBidi"/>
          <w:b w:val="0"/>
          <w:bCs w:val="0"/>
          <w:sz w:val="22"/>
        </w:rPr>
      </w:pPr>
      <w:hyperlink w:anchor="_Toc34387147" w:history="1">
        <w:r w:rsidR="005A1247" w:rsidRPr="00950CD1">
          <w:rPr>
            <w:rStyle w:val="Hypertextovodkaz"/>
          </w:rPr>
          <w:t>5.</w:t>
        </w:r>
        <w:r w:rsidR="005A1247">
          <w:rPr>
            <w:rFonts w:asciiTheme="minorHAnsi" w:eastAsiaTheme="minorEastAsia" w:hAnsiTheme="minorHAnsi" w:cstheme="minorBidi"/>
            <w:b w:val="0"/>
            <w:bCs w:val="0"/>
            <w:sz w:val="22"/>
          </w:rPr>
          <w:tab/>
        </w:r>
        <w:r w:rsidR="005A1247" w:rsidRPr="00950CD1">
          <w:rPr>
            <w:rStyle w:val="Hypertextovodkaz"/>
          </w:rPr>
          <w:t>Ostatní alternativní paliva v</w:t>
        </w:r>
        <w:r w:rsidR="005A1247">
          <w:rPr>
            <w:rStyle w:val="Hypertextovodkaz"/>
          </w:rPr>
          <w:t> </w:t>
        </w:r>
        <w:r w:rsidR="005A1247" w:rsidRPr="00950CD1">
          <w:rPr>
            <w:rStyle w:val="Hypertextovodkaz"/>
          </w:rPr>
          <w:t>silniční dopravě</w:t>
        </w:r>
        <w:r w:rsidR="005A1247">
          <w:rPr>
            <w:webHidden/>
          </w:rPr>
          <w:tab/>
        </w:r>
        <w:r w:rsidR="005A1247">
          <w:rPr>
            <w:webHidden/>
          </w:rPr>
          <w:fldChar w:fldCharType="begin"/>
        </w:r>
        <w:r w:rsidR="005A1247">
          <w:rPr>
            <w:webHidden/>
          </w:rPr>
          <w:instrText xml:space="preserve"> PAGEREF _Toc34387147 \h </w:instrText>
        </w:r>
        <w:r w:rsidR="005A1247">
          <w:rPr>
            <w:webHidden/>
          </w:rPr>
        </w:r>
        <w:r w:rsidR="005A1247">
          <w:rPr>
            <w:webHidden/>
          </w:rPr>
          <w:fldChar w:fldCharType="separate"/>
        </w:r>
        <w:r w:rsidR="005A1247">
          <w:rPr>
            <w:webHidden/>
          </w:rPr>
          <w:t>40</w:t>
        </w:r>
        <w:r w:rsidR="005A1247">
          <w:rPr>
            <w:webHidden/>
          </w:rPr>
          <w:fldChar w:fldCharType="end"/>
        </w:r>
      </w:hyperlink>
    </w:p>
    <w:p w14:paraId="12523D7B" w14:textId="1B2EA45C" w:rsidR="005A1247" w:rsidRDefault="00B85251">
      <w:pPr>
        <w:pStyle w:val="Obsah1"/>
        <w:rPr>
          <w:rFonts w:asciiTheme="minorHAnsi" w:eastAsiaTheme="minorEastAsia" w:hAnsiTheme="minorHAnsi" w:cstheme="minorBidi"/>
          <w:b w:val="0"/>
          <w:bCs w:val="0"/>
          <w:sz w:val="22"/>
        </w:rPr>
      </w:pPr>
      <w:hyperlink w:anchor="_Toc34387148" w:history="1">
        <w:r w:rsidR="005A1247" w:rsidRPr="00950CD1">
          <w:rPr>
            <w:rStyle w:val="Hypertextovodkaz"/>
          </w:rPr>
          <w:t>6.</w:t>
        </w:r>
        <w:r w:rsidR="005A1247">
          <w:rPr>
            <w:rFonts w:asciiTheme="minorHAnsi" w:eastAsiaTheme="minorEastAsia" w:hAnsiTheme="minorHAnsi" w:cstheme="minorBidi"/>
            <w:b w:val="0"/>
            <w:bCs w:val="0"/>
            <w:sz w:val="22"/>
          </w:rPr>
          <w:tab/>
        </w:r>
        <w:r w:rsidR="005A1247" w:rsidRPr="00950CD1">
          <w:rPr>
            <w:rStyle w:val="Hypertextovodkaz"/>
          </w:rPr>
          <w:t>Alternativní paliva v</w:t>
        </w:r>
        <w:r w:rsidR="005A1247">
          <w:rPr>
            <w:rStyle w:val="Hypertextovodkaz"/>
          </w:rPr>
          <w:t> </w:t>
        </w:r>
        <w:r w:rsidR="005A1247" w:rsidRPr="00950CD1">
          <w:rPr>
            <w:rStyle w:val="Hypertextovodkaz"/>
          </w:rPr>
          <w:t>nesilničních druzích dopravy</w:t>
        </w:r>
        <w:r w:rsidR="005A1247">
          <w:rPr>
            <w:webHidden/>
          </w:rPr>
          <w:tab/>
        </w:r>
        <w:r w:rsidR="005A1247">
          <w:rPr>
            <w:webHidden/>
          </w:rPr>
          <w:fldChar w:fldCharType="begin"/>
        </w:r>
        <w:r w:rsidR="005A1247">
          <w:rPr>
            <w:webHidden/>
          </w:rPr>
          <w:instrText xml:space="preserve"> PAGEREF _Toc34387148 \h </w:instrText>
        </w:r>
        <w:r w:rsidR="005A1247">
          <w:rPr>
            <w:webHidden/>
          </w:rPr>
        </w:r>
        <w:r w:rsidR="005A1247">
          <w:rPr>
            <w:webHidden/>
          </w:rPr>
          <w:fldChar w:fldCharType="separate"/>
        </w:r>
        <w:r w:rsidR="005A1247">
          <w:rPr>
            <w:webHidden/>
          </w:rPr>
          <w:t>41</w:t>
        </w:r>
        <w:r w:rsidR="005A1247">
          <w:rPr>
            <w:webHidden/>
          </w:rPr>
          <w:fldChar w:fldCharType="end"/>
        </w:r>
      </w:hyperlink>
    </w:p>
    <w:p w14:paraId="780D6083"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49" w:history="1">
        <w:r w:rsidR="005A1247" w:rsidRPr="00950CD1">
          <w:rPr>
            <w:rStyle w:val="Hypertextovodkaz"/>
            <w:noProof/>
          </w:rPr>
          <w:t>6.1</w:t>
        </w:r>
        <w:r w:rsidR="005A1247">
          <w:rPr>
            <w:rFonts w:asciiTheme="minorHAnsi" w:eastAsiaTheme="minorEastAsia" w:hAnsiTheme="minorHAnsi" w:cstheme="minorBidi"/>
            <w:b w:val="0"/>
            <w:noProof/>
            <w:sz w:val="22"/>
          </w:rPr>
          <w:tab/>
        </w:r>
        <w:r w:rsidR="005A1247" w:rsidRPr="00950CD1">
          <w:rPr>
            <w:rStyle w:val="Hypertextovodkaz"/>
            <w:noProof/>
          </w:rPr>
          <w:t>Čistá mobilita ve vnitrozemské vodní dopravě</w:t>
        </w:r>
        <w:r w:rsidR="005A1247">
          <w:rPr>
            <w:noProof/>
            <w:webHidden/>
          </w:rPr>
          <w:tab/>
        </w:r>
        <w:r w:rsidR="005A1247">
          <w:rPr>
            <w:noProof/>
            <w:webHidden/>
          </w:rPr>
          <w:fldChar w:fldCharType="begin"/>
        </w:r>
        <w:r w:rsidR="005A1247">
          <w:rPr>
            <w:noProof/>
            <w:webHidden/>
          </w:rPr>
          <w:instrText xml:space="preserve"> PAGEREF _Toc34387149 \h </w:instrText>
        </w:r>
        <w:r w:rsidR="005A1247">
          <w:rPr>
            <w:noProof/>
            <w:webHidden/>
          </w:rPr>
        </w:r>
        <w:r w:rsidR="005A1247">
          <w:rPr>
            <w:noProof/>
            <w:webHidden/>
          </w:rPr>
          <w:fldChar w:fldCharType="separate"/>
        </w:r>
        <w:r w:rsidR="005A1247">
          <w:rPr>
            <w:noProof/>
            <w:webHidden/>
          </w:rPr>
          <w:t>41</w:t>
        </w:r>
        <w:r w:rsidR="005A1247">
          <w:rPr>
            <w:noProof/>
            <w:webHidden/>
          </w:rPr>
          <w:fldChar w:fldCharType="end"/>
        </w:r>
      </w:hyperlink>
    </w:p>
    <w:p w14:paraId="343C70B6" w14:textId="0883CFB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0" w:history="1">
        <w:r w:rsidR="005A1247" w:rsidRPr="00950CD1">
          <w:rPr>
            <w:rStyle w:val="Hypertextovodkaz"/>
            <w:noProof/>
          </w:rPr>
          <w:t>6.2</w:t>
        </w:r>
        <w:r w:rsidR="005A1247">
          <w:rPr>
            <w:rFonts w:asciiTheme="minorHAnsi" w:eastAsiaTheme="minorEastAsia" w:hAnsiTheme="minorHAnsi" w:cstheme="minorBidi"/>
            <w:b w:val="0"/>
            <w:noProof/>
            <w:sz w:val="22"/>
          </w:rPr>
          <w:tab/>
        </w:r>
        <w:r w:rsidR="005A1247" w:rsidRPr="00950CD1">
          <w:rPr>
            <w:rStyle w:val="Hypertextovodkaz"/>
            <w:noProof/>
          </w:rPr>
          <w:t>Čistá mobilita v</w:t>
        </w:r>
        <w:r w:rsidR="005A1247">
          <w:rPr>
            <w:rStyle w:val="Hypertextovodkaz"/>
            <w:noProof/>
          </w:rPr>
          <w:t> </w:t>
        </w:r>
        <w:r w:rsidR="005A1247" w:rsidRPr="00950CD1">
          <w:rPr>
            <w:rStyle w:val="Hypertextovodkaz"/>
            <w:noProof/>
          </w:rPr>
          <w:t>železniční dopravě</w:t>
        </w:r>
        <w:r w:rsidR="005A1247">
          <w:rPr>
            <w:noProof/>
            <w:webHidden/>
          </w:rPr>
          <w:tab/>
        </w:r>
        <w:r w:rsidR="005A1247">
          <w:rPr>
            <w:noProof/>
            <w:webHidden/>
          </w:rPr>
          <w:fldChar w:fldCharType="begin"/>
        </w:r>
        <w:r w:rsidR="005A1247">
          <w:rPr>
            <w:noProof/>
            <w:webHidden/>
          </w:rPr>
          <w:instrText xml:space="preserve"> PAGEREF _Toc34387150 \h </w:instrText>
        </w:r>
        <w:r w:rsidR="005A1247">
          <w:rPr>
            <w:noProof/>
            <w:webHidden/>
          </w:rPr>
        </w:r>
        <w:r w:rsidR="005A1247">
          <w:rPr>
            <w:noProof/>
            <w:webHidden/>
          </w:rPr>
          <w:fldChar w:fldCharType="separate"/>
        </w:r>
        <w:r w:rsidR="005A1247">
          <w:rPr>
            <w:noProof/>
            <w:webHidden/>
          </w:rPr>
          <w:t>42</w:t>
        </w:r>
        <w:r w:rsidR="005A1247">
          <w:rPr>
            <w:noProof/>
            <w:webHidden/>
          </w:rPr>
          <w:fldChar w:fldCharType="end"/>
        </w:r>
      </w:hyperlink>
    </w:p>
    <w:p w14:paraId="0DBCB7FC" w14:textId="6097D12E"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1" w:history="1">
        <w:r w:rsidR="005A1247" w:rsidRPr="00950CD1">
          <w:rPr>
            <w:rStyle w:val="Hypertextovodkaz"/>
            <w:noProof/>
          </w:rPr>
          <w:t>6.3</w:t>
        </w:r>
        <w:r w:rsidR="005A1247">
          <w:rPr>
            <w:rFonts w:asciiTheme="minorHAnsi" w:eastAsiaTheme="minorEastAsia" w:hAnsiTheme="minorHAnsi" w:cstheme="minorBidi"/>
            <w:b w:val="0"/>
            <w:noProof/>
            <w:sz w:val="22"/>
          </w:rPr>
          <w:tab/>
        </w:r>
        <w:r w:rsidR="005A1247" w:rsidRPr="00950CD1">
          <w:rPr>
            <w:rStyle w:val="Hypertextovodkaz"/>
            <w:noProof/>
          </w:rPr>
          <w:t>Čistá mobilita v</w:t>
        </w:r>
        <w:r w:rsidR="005A1247">
          <w:rPr>
            <w:rStyle w:val="Hypertextovodkaz"/>
            <w:noProof/>
          </w:rPr>
          <w:t> </w:t>
        </w:r>
        <w:r w:rsidR="005A1247" w:rsidRPr="00950CD1">
          <w:rPr>
            <w:rStyle w:val="Hypertextovodkaz"/>
            <w:noProof/>
          </w:rPr>
          <w:t>letecké dopravě</w:t>
        </w:r>
        <w:r w:rsidR="005A1247">
          <w:rPr>
            <w:noProof/>
            <w:webHidden/>
          </w:rPr>
          <w:tab/>
        </w:r>
        <w:r w:rsidR="005A1247">
          <w:rPr>
            <w:noProof/>
            <w:webHidden/>
          </w:rPr>
          <w:fldChar w:fldCharType="begin"/>
        </w:r>
        <w:r w:rsidR="005A1247">
          <w:rPr>
            <w:noProof/>
            <w:webHidden/>
          </w:rPr>
          <w:instrText xml:space="preserve"> PAGEREF _Toc34387151 \h </w:instrText>
        </w:r>
        <w:r w:rsidR="005A1247">
          <w:rPr>
            <w:noProof/>
            <w:webHidden/>
          </w:rPr>
        </w:r>
        <w:r w:rsidR="005A1247">
          <w:rPr>
            <w:noProof/>
            <w:webHidden/>
          </w:rPr>
          <w:fldChar w:fldCharType="separate"/>
        </w:r>
        <w:r w:rsidR="005A1247">
          <w:rPr>
            <w:noProof/>
            <w:webHidden/>
          </w:rPr>
          <w:t>43</w:t>
        </w:r>
        <w:r w:rsidR="005A1247">
          <w:rPr>
            <w:noProof/>
            <w:webHidden/>
          </w:rPr>
          <w:fldChar w:fldCharType="end"/>
        </w:r>
      </w:hyperlink>
    </w:p>
    <w:p w14:paraId="1BEAE510" w14:textId="3BF666E7" w:rsidR="005A1247" w:rsidRDefault="00B85251">
      <w:pPr>
        <w:pStyle w:val="Obsah1"/>
        <w:rPr>
          <w:rFonts w:asciiTheme="minorHAnsi" w:eastAsiaTheme="minorEastAsia" w:hAnsiTheme="minorHAnsi" w:cstheme="minorBidi"/>
          <w:b w:val="0"/>
          <w:bCs w:val="0"/>
          <w:sz w:val="22"/>
        </w:rPr>
      </w:pPr>
      <w:hyperlink w:anchor="_Toc34387152" w:history="1">
        <w:r w:rsidR="005A1247" w:rsidRPr="00950CD1">
          <w:rPr>
            <w:rStyle w:val="Hypertextovodkaz"/>
          </w:rPr>
          <w:t>7.</w:t>
        </w:r>
        <w:r w:rsidR="005A1247">
          <w:rPr>
            <w:rFonts w:asciiTheme="minorHAnsi" w:eastAsiaTheme="minorEastAsia" w:hAnsiTheme="minorHAnsi" w:cstheme="minorBidi"/>
            <w:b w:val="0"/>
            <w:bCs w:val="0"/>
            <w:sz w:val="22"/>
          </w:rPr>
          <w:tab/>
        </w:r>
        <w:r w:rsidR="005A1247" w:rsidRPr="00950CD1">
          <w:rPr>
            <w:rStyle w:val="Hypertextovodkaz"/>
          </w:rPr>
          <w:t>Souhrnný přehled karet opatření a</w:t>
        </w:r>
        <w:r w:rsidR="005A1247">
          <w:rPr>
            <w:rStyle w:val="Hypertextovodkaz"/>
          </w:rPr>
          <w:t> </w:t>
        </w:r>
        <w:r w:rsidR="005A1247" w:rsidRPr="00950CD1">
          <w:rPr>
            <w:rStyle w:val="Hypertextovodkaz"/>
          </w:rPr>
          <w:t>jejich harmonogram</w:t>
        </w:r>
        <w:r w:rsidR="005A1247">
          <w:rPr>
            <w:webHidden/>
          </w:rPr>
          <w:tab/>
        </w:r>
        <w:r w:rsidR="005A1247">
          <w:rPr>
            <w:webHidden/>
          </w:rPr>
          <w:fldChar w:fldCharType="begin"/>
        </w:r>
        <w:r w:rsidR="005A1247">
          <w:rPr>
            <w:webHidden/>
          </w:rPr>
          <w:instrText xml:space="preserve"> PAGEREF _Toc34387152 \h </w:instrText>
        </w:r>
        <w:r w:rsidR="005A1247">
          <w:rPr>
            <w:webHidden/>
          </w:rPr>
        </w:r>
        <w:r w:rsidR="005A1247">
          <w:rPr>
            <w:webHidden/>
          </w:rPr>
          <w:fldChar w:fldCharType="separate"/>
        </w:r>
        <w:r w:rsidR="005A1247">
          <w:rPr>
            <w:webHidden/>
          </w:rPr>
          <w:t>46</w:t>
        </w:r>
        <w:r w:rsidR="005A1247">
          <w:rPr>
            <w:webHidden/>
          </w:rPr>
          <w:fldChar w:fldCharType="end"/>
        </w:r>
      </w:hyperlink>
    </w:p>
    <w:p w14:paraId="1D62583A" w14:textId="77777777" w:rsidR="005A1247" w:rsidRDefault="00B85251">
      <w:pPr>
        <w:pStyle w:val="Obsah1"/>
        <w:rPr>
          <w:rFonts w:asciiTheme="minorHAnsi" w:eastAsiaTheme="minorEastAsia" w:hAnsiTheme="minorHAnsi" w:cstheme="minorBidi"/>
          <w:b w:val="0"/>
          <w:bCs w:val="0"/>
          <w:sz w:val="22"/>
        </w:rPr>
      </w:pPr>
      <w:hyperlink w:anchor="_Toc34387153" w:history="1">
        <w:r w:rsidR="005A1247" w:rsidRPr="00950CD1">
          <w:rPr>
            <w:rStyle w:val="Hypertextovodkaz"/>
          </w:rPr>
          <w:t>8.</w:t>
        </w:r>
        <w:r w:rsidR="005A1247">
          <w:rPr>
            <w:rFonts w:asciiTheme="minorHAnsi" w:eastAsiaTheme="minorEastAsia" w:hAnsiTheme="minorHAnsi" w:cstheme="minorBidi"/>
            <w:b w:val="0"/>
            <w:bCs w:val="0"/>
            <w:sz w:val="22"/>
          </w:rPr>
          <w:tab/>
        </w:r>
        <w:r w:rsidR="005A1247" w:rsidRPr="00950CD1">
          <w:rPr>
            <w:rStyle w:val="Hypertextovodkaz"/>
          </w:rPr>
          <w:t>Karty opatření NAP CM</w:t>
        </w:r>
        <w:r w:rsidR="005A1247">
          <w:rPr>
            <w:webHidden/>
          </w:rPr>
          <w:tab/>
        </w:r>
        <w:r w:rsidR="005A1247">
          <w:rPr>
            <w:webHidden/>
          </w:rPr>
          <w:fldChar w:fldCharType="begin"/>
        </w:r>
        <w:r w:rsidR="005A1247">
          <w:rPr>
            <w:webHidden/>
          </w:rPr>
          <w:instrText xml:space="preserve"> PAGEREF _Toc34387153 \h </w:instrText>
        </w:r>
        <w:r w:rsidR="005A1247">
          <w:rPr>
            <w:webHidden/>
          </w:rPr>
        </w:r>
        <w:r w:rsidR="005A1247">
          <w:rPr>
            <w:webHidden/>
          </w:rPr>
          <w:fldChar w:fldCharType="separate"/>
        </w:r>
        <w:r w:rsidR="005A1247">
          <w:rPr>
            <w:webHidden/>
          </w:rPr>
          <w:t>53</w:t>
        </w:r>
        <w:r w:rsidR="005A1247">
          <w:rPr>
            <w:webHidden/>
          </w:rPr>
          <w:fldChar w:fldCharType="end"/>
        </w:r>
      </w:hyperlink>
    </w:p>
    <w:p w14:paraId="60DF7280"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4" w:history="1">
        <w:r w:rsidR="005A1247" w:rsidRPr="00950CD1">
          <w:rPr>
            <w:rStyle w:val="Hypertextovodkaz"/>
            <w:noProof/>
          </w:rPr>
          <w:t>8.1</w:t>
        </w:r>
        <w:r w:rsidR="005A1247">
          <w:rPr>
            <w:rFonts w:asciiTheme="minorHAnsi" w:eastAsiaTheme="minorEastAsia" w:hAnsiTheme="minorHAnsi" w:cstheme="minorBidi"/>
            <w:b w:val="0"/>
            <w:noProof/>
            <w:sz w:val="22"/>
          </w:rPr>
          <w:tab/>
        </w:r>
        <w:r w:rsidR="005A1247" w:rsidRPr="00950CD1">
          <w:rPr>
            <w:rStyle w:val="Hypertextovodkaz"/>
            <w:noProof/>
          </w:rPr>
          <w:t>Právní/legislativní</w:t>
        </w:r>
        <w:r w:rsidR="005A1247">
          <w:rPr>
            <w:noProof/>
            <w:webHidden/>
          </w:rPr>
          <w:tab/>
        </w:r>
        <w:r w:rsidR="005A1247">
          <w:rPr>
            <w:noProof/>
            <w:webHidden/>
          </w:rPr>
          <w:fldChar w:fldCharType="begin"/>
        </w:r>
        <w:r w:rsidR="005A1247">
          <w:rPr>
            <w:noProof/>
            <w:webHidden/>
          </w:rPr>
          <w:instrText xml:space="preserve"> PAGEREF _Toc34387154 \h </w:instrText>
        </w:r>
        <w:r w:rsidR="005A1247">
          <w:rPr>
            <w:noProof/>
            <w:webHidden/>
          </w:rPr>
        </w:r>
        <w:r w:rsidR="005A1247">
          <w:rPr>
            <w:noProof/>
            <w:webHidden/>
          </w:rPr>
          <w:fldChar w:fldCharType="separate"/>
        </w:r>
        <w:r w:rsidR="005A1247">
          <w:rPr>
            <w:noProof/>
            <w:webHidden/>
          </w:rPr>
          <w:t>53</w:t>
        </w:r>
        <w:r w:rsidR="005A1247">
          <w:rPr>
            <w:noProof/>
            <w:webHidden/>
          </w:rPr>
          <w:fldChar w:fldCharType="end"/>
        </w:r>
      </w:hyperlink>
    </w:p>
    <w:p w14:paraId="773872A3" w14:textId="1E045E9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5" w:history="1">
        <w:r w:rsidR="005A1247" w:rsidRPr="00950CD1">
          <w:rPr>
            <w:rStyle w:val="Hypertextovodkaz"/>
            <w:noProof/>
          </w:rPr>
          <w:t>8.2</w:t>
        </w:r>
        <w:r w:rsidR="005A1247">
          <w:rPr>
            <w:rFonts w:asciiTheme="minorHAnsi" w:eastAsiaTheme="minorEastAsia" w:hAnsiTheme="minorHAnsi" w:cstheme="minorBidi"/>
            <w:b w:val="0"/>
            <w:noProof/>
            <w:sz w:val="22"/>
          </w:rPr>
          <w:tab/>
        </w:r>
        <w:r w:rsidR="005A1247" w:rsidRPr="00950CD1">
          <w:rPr>
            <w:rStyle w:val="Hypertextovodkaz"/>
            <w:noProof/>
          </w:rPr>
          <w:t>Přímé pobídky k</w:t>
        </w:r>
        <w:r w:rsidR="005A1247">
          <w:rPr>
            <w:rStyle w:val="Hypertextovodkaz"/>
            <w:noProof/>
          </w:rPr>
          <w:t> </w:t>
        </w:r>
        <w:r w:rsidR="005A1247" w:rsidRPr="00950CD1">
          <w:rPr>
            <w:rStyle w:val="Hypertextovodkaz"/>
            <w:noProof/>
          </w:rPr>
          <w:t>nákupu vozidel</w:t>
        </w:r>
        <w:r w:rsidR="005A1247">
          <w:rPr>
            <w:noProof/>
            <w:webHidden/>
          </w:rPr>
          <w:tab/>
        </w:r>
        <w:r w:rsidR="005A1247">
          <w:rPr>
            <w:noProof/>
            <w:webHidden/>
          </w:rPr>
          <w:fldChar w:fldCharType="begin"/>
        </w:r>
        <w:r w:rsidR="005A1247">
          <w:rPr>
            <w:noProof/>
            <w:webHidden/>
          </w:rPr>
          <w:instrText xml:space="preserve"> PAGEREF _Toc34387155 \h </w:instrText>
        </w:r>
        <w:r w:rsidR="005A1247">
          <w:rPr>
            <w:noProof/>
            <w:webHidden/>
          </w:rPr>
        </w:r>
        <w:r w:rsidR="005A1247">
          <w:rPr>
            <w:noProof/>
            <w:webHidden/>
          </w:rPr>
          <w:fldChar w:fldCharType="separate"/>
        </w:r>
        <w:r w:rsidR="005A1247">
          <w:rPr>
            <w:noProof/>
            <w:webHidden/>
          </w:rPr>
          <w:t>75</w:t>
        </w:r>
        <w:r w:rsidR="005A1247">
          <w:rPr>
            <w:noProof/>
            <w:webHidden/>
          </w:rPr>
          <w:fldChar w:fldCharType="end"/>
        </w:r>
      </w:hyperlink>
    </w:p>
    <w:p w14:paraId="4B92C4C2" w14:textId="27036976"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6" w:history="1">
        <w:r w:rsidR="005A1247" w:rsidRPr="00950CD1">
          <w:rPr>
            <w:rStyle w:val="Hypertextovodkaz"/>
            <w:noProof/>
          </w:rPr>
          <w:t>8.3</w:t>
        </w:r>
        <w:r w:rsidR="005A1247">
          <w:rPr>
            <w:rFonts w:asciiTheme="minorHAnsi" w:eastAsiaTheme="minorEastAsia" w:hAnsiTheme="minorHAnsi" w:cstheme="minorBidi"/>
            <w:b w:val="0"/>
            <w:noProof/>
            <w:sz w:val="22"/>
          </w:rPr>
          <w:tab/>
        </w:r>
        <w:r w:rsidR="005A1247" w:rsidRPr="00950CD1">
          <w:rPr>
            <w:rStyle w:val="Hypertextovodkaz"/>
            <w:noProof/>
          </w:rPr>
          <w:t>Přímé pobídky k</w:t>
        </w:r>
        <w:r w:rsidR="005A1247">
          <w:rPr>
            <w:rStyle w:val="Hypertextovodkaz"/>
            <w:noProof/>
          </w:rPr>
          <w:t> </w:t>
        </w:r>
        <w:r w:rsidR="005A1247" w:rsidRPr="00950CD1">
          <w:rPr>
            <w:rStyle w:val="Hypertextovodkaz"/>
            <w:noProof/>
          </w:rPr>
          <w:t>budování infrastruktury pro alternativní paliva</w:t>
        </w:r>
        <w:r w:rsidR="005A1247">
          <w:rPr>
            <w:noProof/>
            <w:webHidden/>
          </w:rPr>
          <w:tab/>
        </w:r>
        <w:r w:rsidR="005A1247">
          <w:rPr>
            <w:noProof/>
            <w:webHidden/>
          </w:rPr>
          <w:fldChar w:fldCharType="begin"/>
        </w:r>
        <w:r w:rsidR="005A1247">
          <w:rPr>
            <w:noProof/>
            <w:webHidden/>
          </w:rPr>
          <w:instrText xml:space="preserve"> PAGEREF _Toc34387156 \h </w:instrText>
        </w:r>
        <w:r w:rsidR="005A1247">
          <w:rPr>
            <w:noProof/>
            <w:webHidden/>
          </w:rPr>
        </w:r>
        <w:r w:rsidR="005A1247">
          <w:rPr>
            <w:noProof/>
            <w:webHidden/>
          </w:rPr>
          <w:fldChar w:fldCharType="separate"/>
        </w:r>
        <w:r w:rsidR="005A1247">
          <w:rPr>
            <w:noProof/>
            <w:webHidden/>
          </w:rPr>
          <w:t>85</w:t>
        </w:r>
        <w:r w:rsidR="005A1247">
          <w:rPr>
            <w:noProof/>
            <w:webHidden/>
          </w:rPr>
          <w:fldChar w:fldCharType="end"/>
        </w:r>
      </w:hyperlink>
    </w:p>
    <w:p w14:paraId="589335E5"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7" w:history="1">
        <w:r w:rsidR="005A1247" w:rsidRPr="00950CD1">
          <w:rPr>
            <w:rStyle w:val="Hypertextovodkaz"/>
            <w:noProof/>
          </w:rPr>
          <w:t>8.4</w:t>
        </w:r>
        <w:r w:rsidR="005A1247">
          <w:rPr>
            <w:rFonts w:asciiTheme="minorHAnsi" w:eastAsiaTheme="minorEastAsia" w:hAnsiTheme="minorHAnsi" w:cstheme="minorBidi"/>
            <w:b w:val="0"/>
            <w:noProof/>
            <w:sz w:val="22"/>
          </w:rPr>
          <w:tab/>
        </w:r>
        <w:r w:rsidR="005A1247" w:rsidRPr="00950CD1">
          <w:rPr>
            <w:rStyle w:val="Hypertextovodkaz"/>
            <w:noProof/>
          </w:rPr>
          <w:t>Nefinanční pobídky na straně poptávky</w:t>
        </w:r>
        <w:r w:rsidR="005A1247">
          <w:rPr>
            <w:noProof/>
            <w:webHidden/>
          </w:rPr>
          <w:tab/>
        </w:r>
        <w:r w:rsidR="005A1247">
          <w:rPr>
            <w:noProof/>
            <w:webHidden/>
          </w:rPr>
          <w:fldChar w:fldCharType="begin"/>
        </w:r>
        <w:r w:rsidR="005A1247">
          <w:rPr>
            <w:noProof/>
            <w:webHidden/>
          </w:rPr>
          <w:instrText xml:space="preserve"> PAGEREF _Toc34387157 \h </w:instrText>
        </w:r>
        <w:r w:rsidR="005A1247">
          <w:rPr>
            <w:noProof/>
            <w:webHidden/>
          </w:rPr>
        </w:r>
        <w:r w:rsidR="005A1247">
          <w:rPr>
            <w:noProof/>
            <w:webHidden/>
          </w:rPr>
          <w:fldChar w:fldCharType="separate"/>
        </w:r>
        <w:r w:rsidR="005A1247">
          <w:rPr>
            <w:noProof/>
            <w:webHidden/>
          </w:rPr>
          <w:t>95</w:t>
        </w:r>
        <w:r w:rsidR="005A1247">
          <w:rPr>
            <w:noProof/>
            <w:webHidden/>
          </w:rPr>
          <w:fldChar w:fldCharType="end"/>
        </w:r>
      </w:hyperlink>
    </w:p>
    <w:p w14:paraId="22876FDB" w14:textId="762F7DA3"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8" w:history="1">
        <w:r w:rsidR="005A1247" w:rsidRPr="00950CD1">
          <w:rPr>
            <w:rStyle w:val="Hypertextovodkaz"/>
            <w:noProof/>
          </w:rPr>
          <w:t>8.5</w:t>
        </w:r>
        <w:r w:rsidR="005A1247">
          <w:rPr>
            <w:rFonts w:asciiTheme="minorHAnsi" w:eastAsiaTheme="minorEastAsia" w:hAnsiTheme="minorHAnsi" w:cstheme="minorBidi"/>
            <w:b w:val="0"/>
            <w:noProof/>
            <w:sz w:val="22"/>
          </w:rPr>
          <w:tab/>
        </w:r>
        <w:r w:rsidR="005A1247" w:rsidRPr="00950CD1">
          <w:rPr>
            <w:rStyle w:val="Hypertextovodkaz"/>
            <w:noProof/>
          </w:rPr>
          <w:t>Výzkum, technologický rozvoj a</w:t>
        </w:r>
        <w:r w:rsidR="005A1247">
          <w:rPr>
            <w:rStyle w:val="Hypertextovodkaz"/>
            <w:noProof/>
          </w:rPr>
          <w:t> </w:t>
        </w:r>
        <w:r w:rsidR="005A1247" w:rsidRPr="00950CD1">
          <w:rPr>
            <w:rStyle w:val="Hypertextovodkaz"/>
            <w:noProof/>
          </w:rPr>
          <w:t>demonstrace</w:t>
        </w:r>
        <w:r w:rsidR="005A1247">
          <w:rPr>
            <w:noProof/>
            <w:webHidden/>
          </w:rPr>
          <w:tab/>
        </w:r>
        <w:r w:rsidR="005A1247">
          <w:rPr>
            <w:noProof/>
            <w:webHidden/>
          </w:rPr>
          <w:fldChar w:fldCharType="begin"/>
        </w:r>
        <w:r w:rsidR="005A1247">
          <w:rPr>
            <w:noProof/>
            <w:webHidden/>
          </w:rPr>
          <w:instrText xml:space="preserve"> PAGEREF _Toc34387158 \h </w:instrText>
        </w:r>
        <w:r w:rsidR="005A1247">
          <w:rPr>
            <w:noProof/>
            <w:webHidden/>
          </w:rPr>
        </w:r>
        <w:r w:rsidR="005A1247">
          <w:rPr>
            <w:noProof/>
            <w:webHidden/>
          </w:rPr>
          <w:fldChar w:fldCharType="separate"/>
        </w:r>
        <w:r w:rsidR="005A1247">
          <w:rPr>
            <w:noProof/>
            <w:webHidden/>
          </w:rPr>
          <w:t>101</w:t>
        </w:r>
        <w:r w:rsidR="005A1247">
          <w:rPr>
            <w:noProof/>
            <w:webHidden/>
          </w:rPr>
          <w:fldChar w:fldCharType="end"/>
        </w:r>
      </w:hyperlink>
    </w:p>
    <w:p w14:paraId="40DAD9FC"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59" w:history="1">
        <w:r w:rsidR="005A1247" w:rsidRPr="00950CD1">
          <w:rPr>
            <w:rStyle w:val="Hypertextovodkaz"/>
            <w:noProof/>
          </w:rPr>
          <w:t>8.6</w:t>
        </w:r>
        <w:r w:rsidR="005A1247">
          <w:rPr>
            <w:rFonts w:asciiTheme="minorHAnsi" w:eastAsiaTheme="minorEastAsia" w:hAnsiTheme="minorHAnsi" w:cstheme="minorBidi"/>
            <w:b w:val="0"/>
            <w:noProof/>
            <w:sz w:val="22"/>
          </w:rPr>
          <w:tab/>
        </w:r>
        <w:r w:rsidR="005A1247" w:rsidRPr="00950CD1">
          <w:rPr>
            <w:rStyle w:val="Hypertextovodkaz"/>
            <w:noProof/>
          </w:rPr>
          <w:t>Ostatní opatření</w:t>
        </w:r>
        <w:r w:rsidR="005A1247">
          <w:rPr>
            <w:noProof/>
            <w:webHidden/>
          </w:rPr>
          <w:tab/>
        </w:r>
        <w:r w:rsidR="005A1247">
          <w:rPr>
            <w:noProof/>
            <w:webHidden/>
          </w:rPr>
          <w:fldChar w:fldCharType="begin"/>
        </w:r>
        <w:r w:rsidR="005A1247">
          <w:rPr>
            <w:noProof/>
            <w:webHidden/>
          </w:rPr>
          <w:instrText xml:space="preserve"> PAGEREF _Toc34387159 \h </w:instrText>
        </w:r>
        <w:r w:rsidR="005A1247">
          <w:rPr>
            <w:noProof/>
            <w:webHidden/>
          </w:rPr>
        </w:r>
        <w:r w:rsidR="005A1247">
          <w:rPr>
            <w:noProof/>
            <w:webHidden/>
          </w:rPr>
          <w:fldChar w:fldCharType="separate"/>
        </w:r>
        <w:r w:rsidR="005A1247">
          <w:rPr>
            <w:noProof/>
            <w:webHidden/>
          </w:rPr>
          <w:t>108</w:t>
        </w:r>
        <w:r w:rsidR="005A1247">
          <w:rPr>
            <w:noProof/>
            <w:webHidden/>
          </w:rPr>
          <w:fldChar w:fldCharType="end"/>
        </w:r>
      </w:hyperlink>
    </w:p>
    <w:p w14:paraId="26E95F95" w14:textId="77777777" w:rsidR="005A1247" w:rsidRDefault="00B85251">
      <w:pPr>
        <w:pStyle w:val="Obsah2"/>
        <w:tabs>
          <w:tab w:val="right" w:leader="dot" w:pos="9062"/>
        </w:tabs>
        <w:rPr>
          <w:rFonts w:asciiTheme="minorHAnsi" w:eastAsiaTheme="minorEastAsia" w:hAnsiTheme="minorHAnsi" w:cstheme="minorBidi"/>
          <w:b w:val="0"/>
          <w:noProof/>
          <w:sz w:val="22"/>
        </w:rPr>
      </w:pPr>
      <w:hyperlink w:anchor="_Toc34387160" w:history="1">
        <w:r w:rsidR="005A1247" w:rsidRPr="00950CD1">
          <w:rPr>
            <w:rStyle w:val="Hypertextovodkaz"/>
            <w:noProof/>
          </w:rPr>
          <w:t>8.7</w:t>
        </w:r>
        <w:r w:rsidR="005A1247">
          <w:rPr>
            <w:rFonts w:asciiTheme="minorHAnsi" w:eastAsiaTheme="minorEastAsia" w:hAnsiTheme="minorHAnsi" w:cstheme="minorBidi"/>
            <w:b w:val="0"/>
            <w:noProof/>
            <w:sz w:val="22"/>
          </w:rPr>
          <w:tab/>
        </w:r>
        <w:r w:rsidR="005A1247" w:rsidRPr="00950CD1">
          <w:rPr>
            <w:rStyle w:val="Hypertextovodkaz"/>
            <w:noProof/>
          </w:rPr>
          <w:t>Opatření širšího rázu pro zlepšení struktury vozového parku</w:t>
        </w:r>
        <w:r w:rsidR="005A1247">
          <w:rPr>
            <w:noProof/>
            <w:webHidden/>
          </w:rPr>
          <w:tab/>
        </w:r>
        <w:r w:rsidR="005A1247">
          <w:rPr>
            <w:noProof/>
            <w:webHidden/>
          </w:rPr>
          <w:fldChar w:fldCharType="begin"/>
        </w:r>
        <w:r w:rsidR="005A1247">
          <w:rPr>
            <w:noProof/>
            <w:webHidden/>
          </w:rPr>
          <w:instrText xml:space="preserve"> PAGEREF _Toc34387160 \h </w:instrText>
        </w:r>
        <w:r w:rsidR="005A1247">
          <w:rPr>
            <w:noProof/>
            <w:webHidden/>
          </w:rPr>
        </w:r>
        <w:r w:rsidR="005A1247">
          <w:rPr>
            <w:noProof/>
            <w:webHidden/>
          </w:rPr>
          <w:fldChar w:fldCharType="separate"/>
        </w:r>
        <w:r w:rsidR="005A1247">
          <w:rPr>
            <w:noProof/>
            <w:webHidden/>
          </w:rPr>
          <w:t>113</w:t>
        </w:r>
        <w:r w:rsidR="005A1247">
          <w:rPr>
            <w:noProof/>
            <w:webHidden/>
          </w:rPr>
          <w:fldChar w:fldCharType="end"/>
        </w:r>
      </w:hyperlink>
    </w:p>
    <w:p w14:paraId="62049219" w14:textId="20BDF7EB" w:rsidR="005A1247" w:rsidRDefault="00B85251">
      <w:pPr>
        <w:pStyle w:val="Obsah2"/>
        <w:tabs>
          <w:tab w:val="right" w:leader="dot" w:pos="9062"/>
        </w:tabs>
        <w:rPr>
          <w:rFonts w:asciiTheme="minorHAnsi" w:eastAsiaTheme="minorEastAsia" w:hAnsiTheme="minorHAnsi" w:cstheme="minorBidi"/>
          <w:b w:val="0"/>
          <w:noProof/>
          <w:sz w:val="22"/>
        </w:rPr>
      </w:pPr>
      <w:hyperlink w:anchor="_Toc34387161" w:history="1">
        <w:r w:rsidR="005A1247" w:rsidRPr="00950CD1">
          <w:rPr>
            <w:rStyle w:val="Hypertextovodkaz"/>
            <w:noProof/>
          </w:rPr>
          <w:t>8.8</w:t>
        </w:r>
        <w:r w:rsidR="005A1247">
          <w:rPr>
            <w:rFonts w:asciiTheme="minorHAnsi" w:eastAsiaTheme="minorEastAsia" w:hAnsiTheme="minorHAnsi" w:cstheme="minorBidi"/>
            <w:b w:val="0"/>
            <w:noProof/>
            <w:sz w:val="22"/>
          </w:rPr>
          <w:tab/>
        </w:r>
        <w:r w:rsidR="005A1247" w:rsidRPr="00950CD1">
          <w:rPr>
            <w:rStyle w:val="Hypertextovodkaz"/>
            <w:noProof/>
          </w:rPr>
          <w:t>Opatření k</w:t>
        </w:r>
        <w:r w:rsidR="005A1247">
          <w:rPr>
            <w:rStyle w:val="Hypertextovodkaz"/>
            <w:noProof/>
          </w:rPr>
          <w:t> </w:t>
        </w:r>
        <w:r w:rsidR="005A1247" w:rsidRPr="00950CD1">
          <w:rPr>
            <w:rStyle w:val="Hypertextovodkaz"/>
            <w:noProof/>
          </w:rPr>
          <w:t>implementaci NAP CM</w:t>
        </w:r>
        <w:r w:rsidR="005A1247">
          <w:rPr>
            <w:noProof/>
            <w:webHidden/>
          </w:rPr>
          <w:tab/>
        </w:r>
        <w:r w:rsidR="005A1247">
          <w:rPr>
            <w:noProof/>
            <w:webHidden/>
          </w:rPr>
          <w:fldChar w:fldCharType="begin"/>
        </w:r>
        <w:r w:rsidR="005A1247">
          <w:rPr>
            <w:noProof/>
            <w:webHidden/>
          </w:rPr>
          <w:instrText xml:space="preserve"> PAGEREF _Toc34387161 \h </w:instrText>
        </w:r>
        <w:r w:rsidR="005A1247">
          <w:rPr>
            <w:noProof/>
            <w:webHidden/>
          </w:rPr>
        </w:r>
        <w:r w:rsidR="005A1247">
          <w:rPr>
            <w:noProof/>
            <w:webHidden/>
          </w:rPr>
          <w:fldChar w:fldCharType="separate"/>
        </w:r>
        <w:r w:rsidR="005A1247">
          <w:rPr>
            <w:noProof/>
            <w:webHidden/>
          </w:rPr>
          <w:t>119</w:t>
        </w:r>
        <w:r w:rsidR="005A1247">
          <w:rPr>
            <w:noProof/>
            <w:webHidden/>
          </w:rPr>
          <w:fldChar w:fldCharType="end"/>
        </w:r>
      </w:hyperlink>
    </w:p>
    <w:p w14:paraId="10EE64D8" w14:textId="77777777" w:rsidR="00A07F2E" w:rsidRDefault="008C53DF" w:rsidP="00402DFB">
      <w:pPr>
        <w:pStyle w:val="Obsah3"/>
        <w:jc w:val="both"/>
      </w:pPr>
      <w:r>
        <w:rPr>
          <w:b/>
          <w:bCs/>
          <w:sz w:val="28"/>
        </w:rPr>
        <w:fldChar w:fldCharType="end"/>
      </w:r>
      <w:r w:rsidR="00A07F2E">
        <w:br w:type="page"/>
      </w:r>
    </w:p>
    <w:p w14:paraId="249F7349" w14:textId="77777777" w:rsidR="00646392" w:rsidRDefault="002810F1" w:rsidP="009A3B7E">
      <w:pPr>
        <w:pStyle w:val="Nadpis1"/>
        <w:jc w:val="both"/>
      </w:pPr>
      <w:bookmarkStart w:id="2" w:name="_Toc34387126"/>
      <w:r>
        <w:lastRenderedPageBreak/>
        <w:t>Ú</w:t>
      </w:r>
      <w:r w:rsidR="00646392">
        <w:t>vod</w:t>
      </w:r>
      <w:bookmarkEnd w:id="2"/>
    </w:p>
    <w:p w14:paraId="14166F92" w14:textId="77777777" w:rsidR="002810F1" w:rsidRPr="002810F1" w:rsidRDefault="002810F1" w:rsidP="002810F1">
      <w:pPr>
        <w:pStyle w:val="Nadpis2"/>
      </w:pPr>
      <w:bookmarkStart w:id="3" w:name="_Toc34387127"/>
      <w:r>
        <w:t>Obecná východiska pro zpracování aktualizace NAP CM</w:t>
      </w:r>
      <w:bookmarkEnd w:id="3"/>
    </w:p>
    <w:p w14:paraId="3BC2E26C" w14:textId="7E6D98B0" w:rsidR="001269A0" w:rsidRPr="00730E79" w:rsidRDefault="001B2476" w:rsidP="009A3B7E">
      <w:pPr>
        <w:jc w:val="both"/>
        <w:rPr>
          <w:b/>
          <w:color w:val="000000" w:themeColor="text1"/>
          <w:szCs w:val="22"/>
        </w:rPr>
      </w:pPr>
      <w:r w:rsidRPr="00730E79">
        <w:rPr>
          <w:b/>
          <w:color w:val="000000" w:themeColor="text1"/>
          <w:szCs w:val="22"/>
        </w:rPr>
        <w:t>P</w:t>
      </w:r>
      <w:r w:rsidR="001269A0" w:rsidRPr="00730E79">
        <w:rPr>
          <w:b/>
          <w:color w:val="000000" w:themeColor="text1"/>
          <w:szCs w:val="22"/>
        </w:rPr>
        <w:t xml:space="preserve">ůvodní Národní akční plán čisté mobility (NAP CM) </w:t>
      </w:r>
      <w:r w:rsidR="001269A0" w:rsidRPr="00730E79">
        <w:rPr>
          <w:color w:val="000000" w:themeColor="text1"/>
          <w:szCs w:val="22"/>
        </w:rPr>
        <w:t>vznikl</w:t>
      </w:r>
      <w:r w:rsidR="005E11AB" w:rsidRPr="00730E79">
        <w:rPr>
          <w:color w:val="000000" w:themeColor="text1"/>
          <w:szCs w:val="22"/>
        </w:rPr>
        <w:t xml:space="preserve"> na základě</w:t>
      </w:r>
      <w:r w:rsidR="001269A0" w:rsidRPr="00730E79">
        <w:rPr>
          <w:color w:val="000000" w:themeColor="text1"/>
          <w:szCs w:val="22"/>
        </w:rPr>
        <w:t xml:space="preserve"> </w:t>
      </w:r>
      <w:r w:rsidR="001269A0" w:rsidRPr="00730E79">
        <w:rPr>
          <w:b/>
          <w:color w:val="000000" w:themeColor="text1"/>
          <w:szCs w:val="22"/>
        </w:rPr>
        <w:t>požadav</w:t>
      </w:r>
      <w:r w:rsidR="00931D00" w:rsidRPr="00730E79">
        <w:rPr>
          <w:b/>
          <w:color w:val="000000" w:themeColor="text1"/>
          <w:szCs w:val="22"/>
        </w:rPr>
        <w:t>ku</w:t>
      </w:r>
      <w:r w:rsidR="002249E4" w:rsidRPr="00730E79">
        <w:rPr>
          <w:b/>
          <w:color w:val="000000" w:themeColor="text1"/>
          <w:szCs w:val="22"/>
        </w:rPr>
        <w:t xml:space="preserve"> </w:t>
      </w:r>
      <w:r w:rsidR="002249E4" w:rsidRPr="00730E79">
        <w:rPr>
          <w:rFonts w:cs="Arial"/>
          <w:b/>
          <w:bCs/>
          <w:color w:val="000000" w:themeColor="text1"/>
          <w:szCs w:val="22"/>
        </w:rPr>
        <w:t>s</w:t>
      </w:r>
      <w:r w:rsidR="00905341" w:rsidRPr="00730E79">
        <w:rPr>
          <w:rFonts w:cs="Arial"/>
          <w:b/>
          <w:bCs/>
          <w:color w:val="000000" w:themeColor="text1"/>
          <w:szCs w:val="22"/>
        </w:rPr>
        <w:t>měrnice</w:t>
      </w:r>
      <w:r w:rsidR="00905341" w:rsidRPr="00730E79">
        <w:rPr>
          <w:rFonts w:cs="Arial"/>
          <w:color w:val="000000" w:themeColor="text1"/>
          <w:szCs w:val="22"/>
        </w:rPr>
        <w:t xml:space="preserve"> Evropského parlamentu a</w:t>
      </w:r>
      <w:r w:rsidR="005A1247">
        <w:rPr>
          <w:rFonts w:cs="Arial"/>
          <w:color w:val="000000" w:themeColor="text1"/>
          <w:szCs w:val="22"/>
        </w:rPr>
        <w:t> </w:t>
      </w:r>
      <w:r w:rsidR="00905341" w:rsidRPr="00730E79">
        <w:rPr>
          <w:rFonts w:cs="Arial"/>
          <w:color w:val="000000" w:themeColor="text1"/>
          <w:szCs w:val="22"/>
        </w:rPr>
        <w:t xml:space="preserve">Rady </w:t>
      </w:r>
      <w:r w:rsidR="00905341" w:rsidRPr="00730E79">
        <w:rPr>
          <w:rFonts w:cs="Arial"/>
          <w:b/>
          <w:bCs/>
          <w:color w:val="000000" w:themeColor="text1"/>
          <w:szCs w:val="22"/>
        </w:rPr>
        <w:t>2014/94</w:t>
      </w:r>
      <w:r w:rsidR="00905341" w:rsidRPr="00730E79">
        <w:rPr>
          <w:rFonts w:cs="Arial"/>
          <w:color w:val="000000" w:themeColor="text1"/>
          <w:szCs w:val="22"/>
        </w:rPr>
        <w:t>/</w:t>
      </w:r>
      <w:r w:rsidR="00905341" w:rsidRPr="00730E79">
        <w:rPr>
          <w:rFonts w:cs="Arial"/>
          <w:b/>
          <w:bCs/>
          <w:color w:val="000000" w:themeColor="text1"/>
          <w:szCs w:val="22"/>
        </w:rPr>
        <w:t>EU</w:t>
      </w:r>
      <w:r w:rsidR="00905341" w:rsidRPr="00730E79">
        <w:rPr>
          <w:rFonts w:cs="Arial"/>
          <w:color w:val="000000" w:themeColor="text1"/>
          <w:szCs w:val="22"/>
        </w:rPr>
        <w:t xml:space="preserve"> ze dne 22. října 2014 o</w:t>
      </w:r>
      <w:r w:rsidR="005A1247">
        <w:rPr>
          <w:rFonts w:cs="Arial"/>
          <w:color w:val="000000" w:themeColor="text1"/>
          <w:szCs w:val="22"/>
        </w:rPr>
        <w:t> </w:t>
      </w:r>
      <w:r w:rsidR="00905341" w:rsidRPr="00730E79">
        <w:rPr>
          <w:rFonts w:cs="Arial"/>
          <w:color w:val="000000" w:themeColor="text1"/>
          <w:szCs w:val="22"/>
        </w:rPr>
        <w:t>zavádění infrastruktury pro alternativní paliva</w:t>
      </w:r>
      <w:r w:rsidR="001269A0" w:rsidRPr="00730E79">
        <w:rPr>
          <w:color w:val="000000" w:themeColor="text1"/>
          <w:szCs w:val="22"/>
        </w:rPr>
        <w:t xml:space="preserve">, aby </w:t>
      </w:r>
      <w:r w:rsidR="00D40CEB" w:rsidRPr="00730E79">
        <w:rPr>
          <w:color w:val="000000" w:themeColor="text1"/>
          <w:szCs w:val="22"/>
        </w:rPr>
        <w:t>členské státy EU</w:t>
      </w:r>
      <w:r w:rsidR="001269A0" w:rsidRPr="00730E79">
        <w:rPr>
          <w:color w:val="000000" w:themeColor="text1"/>
          <w:szCs w:val="22"/>
        </w:rPr>
        <w:t xml:space="preserve"> přijal</w:t>
      </w:r>
      <w:r w:rsidR="00D40CEB" w:rsidRPr="00730E79">
        <w:rPr>
          <w:color w:val="000000" w:themeColor="text1"/>
          <w:szCs w:val="22"/>
        </w:rPr>
        <w:t>y</w:t>
      </w:r>
      <w:r w:rsidR="001269A0" w:rsidRPr="00730E79">
        <w:rPr>
          <w:color w:val="000000" w:themeColor="text1"/>
          <w:szCs w:val="22"/>
        </w:rPr>
        <w:t xml:space="preserve"> národní rám</w:t>
      </w:r>
      <w:r w:rsidR="00D40CEB" w:rsidRPr="00730E79">
        <w:rPr>
          <w:color w:val="000000" w:themeColor="text1"/>
          <w:szCs w:val="22"/>
        </w:rPr>
        <w:t>ce</w:t>
      </w:r>
      <w:r w:rsidR="001269A0" w:rsidRPr="00730E79">
        <w:rPr>
          <w:color w:val="000000" w:themeColor="text1"/>
          <w:szCs w:val="22"/>
        </w:rPr>
        <w:t xml:space="preserve"> politiky na podporu rozvoje alternativních paliv v</w:t>
      </w:r>
      <w:r w:rsidR="005A1247">
        <w:rPr>
          <w:color w:val="000000" w:themeColor="text1"/>
          <w:szCs w:val="22"/>
        </w:rPr>
        <w:t> </w:t>
      </w:r>
      <w:r w:rsidR="001269A0" w:rsidRPr="00730E79">
        <w:rPr>
          <w:color w:val="000000" w:themeColor="text1"/>
          <w:szCs w:val="22"/>
        </w:rPr>
        <w:t>dopravě a</w:t>
      </w:r>
      <w:r w:rsidR="005A1247">
        <w:rPr>
          <w:color w:val="000000" w:themeColor="text1"/>
          <w:szCs w:val="22"/>
        </w:rPr>
        <w:t> </w:t>
      </w:r>
      <w:r w:rsidR="001269A0" w:rsidRPr="00730E79">
        <w:rPr>
          <w:color w:val="000000" w:themeColor="text1"/>
          <w:szCs w:val="22"/>
        </w:rPr>
        <w:t>vytvořil</w:t>
      </w:r>
      <w:r w:rsidR="00D40CEB" w:rsidRPr="00730E79">
        <w:rPr>
          <w:color w:val="000000" w:themeColor="text1"/>
          <w:szCs w:val="22"/>
        </w:rPr>
        <w:t>y</w:t>
      </w:r>
      <w:r w:rsidR="001269A0" w:rsidRPr="00730E79">
        <w:rPr>
          <w:color w:val="000000" w:themeColor="text1"/>
          <w:szCs w:val="22"/>
        </w:rPr>
        <w:t xml:space="preserve"> tak dostatečně příznivé prostředí pro širší uplatnění vybraných alternativních paliv a</w:t>
      </w:r>
      <w:r w:rsidR="005A1247">
        <w:rPr>
          <w:color w:val="000000" w:themeColor="text1"/>
          <w:szCs w:val="22"/>
        </w:rPr>
        <w:t> </w:t>
      </w:r>
      <w:r w:rsidR="001269A0" w:rsidRPr="00730E79">
        <w:rPr>
          <w:color w:val="000000" w:themeColor="text1"/>
          <w:szCs w:val="22"/>
        </w:rPr>
        <w:t>pohonů</w:t>
      </w:r>
      <w:r w:rsidR="00D40CEB" w:rsidRPr="00730E79">
        <w:rPr>
          <w:color w:val="000000" w:themeColor="text1"/>
          <w:szCs w:val="22"/>
        </w:rPr>
        <w:t>,</w:t>
      </w:r>
      <w:r w:rsidR="001269A0" w:rsidRPr="00730E79">
        <w:rPr>
          <w:color w:val="000000" w:themeColor="text1"/>
          <w:szCs w:val="22"/>
        </w:rPr>
        <w:t xml:space="preserve"> </w:t>
      </w:r>
      <w:r w:rsidR="005F7393" w:rsidRPr="00730E79">
        <w:rPr>
          <w:color w:val="000000" w:themeColor="text1"/>
          <w:szCs w:val="22"/>
        </w:rPr>
        <w:t>a</w:t>
      </w:r>
      <w:r w:rsidR="005A1247">
        <w:rPr>
          <w:color w:val="000000" w:themeColor="text1"/>
          <w:szCs w:val="22"/>
        </w:rPr>
        <w:t> </w:t>
      </w:r>
      <w:r w:rsidR="005F7393" w:rsidRPr="00730E79">
        <w:rPr>
          <w:color w:val="000000" w:themeColor="text1"/>
          <w:szCs w:val="22"/>
        </w:rPr>
        <w:t>to</w:t>
      </w:r>
      <w:r w:rsidR="00236D49" w:rsidRPr="00730E79">
        <w:rPr>
          <w:color w:val="000000" w:themeColor="text1"/>
          <w:szCs w:val="22"/>
        </w:rPr>
        <w:t xml:space="preserve"> primárně </w:t>
      </w:r>
      <w:r w:rsidR="001269A0" w:rsidRPr="00730E79">
        <w:rPr>
          <w:color w:val="000000" w:themeColor="text1"/>
          <w:szCs w:val="22"/>
        </w:rPr>
        <w:t>v</w:t>
      </w:r>
      <w:r w:rsidR="005A1247">
        <w:rPr>
          <w:color w:val="000000" w:themeColor="text1"/>
          <w:szCs w:val="22"/>
        </w:rPr>
        <w:t> </w:t>
      </w:r>
      <w:r w:rsidR="001269A0" w:rsidRPr="00730E79">
        <w:rPr>
          <w:color w:val="000000" w:themeColor="text1"/>
          <w:szCs w:val="22"/>
        </w:rPr>
        <w:t xml:space="preserve">sektoru </w:t>
      </w:r>
      <w:r w:rsidR="00236D49" w:rsidRPr="00730E79">
        <w:rPr>
          <w:color w:val="000000" w:themeColor="text1"/>
          <w:szCs w:val="22"/>
        </w:rPr>
        <w:t xml:space="preserve">silniční </w:t>
      </w:r>
      <w:r w:rsidR="001269A0" w:rsidRPr="00730E79">
        <w:rPr>
          <w:color w:val="000000" w:themeColor="text1"/>
          <w:szCs w:val="22"/>
        </w:rPr>
        <w:t>dopravy</w:t>
      </w:r>
      <w:r w:rsidRPr="00730E79">
        <w:rPr>
          <w:color w:val="000000" w:themeColor="text1"/>
          <w:szCs w:val="22"/>
        </w:rPr>
        <w:t>.</w:t>
      </w:r>
      <w:r w:rsidR="001269A0" w:rsidRPr="00730E79">
        <w:rPr>
          <w:color w:val="000000" w:themeColor="text1"/>
          <w:szCs w:val="22"/>
        </w:rPr>
        <w:t xml:space="preserve"> </w:t>
      </w:r>
      <w:r w:rsidRPr="00730E79">
        <w:rPr>
          <w:b/>
          <w:color w:val="000000" w:themeColor="text1"/>
          <w:szCs w:val="22"/>
        </w:rPr>
        <w:t>A</w:t>
      </w:r>
      <w:r w:rsidR="001269A0" w:rsidRPr="00730E79">
        <w:rPr>
          <w:b/>
          <w:color w:val="000000" w:themeColor="text1"/>
          <w:szCs w:val="22"/>
        </w:rPr>
        <w:t>ktualizace tohoto dokumentu reag</w:t>
      </w:r>
      <w:r w:rsidR="00D40CEB" w:rsidRPr="00730E79">
        <w:rPr>
          <w:b/>
          <w:color w:val="000000" w:themeColor="text1"/>
          <w:szCs w:val="22"/>
        </w:rPr>
        <w:t>uje</w:t>
      </w:r>
      <w:r w:rsidR="001269A0" w:rsidRPr="00730E79">
        <w:rPr>
          <w:b/>
          <w:color w:val="000000" w:themeColor="text1"/>
          <w:szCs w:val="22"/>
        </w:rPr>
        <w:t xml:space="preserve"> na </w:t>
      </w:r>
      <w:r w:rsidR="00D40CEB" w:rsidRPr="00730E79">
        <w:rPr>
          <w:b/>
          <w:color w:val="000000" w:themeColor="text1"/>
          <w:szCs w:val="22"/>
        </w:rPr>
        <w:t>dosavadní postup plnění a</w:t>
      </w:r>
      <w:r w:rsidR="005A1247">
        <w:rPr>
          <w:b/>
          <w:color w:val="000000" w:themeColor="text1"/>
          <w:szCs w:val="22"/>
        </w:rPr>
        <w:t> </w:t>
      </w:r>
      <w:r w:rsidR="001269A0" w:rsidRPr="00730E79">
        <w:rPr>
          <w:b/>
          <w:color w:val="000000" w:themeColor="text1"/>
          <w:szCs w:val="22"/>
        </w:rPr>
        <w:t>některé nové výzvy v</w:t>
      </w:r>
      <w:r w:rsidR="005A1247">
        <w:rPr>
          <w:b/>
          <w:color w:val="000000" w:themeColor="text1"/>
          <w:szCs w:val="22"/>
        </w:rPr>
        <w:t> </w:t>
      </w:r>
      <w:r w:rsidR="001269A0" w:rsidRPr="00730E79">
        <w:rPr>
          <w:b/>
          <w:color w:val="000000" w:themeColor="text1"/>
          <w:szCs w:val="22"/>
        </w:rPr>
        <w:t>této oblasti a</w:t>
      </w:r>
      <w:r w:rsidR="005A1247">
        <w:rPr>
          <w:b/>
          <w:color w:val="000000" w:themeColor="text1"/>
          <w:szCs w:val="22"/>
        </w:rPr>
        <w:t> </w:t>
      </w:r>
      <w:r w:rsidR="001269A0" w:rsidRPr="00730E79">
        <w:rPr>
          <w:b/>
          <w:color w:val="000000" w:themeColor="text1"/>
          <w:szCs w:val="22"/>
        </w:rPr>
        <w:t>reflekt</w:t>
      </w:r>
      <w:r w:rsidR="00D40CEB" w:rsidRPr="00730E79">
        <w:rPr>
          <w:b/>
          <w:color w:val="000000" w:themeColor="text1"/>
          <w:szCs w:val="22"/>
        </w:rPr>
        <w:t>uje</w:t>
      </w:r>
      <w:r w:rsidR="001269A0" w:rsidRPr="00730E79">
        <w:rPr>
          <w:b/>
          <w:color w:val="000000" w:themeColor="text1"/>
          <w:szCs w:val="22"/>
        </w:rPr>
        <w:t xml:space="preserve"> </w:t>
      </w:r>
      <w:r w:rsidRPr="00730E79">
        <w:rPr>
          <w:b/>
          <w:color w:val="000000" w:themeColor="text1"/>
          <w:szCs w:val="22"/>
        </w:rPr>
        <w:t xml:space="preserve">mj. </w:t>
      </w:r>
      <w:r w:rsidR="001269A0" w:rsidRPr="00730E79">
        <w:rPr>
          <w:b/>
          <w:color w:val="000000" w:themeColor="text1"/>
          <w:szCs w:val="22"/>
        </w:rPr>
        <w:t xml:space="preserve">nejnovější vývoj legislativy EU. </w:t>
      </w:r>
      <w:r w:rsidRPr="00730E79">
        <w:rPr>
          <w:noProof/>
          <w:color w:val="000000" w:themeColor="text1"/>
          <w:szCs w:val="22"/>
        </w:rPr>
        <w:t>S</w:t>
      </w:r>
      <w:r w:rsidR="005A1247">
        <w:rPr>
          <w:noProof/>
          <w:color w:val="000000" w:themeColor="text1"/>
          <w:szCs w:val="22"/>
        </w:rPr>
        <w:t> </w:t>
      </w:r>
      <w:r w:rsidRPr="00730E79">
        <w:rPr>
          <w:noProof/>
          <w:color w:val="000000" w:themeColor="text1"/>
          <w:szCs w:val="22"/>
        </w:rPr>
        <w:t>ohledem na důraz kladený na úrovni EU na dosažení dekarbonizace ve všech druzích dopravy, obsahuje NAP CM i</w:t>
      </w:r>
      <w:r w:rsidR="005A1247">
        <w:rPr>
          <w:noProof/>
          <w:color w:val="000000" w:themeColor="text1"/>
          <w:szCs w:val="22"/>
        </w:rPr>
        <w:t> </w:t>
      </w:r>
      <w:r w:rsidRPr="00730E79">
        <w:rPr>
          <w:noProof/>
          <w:color w:val="000000" w:themeColor="text1"/>
          <w:szCs w:val="22"/>
        </w:rPr>
        <w:t>samostatnou kapitolu týkající se čisté mobility v</w:t>
      </w:r>
      <w:r w:rsidR="005A1247">
        <w:rPr>
          <w:noProof/>
          <w:color w:val="000000" w:themeColor="text1"/>
          <w:szCs w:val="22"/>
        </w:rPr>
        <w:t> </w:t>
      </w:r>
      <w:r w:rsidRPr="00730E79">
        <w:rPr>
          <w:noProof/>
          <w:color w:val="000000" w:themeColor="text1"/>
          <w:szCs w:val="22"/>
        </w:rPr>
        <w:t xml:space="preserve">nesilničních druzích dopravy.  </w:t>
      </w:r>
      <w:r w:rsidR="001269A0" w:rsidRPr="00730E79">
        <w:rPr>
          <w:b/>
          <w:color w:val="000000" w:themeColor="text1"/>
          <w:szCs w:val="22"/>
        </w:rPr>
        <w:t xml:space="preserve"> </w:t>
      </w:r>
    </w:p>
    <w:p w14:paraId="3E750D6B" w14:textId="19E7D9D2" w:rsidR="001269A0" w:rsidRPr="00730E79" w:rsidRDefault="001269A0" w:rsidP="009A3B7E">
      <w:pPr>
        <w:jc w:val="both"/>
        <w:rPr>
          <w:color w:val="000000" w:themeColor="text1"/>
          <w:szCs w:val="22"/>
        </w:rPr>
      </w:pPr>
      <w:r w:rsidRPr="00730E79">
        <w:rPr>
          <w:color w:val="000000" w:themeColor="text1"/>
          <w:szCs w:val="22"/>
        </w:rPr>
        <w:t xml:space="preserve">Za nejvýraznější změnu mezinárodního kontextu rozvoje čisté mobility, ke které došlo od schválení původního NAP CM, lze považovat přijetí tzv. </w:t>
      </w:r>
      <w:r w:rsidRPr="00730E79">
        <w:rPr>
          <w:b/>
          <w:color w:val="000000" w:themeColor="text1"/>
          <w:szCs w:val="22"/>
        </w:rPr>
        <w:t>Pařížské dohody o</w:t>
      </w:r>
      <w:r w:rsidR="005A1247">
        <w:rPr>
          <w:b/>
          <w:color w:val="000000" w:themeColor="text1"/>
          <w:szCs w:val="22"/>
        </w:rPr>
        <w:t> </w:t>
      </w:r>
      <w:r w:rsidRPr="00730E79">
        <w:rPr>
          <w:b/>
          <w:color w:val="000000" w:themeColor="text1"/>
          <w:szCs w:val="22"/>
        </w:rPr>
        <w:t>změně klimatu</w:t>
      </w:r>
      <w:r w:rsidRPr="00730E79">
        <w:rPr>
          <w:color w:val="000000" w:themeColor="text1"/>
          <w:szCs w:val="22"/>
        </w:rPr>
        <w:t>.</w:t>
      </w:r>
      <w:r w:rsidR="0060271B" w:rsidRPr="00730E79">
        <w:rPr>
          <w:color w:val="000000" w:themeColor="text1"/>
          <w:szCs w:val="22"/>
        </w:rPr>
        <w:t xml:space="preserve"> </w:t>
      </w:r>
      <w:r w:rsidRPr="00730E79">
        <w:rPr>
          <w:color w:val="000000" w:themeColor="text1"/>
          <w:szCs w:val="22"/>
        </w:rPr>
        <w:t>V</w:t>
      </w:r>
      <w:r w:rsidR="005A1247">
        <w:rPr>
          <w:color w:val="000000" w:themeColor="text1"/>
          <w:szCs w:val="22"/>
        </w:rPr>
        <w:t> </w:t>
      </w:r>
      <w:r w:rsidRPr="00730E79">
        <w:rPr>
          <w:color w:val="000000" w:themeColor="text1"/>
          <w:szCs w:val="22"/>
        </w:rPr>
        <w:t>této dohodě se signatářské země zavázaly udržet nárůst globální průměrné teploty výrazně pod hranicí 2 °C oproti hodnotám před průmyslovou revolucí a</w:t>
      </w:r>
      <w:r w:rsidR="005A1247">
        <w:rPr>
          <w:color w:val="000000" w:themeColor="text1"/>
          <w:szCs w:val="22"/>
        </w:rPr>
        <w:t> </w:t>
      </w:r>
      <w:r w:rsidRPr="00730E79">
        <w:rPr>
          <w:color w:val="000000" w:themeColor="text1"/>
          <w:szCs w:val="22"/>
        </w:rPr>
        <w:t>vyvin</w:t>
      </w:r>
      <w:r w:rsidR="00FD5746" w:rsidRPr="00730E79">
        <w:rPr>
          <w:color w:val="000000" w:themeColor="text1"/>
          <w:szCs w:val="22"/>
        </w:rPr>
        <w:t>o</w:t>
      </w:r>
      <w:r w:rsidRPr="00730E79">
        <w:rPr>
          <w:color w:val="000000" w:themeColor="text1"/>
          <w:szCs w:val="22"/>
        </w:rPr>
        <w:t>ut úsilí o</w:t>
      </w:r>
      <w:r w:rsidR="005A1247">
        <w:rPr>
          <w:color w:val="000000" w:themeColor="text1"/>
          <w:szCs w:val="22"/>
        </w:rPr>
        <w:t> </w:t>
      </w:r>
      <w:r w:rsidRPr="00730E79">
        <w:rPr>
          <w:color w:val="000000" w:themeColor="text1"/>
          <w:szCs w:val="22"/>
        </w:rPr>
        <w:t xml:space="preserve">to, aby nárůst teploty nepřekročil hranici 1,5 °C oproti hodnotám před průmyslovou revolucí. </w:t>
      </w:r>
    </w:p>
    <w:p w14:paraId="2B90A6F3" w14:textId="3CBC9F9D" w:rsidR="001269A0" w:rsidRPr="00730E79" w:rsidRDefault="001269A0" w:rsidP="009A3B7E">
      <w:pPr>
        <w:jc w:val="both"/>
        <w:rPr>
          <w:color w:val="000000" w:themeColor="text1"/>
          <w:szCs w:val="22"/>
        </w:rPr>
      </w:pPr>
      <w:r w:rsidRPr="00730E79">
        <w:rPr>
          <w:color w:val="000000" w:themeColor="text1"/>
          <w:szCs w:val="22"/>
        </w:rPr>
        <w:t>Na úrovni Evropské unie je přitom velká snaha tento závazek nejen splnit, ale být v</w:t>
      </w:r>
      <w:r w:rsidR="005A1247">
        <w:rPr>
          <w:color w:val="000000" w:themeColor="text1"/>
          <w:szCs w:val="22"/>
        </w:rPr>
        <w:t> </w:t>
      </w:r>
      <w:r w:rsidRPr="00730E79">
        <w:rPr>
          <w:color w:val="000000" w:themeColor="text1"/>
          <w:szCs w:val="22"/>
        </w:rPr>
        <w:t>této oblasti i</w:t>
      </w:r>
      <w:r w:rsidR="005A1247">
        <w:rPr>
          <w:color w:val="000000" w:themeColor="text1"/>
          <w:szCs w:val="22"/>
        </w:rPr>
        <w:t> </w:t>
      </w:r>
      <w:r w:rsidRPr="00730E79">
        <w:rPr>
          <w:color w:val="000000" w:themeColor="text1"/>
          <w:szCs w:val="22"/>
        </w:rPr>
        <w:t>jedním z</w:t>
      </w:r>
      <w:r w:rsidR="005A1247">
        <w:rPr>
          <w:color w:val="000000" w:themeColor="text1"/>
          <w:szCs w:val="22"/>
        </w:rPr>
        <w:t> </w:t>
      </w:r>
      <w:r w:rsidRPr="00730E79">
        <w:rPr>
          <w:color w:val="000000" w:themeColor="text1"/>
          <w:szCs w:val="22"/>
        </w:rPr>
        <w:t>„tahounů“ celého procesu. Tomu odpovídá celá řada přijatých strategických dokumentů Evropské komise, z</w:t>
      </w:r>
      <w:r w:rsidR="005A1247">
        <w:rPr>
          <w:color w:val="000000" w:themeColor="text1"/>
          <w:szCs w:val="22"/>
        </w:rPr>
        <w:t> </w:t>
      </w:r>
      <w:r w:rsidRPr="00730E79">
        <w:rPr>
          <w:color w:val="000000" w:themeColor="text1"/>
          <w:szCs w:val="22"/>
        </w:rPr>
        <w:t xml:space="preserve">nichž za zmínku stojí uvést tyto: </w:t>
      </w:r>
    </w:p>
    <w:p w14:paraId="67619363" w14:textId="77777777" w:rsidR="001269A0" w:rsidRPr="001269A0" w:rsidRDefault="001269A0" w:rsidP="009A3B7E">
      <w:pPr>
        <w:pStyle w:val="Bullet1"/>
        <w:jc w:val="both"/>
        <w:rPr>
          <w:b/>
        </w:rPr>
      </w:pPr>
      <w:r w:rsidRPr="001269A0">
        <w:rPr>
          <w:b/>
        </w:rPr>
        <w:t>Sdělení Komise „Evropská strategie pro nízkoemisní dopravu</w:t>
      </w:r>
      <w:r w:rsidR="00D762F4">
        <w:rPr>
          <w:b/>
        </w:rPr>
        <w:t>“</w:t>
      </w:r>
    </w:p>
    <w:p w14:paraId="25603860" w14:textId="77777777" w:rsidR="001269A0" w:rsidRPr="001269A0" w:rsidRDefault="001269A0" w:rsidP="009A3B7E">
      <w:pPr>
        <w:pStyle w:val="Bullet1"/>
        <w:jc w:val="both"/>
        <w:rPr>
          <w:b/>
        </w:rPr>
      </w:pPr>
      <w:r w:rsidRPr="001269A0">
        <w:rPr>
          <w:b/>
        </w:rPr>
        <w:t xml:space="preserve">Sdělení Komise „Širší využívání alternativních paliv - Akční plán pro zavádění infrastruktury pro alternativní paliva podle čl. 10 odst. 6 směrnice 2014/94/EU </w:t>
      </w:r>
    </w:p>
    <w:p w14:paraId="2407D9A3" w14:textId="010C2053" w:rsidR="00C374FF" w:rsidRPr="000F0805" w:rsidRDefault="00905341" w:rsidP="000F0805">
      <w:pPr>
        <w:pStyle w:val="Bullet1"/>
        <w:jc w:val="both"/>
        <w:rPr>
          <w:b/>
        </w:rPr>
      </w:pPr>
      <w:r w:rsidRPr="001269A0">
        <w:rPr>
          <w:b/>
        </w:rPr>
        <w:t>Sdělení Komise „Čistá planeta</w:t>
      </w:r>
      <w:r w:rsidR="002249E4">
        <w:rPr>
          <w:b/>
        </w:rPr>
        <w:t xml:space="preserve"> pro všechny</w:t>
      </w:r>
      <w:r w:rsidRPr="001269A0">
        <w:rPr>
          <w:b/>
        </w:rPr>
        <w:t>: Evropská dlouhodobá vize prosperující, moderní, konkurenceschopné a</w:t>
      </w:r>
      <w:r w:rsidR="005A1247">
        <w:rPr>
          <w:b/>
        </w:rPr>
        <w:t> </w:t>
      </w:r>
      <w:r w:rsidRPr="001269A0">
        <w:rPr>
          <w:b/>
        </w:rPr>
        <w:t>klimaticky neutrální ekonomiky</w:t>
      </w:r>
      <w:r w:rsidRPr="00FD7A23">
        <w:t>“</w:t>
      </w:r>
      <w:r>
        <w:t xml:space="preserve"> </w:t>
      </w:r>
      <w:r w:rsidRPr="00FD7A23">
        <w:t>(obsahuje dlouhodobou klimatickou strategii EU do roku 2050 – klimatická neutralita a</w:t>
      </w:r>
      <w:r w:rsidR="005A1247">
        <w:t> </w:t>
      </w:r>
      <w:r w:rsidRPr="00FD7A23">
        <w:t>dekarbonizace)</w:t>
      </w:r>
    </w:p>
    <w:p w14:paraId="5C34F889" w14:textId="1912FF20" w:rsidR="001269A0" w:rsidRPr="005D3340" w:rsidRDefault="001269A0" w:rsidP="009A3B7E">
      <w:pPr>
        <w:jc w:val="both"/>
        <w:rPr>
          <w:b/>
          <w:noProof/>
        </w:rPr>
      </w:pPr>
      <w:r w:rsidRPr="005D3340">
        <w:t>Poslední z</w:t>
      </w:r>
      <w:r w:rsidR="005A1247">
        <w:t> </w:t>
      </w:r>
      <w:r w:rsidRPr="005D3340">
        <w:t>těchto dokumentů obsahuje dlouhodobou klimatickou strategii EU do roku 2050</w:t>
      </w:r>
      <w:r>
        <w:t xml:space="preserve"> obsahující </w:t>
      </w:r>
      <w:r w:rsidRPr="00A530E7">
        <w:rPr>
          <w:b/>
        </w:rPr>
        <w:t>vizi tzv. klimatické neutrality</w:t>
      </w:r>
      <w:r w:rsidRPr="005D3340">
        <w:t>, která na jednu stranu konstatuje, že k</w:t>
      </w:r>
      <w:r w:rsidR="005A1247">
        <w:t> </w:t>
      </w:r>
      <w:r w:rsidRPr="005D3340">
        <w:rPr>
          <w:b/>
          <w:noProof/>
        </w:rPr>
        <w:t>dekarbonizaci systému mobility musí přispět všechny druhy dopravy</w:t>
      </w:r>
      <w:r w:rsidRPr="005D3340">
        <w:rPr>
          <w:noProof/>
        </w:rPr>
        <w:t xml:space="preserve"> a</w:t>
      </w:r>
      <w:r w:rsidR="005A1247">
        <w:rPr>
          <w:noProof/>
        </w:rPr>
        <w:t> </w:t>
      </w:r>
      <w:r w:rsidRPr="005D3340">
        <w:rPr>
          <w:noProof/>
        </w:rPr>
        <w:t>na stranu</w:t>
      </w:r>
      <w:r w:rsidR="0060271B">
        <w:rPr>
          <w:noProof/>
        </w:rPr>
        <w:t xml:space="preserve"> </w:t>
      </w:r>
      <w:r w:rsidRPr="005D3340">
        <w:rPr>
          <w:noProof/>
        </w:rPr>
        <w:t xml:space="preserve">druhou připouští, že </w:t>
      </w:r>
      <w:r w:rsidRPr="005D3340">
        <w:rPr>
          <w:b/>
          <w:noProof/>
        </w:rPr>
        <w:t>elektrifikace za použití obnovitelných zdrojů energie sama o</w:t>
      </w:r>
      <w:r w:rsidR="005A1247">
        <w:rPr>
          <w:b/>
          <w:noProof/>
        </w:rPr>
        <w:t> </w:t>
      </w:r>
      <w:r w:rsidRPr="005D3340">
        <w:rPr>
          <w:b/>
          <w:noProof/>
        </w:rPr>
        <w:t xml:space="preserve">sobě není jediným zázračným řešením pro všechny druhy dopravy. </w:t>
      </w:r>
      <w:r w:rsidRPr="005D3340">
        <w:rPr>
          <w:noProof/>
        </w:rPr>
        <w:t>Do doby, než se objeví nové technologie, které umožní elektrifikovat více druhů dopravy, než je tomu dnes, tak budou dle EK důležitá i</w:t>
      </w:r>
      <w:r w:rsidR="005A1247">
        <w:rPr>
          <w:noProof/>
        </w:rPr>
        <w:t> </w:t>
      </w:r>
      <w:r w:rsidRPr="005D3340">
        <w:rPr>
          <w:noProof/>
        </w:rPr>
        <w:t xml:space="preserve">jiná alternativní paliva. </w:t>
      </w:r>
    </w:p>
    <w:p w14:paraId="772F940E" w14:textId="06022C40" w:rsidR="001269A0" w:rsidRDefault="001269A0" w:rsidP="009A3B7E">
      <w:pPr>
        <w:jc w:val="both"/>
        <w:rPr>
          <w:b/>
        </w:rPr>
      </w:pPr>
      <w:r w:rsidRPr="005D3340">
        <w:t xml:space="preserve">V návaznosti na </w:t>
      </w:r>
      <w:r>
        <w:t xml:space="preserve">výše uvedený </w:t>
      </w:r>
      <w:r w:rsidRPr="005D3340">
        <w:t xml:space="preserve">mezinárodní smluvní závazek bylo na úrovni EU </w:t>
      </w:r>
      <w:r>
        <w:t>v</w:t>
      </w:r>
      <w:r w:rsidR="005A1247">
        <w:t> </w:t>
      </w:r>
      <w:r>
        <w:t xml:space="preserve">posledních letech </w:t>
      </w:r>
      <w:r w:rsidRPr="005D3340">
        <w:t xml:space="preserve">přijato </w:t>
      </w:r>
      <w:r>
        <w:t>i</w:t>
      </w:r>
      <w:r w:rsidR="005A1247">
        <w:t> </w:t>
      </w:r>
      <w:r w:rsidRPr="005D3340">
        <w:t>několik nových právních předpisů, kter</w:t>
      </w:r>
      <w:r>
        <w:t xml:space="preserve">é </w:t>
      </w:r>
      <w:r w:rsidRPr="005D3340">
        <w:t>do budoucna zásadním způsobem ovlivní směřování čisté mobility. Jde zejména o</w:t>
      </w:r>
      <w:r w:rsidR="005A1247">
        <w:t> </w:t>
      </w:r>
      <w:r w:rsidRPr="005D3340">
        <w:rPr>
          <w:b/>
        </w:rPr>
        <w:t>dvě nová nařízení, která stanoví výkonnostní emisní normy CO</w:t>
      </w:r>
      <w:r w:rsidRPr="005D3340">
        <w:rPr>
          <w:b/>
          <w:vertAlign w:val="subscript"/>
        </w:rPr>
        <w:t>2</w:t>
      </w:r>
      <w:r w:rsidRPr="005D3340">
        <w:rPr>
          <w:b/>
        </w:rPr>
        <w:t xml:space="preserve"> pro nové osobní automobily, lehká užitková vozidla</w:t>
      </w:r>
      <w:r w:rsidR="00186DE0">
        <w:rPr>
          <w:b/>
        </w:rPr>
        <w:t xml:space="preserve"> (2019/631)</w:t>
      </w:r>
      <w:r w:rsidRPr="005D3340">
        <w:rPr>
          <w:b/>
        </w:rPr>
        <w:t xml:space="preserve"> a</w:t>
      </w:r>
      <w:r w:rsidR="005A1247">
        <w:rPr>
          <w:b/>
        </w:rPr>
        <w:t> </w:t>
      </w:r>
      <w:r w:rsidRPr="005D3340">
        <w:rPr>
          <w:b/>
        </w:rPr>
        <w:t>nově i</w:t>
      </w:r>
      <w:r w:rsidR="005A1247">
        <w:rPr>
          <w:b/>
        </w:rPr>
        <w:t> </w:t>
      </w:r>
      <w:r w:rsidRPr="005D3340">
        <w:rPr>
          <w:b/>
        </w:rPr>
        <w:t xml:space="preserve">těžká vozidla </w:t>
      </w:r>
      <w:r w:rsidR="00186DE0">
        <w:rPr>
          <w:b/>
        </w:rPr>
        <w:t xml:space="preserve">(2019/1242) </w:t>
      </w:r>
      <w:r w:rsidRPr="005D3340">
        <w:rPr>
          <w:b/>
        </w:rPr>
        <w:t xml:space="preserve">po roce 2020 </w:t>
      </w:r>
      <w:r w:rsidRPr="005D3340">
        <w:t>a</w:t>
      </w:r>
      <w:r w:rsidR="005A1247">
        <w:t> </w:t>
      </w:r>
      <w:r w:rsidRPr="005D3340">
        <w:rPr>
          <w:b/>
        </w:rPr>
        <w:t>revizi směrnice 2009/33/ES o</w:t>
      </w:r>
      <w:r w:rsidR="005A1247">
        <w:rPr>
          <w:b/>
        </w:rPr>
        <w:t> </w:t>
      </w:r>
      <w:r w:rsidR="00905341">
        <w:rPr>
          <w:b/>
        </w:rPr>
        <w:t xml:space="preserve">podpoře </w:t>
      </w:r>
      <w:r w:rsidRPr="005D3340">
        <w:rPr>
          <w:b/>
        </w:rPr>
        <w:t xml:space="preserve">čistých </w:t>
      </w:r>
      <w:r w:rsidR="00905341">
        <w:rPr>
          <w:b/>
        </w:rPr>
        <w:t>a</w:t>
      </w:r>
      <w:r w:rsidR="005A1247">
        <w:rPr>
          <w:b/>
        </w:rPr>
        <w:t> </w:t>
      </w:r>
      <w:r w:rsidR="00905341">
        <w:rPr>
          <w:b/>
        </w:rPr>
        <w:t>energeticky účinných</w:t>
      </w:r>
      <w:r w:rsidRPr="005D3340">
        <w:rPr>
          <w:b/>
        </w:rPr>
        <w:t xml:space="preserve"> </w:t>
      </w:r>
      <w:r w:rsidR="00FD4F8B">
        <w:rPr>
          <w:b/>
        </w:rPr>
        <w:t xml:space="preserve">silničních </w:t>
      </w:r>
      <w:r w:rsidRPr="005D3340">
        <w:rPr>
          <w:b/>
        </w:rPr>
        <w:t>vozid</w:t>
      </w:r>
      <w:r w:rsidR="00905341">
        <w:rPr>
          <w:b/>
        </w:rPr>
        <w:t>el</w:t>
      </w:r>
      <w:r w:rsidRPr="005D3340">
        <w:rPr>
          <w:b/>
        </w:rPr>
        <w:t xml:space="preserve">. </w:t>
      </w:r>
      <w:r w:rsidRPr="005D3340">
        <w:t>Oblast elektromobility bude vedle toho do budoucna nově ovlivňovat regulace přijatá</w:t>
      </w:r>
      <w:r w:rsidRPr="003B0465">
        <w:t xml:space="preserve"> jako součást </w:t>
      </w:r>
      <w:r w:rsidRPr="003B0465">
        <w:rPr>
          <w:b/>
        </w:rPr>
        <w:t>revize směrnice 2010/31/EU o</w:t>
      </w:r>
      <w:r w:rsidR="005A1247">
        <w:rPr>
          <w:b/>
        </w:rPr>
        <w:t> </w:t>
      </w:r>
      <w:r w:rsidRPr="003B0465">
        <w:rPr>
          <w:b/>
        </w:rPr>
        <w:t xml:space="preserve">energetické </w:t>
      </w:r>
      <w:r w:rsidR="00905341">
        <w:rPr>
          <w:b/>
        </w:rPr>
        <w:t>náročnosti</w:t>
      </w:r>
      <w:r w:rsidRPr="003B0465">
        <w:rPr>
          <w:b/>
        </w:rPr>
        <w:t xml:space="preserve"> budov</w:t>
      </w:r>
      <w:r w:rsidR="00186DE0">
        <w:rPr>
          <w:b/>
        </w:rPr>
        <w:t xml:space="preserve"> (2019/1161)</w:t>
      </w:r>
      <w:r w:rsidRPr="003B0465">
        <w:rPr>
          <w:b/>
        </w:rPr>
        <w:t xml:space="preserve">. </w:t>
      </w:r>
    </w:p>
    <w:p w14:paraId="55E33A8E" w14:textId="3ABBB335" w:rsidR="001A3909" w:rsidRPr="007E541C" w:rsidRDefault="001A3909" w:rsidP="009A3B7E">
      <w:pPr>
        <w:jc w:val="both"/>
      </w:pPr>
      <w:r w:rsidRPr="007E541C">
        <w:t>Nejnovější sdělení EK, které pravděpodobně dále ovlivní vývoj čisté mobility je na konci roku 2019 vydaný tzv. European Green Deal. Jde o</w:t>
      </w:r>
      <w:r w:rsidR="005A1247">
        <w:t> </w:t>
      </w:r>
      <w:r w:rsidRPr="007E541C">
        <w:t>komplexní dokument popisující potřebné politiky a</w:t>
      </w:r>
      <w:r w:rsidR="005A1247">
        <w:t> </w:t>
      </w:r>
      <w:r w:rsidRPr="007E541C">
        <w:t>opatření k</w:t>
      </w:r>
      <w:r w:rsidR="005A1247">
        <w:t> </w:t>
      </w:r>
      <w:r w:rsidRPr="007E541C">
        <w:t>dosažení cíle klima</w:t>
      </w:r>
      <w:r w:rsidRPr="001A3909">
        <w:t xml:space="preserve">tické neutrality EU do r. 2050. </w:t>
      </w:r>
      <w:r w:rsidRPr="007E541C">
        <w:t xml:space="preserve">EK </w:t>
      </w:r>
      <w:r>
        <w:t xml:space="preserve">hodlá </w:t>
      </w:r>
      <w:r w:rsidRPr="005A6F70">
        <w:t>do léta 2020</w:t>
      </w:r>
      <w:r w:rsidRPr="007E541C">
        <w:t xml:space="preserve"> navrhnout zpřísnění unijního cíle pro snížení emisí skleníkových plynů do r. 2030 (oproti r. 1990) ze stávajících -40% na -50% až -55%.</w:t>
      </w:r>
    </w:p>
    <w:p w14:paraId="774FD9B0" w14:textId="7340E302" w:rsidR="001269A0" w:rsidRPr="007E541C" w:rsidRDefault="001269A0" w:rsidP="009A3B7E">
      <w:pPr>
        <w:jc w:val="both"/>
        <w:rPr>
          <w:b/>
        </w:rPr>
      </w:pPr>
      <w:r w:rsidRPr="003B0465">
        <w:lastRenderedPageBreak/>
        <w:t>Aktualizaci NAP CM</w:t>
      </w:r>
      <w:r w:rsidR="00FD4F8B">
        <w:rPr>
          <w:rStyle w:val="Znakapoznpodarou"/>
        </w:rPr>
        <w:footnoteReference w:id="2"/>
      </w:r>
      <w:r w:rsidRPr="003B0465">
        <w:t xml:space="preserve"> je třeba vnímat i</w:t>
      </w:r>
      <w:r w:rsidR="005A1247">
        <w:t> </w:t>
      </w:r>
      <w:r w:rsidRPr="003B0465">
        <w:t>v</w:t>
      </w:r>
      <w:r w:rsidR="000F2439">
        <w:t> </w:t>
      </w:r>
      <w:r w:rsidRPr="003B0465">
        <w:t>souvislosti s</w:t>
      </w:r>
      <w:r w:rsidR="005A1247">
        <w:t> </w:t>
      </w:r>
      <w:r w:rsidRPr="003B0465">
        <w:t xml:space="preserve">naplňováním </w:t>
      </w:r>
      <w:r w:rsidRPr="003B0465">
        <w:rPr>
          <w:b/>
        </w:rPr>
        <w:t>Vnitrostátního plánu České republiky v</w:t>
      </w:r>
      <w:r w:rsidR="005A1247">
        <w:rPr>
          <w:b/>
        </w:rPr>
        <w:t> </w:t>
      </w:r>
      <w:r w:rsidRPr="003B0465">
        <w:rPr>
          <w:b/>
        </w:rPr>
        <w:t>oblasti energetiky a</w:t>
      </w:r>
      <w:r w:rsidR="005A1247">
        <w:rPr>
          <w:b/>
        </w:rPr>
        <w:t> </w:t>
      </w:r>
      <w:r w:rsidRPr="003B0465">
        <w:rPr>
          <w:b/>
        </w:rPr>
        <w:t>klimatu</w:t>
      </w:r>
      <w:r w:rsidR="003721F3">
        <w:rPr>
          <w:b/>
        </w:rPr>
        <w:t xml:space="preserve"> </w:t>
      </w:r>
      <w:r w:rsidR="00BF5310">
        <w:rPr>
          <w:b/>
        </w:rPr>
        <w:t>(</w:t>
      </w:r>
      <w:r w:rsidR="00FB3866">
        <w:rPr>
          <w:b/>
        </w:rPr>
        <w:t>Vnitrostátní plán</w:t>
      </w:r>
      <w:r w:rsidR="00BF5310">
        <w:rPr>
          <w:b/>
        </w:rPr>
        <w:t>)</w:t>
      </w:r>
      <w:r w:rsidRPr="003B0465">
        <w:t xml:space="preserve">, </w:t>
      </w:r>
      <w:r w:rsidR="00F67E6B" w:rsidRPr="00F67E6B">
        <w:t>jehož návrh byl zpracován v</w:t>
      </w:r>
      <w:r w:rsidR="005A1247">
        <w:t> </w:t>
      </w:r>
      <w:r w:rsidR="00F67E6B" w:rsidRPr="00F67E6B">
        <w:t>roce 2018</w:t>
      </w:r>
      <w:r w:rsidR="00F67E6B">
        <w:t xml:space="preserve"> </w:t>
      </w:r>
      <w:r w:rsidRPr="003B0465">
        <w:t xml:space="preserve">na základě požadavku </w:t>
      </w:r>
      <w:r w:rsidR="00AB22D2">
        <w:t>n</w:t>
      </w:r>
      <w:r w:rsidRPr="003B0465">
        <w:t>ařízení Evropského parlamentu a</w:t>
      </w:r>
      <w:r w:rsidR="005A1247">
        <w:t> </w:t>
      </w:r>
      <w:r w:rsidRPr="003B0465">
        <w:t>Rady (EU) 2018/1999 o</w:t>
      </w:r>
      <w:r w:rsidR="005A1247">
        <w:t> </w:t>
      </w:r>
      <w:r w:rsidRPr="003B0465">
        <w:t>správě energetické unie</w:t>
      </w:r>
      <w:r w:rsidR="000F0805">
        <w:t xml:space="preserve"> a</w:t>
      </w:r>
      <w:r w:rsidR="005A1247">
        <w:t> </w:t>
      </w:r>
      <w:r w:rsidR="003721F3">
        <w:t>vládou byl schválen 13. ledna 2020</w:t>
      </w:r>
      <w:r w:rsidRPr="003B0465">
        <w:t>.</w:t>
      </w:r>
      <w:r w:rsidR="00F251F3" w:rsidRPr="00F251F3">
        <w:t xml:space="preserve"> </w:t>
      </w:r>
      <w:r w:rsidR="00F251F3">
        <w:t>O</w:t>
      </w:r>
      <w:r w:rsidR="00F251F3" w:rsidRPr="00F251F3">
        <w:t>bsahuje cíle a</w:t>
      </w:r>
      <w:r w:rsidR="005A1247">
        <w:t> </w:t>
      </w:r>
      <w:r w:rsidR="00F251F3" w:rsidRPr="00F251F3">
        <w:t>politiky ve všech pěti rozměrech energetické unie na období 2021-2030 s</w:t>
      </w:r>
      <w:r w:rsidR="005A1247">
        <w:t> </w:t>
      </w:r>
      <w:r w:rsidR="00F251F3" w:rsidRPr="00F251F3">
        <w:t>výhledem do roku 2050.</w:t>
      </w:r>
      <w:r w:rsidR="00D31D34">
        <w:t xml:space="preserve"> </w:t>
      </w:r>
      <w:r w:rsidR="00F251F3">
        <w:t>S</w:t>
      </w:r>
      <w:r w:rsidRPr="003B0465">
        <w:t xml:space="preserve">hrnuje </w:t>
      </w:r>
      <w:r w:rsidR="00F251F3">
        <w:t xml:space="preserve">také </w:t>
      </w:r>
      <w:r w:rsidRPr="003B0465">
        <w:t>politiky a</w:t>
      </w:r>
      <w:r w:rsidR="005A1247">
        <w:t> </w:t>
      </w:r>
      <w:r w:rsidRPr="003B0465">
        <w:t>opatření pro splnění cílů Energetické unie a</w:t>
      </w:r>
      <w:r w:rsidR="005A1247">
        <w:t> </w:t>
      </w:r>
      <w:r w:rsidRPr="003B0465">
        <w:t xml:space="preserve">dlouhodobých závazků spojených se snižováním emisí skleníkových plynů, přičemž oblast čisté mobility spadá do kategorie těchto politik. </w:t>
      </w:r>
      <w:r w:rsidR="00BF5310">
        <w:t xml:space="preserve">Návrh </w:t>
      </w:r>
      <w:r w:rsidR="00FB3866">
        <w:t>Vnitrostátního plánu</w:t>
      </w:r>
      <w:r w:rsidR="00BF5310">
        <w:t xml:space="preserve"> v</w:t>
      </w:r>
      <w:r w:rsidR="005A1247">
        <w:t> </w:t>
      </w:r>
      <w:r w:rsidR="00BF5310">
        <w:t>návaznosti na Směrnici EP a</w:t>
      </w:r>
      <w:r w:rsidR="005A1247">
        <w:t> </w:t>
      </w:r>
      <w:r w:rsidR="00BF5310">
        <w:t xml:space="preserve">Rady 2018/2001 </w:t>
      </w:r>
      <w:r w:rsidR="00BF5310" w:rsidRPr="00DA6D22">
        <w:t>o</w:t>
      </w:r>
      <w:r w:rsidR="005A1247">
        <w:t> </w:t>
      </w:r>
      <w:r w:rsidR="00BF5310" w:rsidRPr="00DA6D22">
        <w:t>podpoře využívání energie z</w:t>
      </w:r>
      <w:r w:rsidR="005A1247">
        <w:t> </w:t>
      </w:r>
      <w:r w:rsidR="00BF5310">
        <w:t>OZE deklaruje dosažení podílu OZE na celkové spotřebě energií v</w:t>
      </w:r>
      <w:r w:rsidR="005A1247">
        <w:t> </w:t>
      </w:r>
      <w:r w:rsidR="00BF5310">
        <w:t>dopravě v</w:t>
      </w:r>
      <w:r w:rsidR="005A1247">
        <w:t> </w:t>
      </w:r>
      <w:r w:rsidR="00BF5310">
        <w:t>roce 2030 ve výši 14 %, z</w:t>
      </w:r>
      <w:r w:rsidR="005A1247">
        <w:t> </w:t>
      </w:r>
      <w:r w:rsidR="00BF5310">
        <w:t>čehož 7 % připadá</w:t>
      </w:r>
      <w:r w:rsidR="00BF5310" w:rsidRPr="00BF5310">
        <w:t xml:space="preserve"> </w:t>
      </w:r>
      <w:r w:rsidR="00505904">
        <w:t>na potravinářská biopaliva, 4,5</w:t>
      </w:r>
      <w:r w:rsidR="00BF5310">
        <w:t xml:space="preserve"> % na pokročilá biopaliva</w:t>
      </w:r>
      <w:r w:rsidR="00505904">
        <w:t>, 1,7 % na biopaliva dle části B</w:t>
      </w:r>
      <w:r w:rsidR="005A1247">
        <w:t> </w:t>
      </w:r>
      <w:r w:rsidR="00505904">
        <w:t>(suroviny pro výrobu biopaliv a</w:t>
      </w:r>
      <w:r w:rsidR="005A1247">
        <w:t> </w:t>
      </w:r>
      <w:r w:rsidR="00505904">
        <w:t>bioplynu pro dopravu)</w:t>
      </w:r>
      <w:r w:rsidR="00BF5310">
        <w:t xml:space="preserve"> a</w:t>
      </w:r>
      <w:r w:rsidR="005A1247">
        <w:t> </w:t>
      </w:r>
      <w:r w:rsidR="00BF5310">
        <w:t>0,8 % na elektřinu.</w:t>
      </w:r>
    </w:p>
    <w:p w14:paraId="4D5F37D6" w14:textId="30626665" w:rsidR="001269A0" w:rsidRPr="003B0465" w:rsidRDefault="00D57151" w:rsidP="009A3B7E">
      <w:pPr>
        <w:jc w:val="both"/>
      </w:pPr>
      <w:r w:rsidRPr="00D57151">
        <w:t xml:space="preserve">Skutečností je, že </w:t>
      </w:r>
      <w:r w:rsidRPr="00D57151">
        <w:rPr>
          <w:b/>
        </w:rPr>
        <w:t>sektor dopravy je v</w:t>
      </w:r>
      <w:r w:rsidR="005A1247">
        <w:rPr>
          <w:b/>
        </w:rPr>
        <w:t> </w:t>
      </w:r>
      <w:r w:rsidRPr="00D57151">
        <w:rPr>
          <w:b/>
        </w:rPr>
        <w:t>ČR druhým největším zdrojem emisí skleníkových plynů</w:t>
      </w:r>
      <w:r w:rsidRPr="00D57151">
        <w:t>. V</w:t>
      </w:r>
      <w:r w:rsidR="005A1247">
        <w:t> </w:t>
      </w:r>
      <w:r w:rsidRPr="00D57151">
        <w:t xml:space="preserve">období 2000–2018 se </w:t>
      </w:r>
      <w:r w:rsidR="00BD1A62">
        <w:t>emise</w:t>
      </w:r>
      <w:r w:rsidRPr="00D57151">
        <w:t xml:space="preserve"> CO</w:t>
      </w:r>
      <w:r w:rsidRPr="00D87A83">
        <w:rPr>
          <w:vertAlign w:val="subscript"/>
        </w:rPr>
        <w:t>2</w:t>
      </w:r>
      <w:r w:rsidR="00D87A83">
        <w:rPr>
          <w:vertAlign w:val="subscript"/>
        </w:rPr>
        <w:t xml:space="preserve"> </w:t>
      </w:r>
      <w:r w:rsidRPr="00D57151">
        <w:t>z</w:t>
      </w:r>
      <w:r w:rsidR="005A1247">
        <w:t> </w:t>
      </w:r>
      <w:r w:rsidRPr="00D57151">
        <w:t>dopravy zvýšily o</w:t>
      </w:r>
      <w:r w:rsidR="005A1247">
        <w:t> </w:t>
      </w:r>
      <w:r w:rsidR="008E0FDD">
        <w:t>66</w:t>
      </w:r>
      <w:r w:rsidRPr="00D57151">
        <w:t xml:space="preserve"> %</w:t>
      </w:r>
      <w:r w:rsidR="00BD1A62">
        <w:t>.</w:t>
      </w:r>
      <w:r w:rsidRPr="00D57151">
        <w:t xml:space="preserve"> V</w:t>
      </w:r>
      <w:r w:rsidR="005A1247">
        <w:t> </w:t>
      </w:r>
      <w:r w:rsidRPr="00D57151">
        <w:t xml:space="preserve">rámci sektoru dopravy je pak </w:t>
      </w:r>
      <w:r w:rsidRPr="00D57151">
        <w:rPr>
          <w:b/>
        </w:rPr>
        <w:t xml:space="preserve">největším producentem emisí </w:t>
      </w:r>
      <w:r w:rsidR="00FC6F8E">
        <w:rPr>
          <w:b/>
        </w:rPr>
        <w:t>CO</w:t>
      </w:r>
      <w:r w:rsidR="00FC6F8E">
        <w:rPr>
          <w:b/>
          <w:vertAlign w:val="subscript"/>
        </w:rPr>
        <w:t>2</w:t>
      </w:r>
      <w:r w:rsidRPr="00D57151">
        <w:rPr>
          <w:b/>
        </w:rPr>
        <w:t xml:space="preserve"> individuální automobilová doprava</w:t>
      </w:r>
      <w:r w:rsidRPr="00D57151">
        <w:t>, následovaná silniční nákladní dopravou a</w:t>
      </w:r>
      <w:r w:rsidR="005A1247">
        <w:t> </w:t>
      </w:r>
      <w:r w:rsidRPr="00D57151">
        <w:t>silniční veřejnou dopravou (viz graf produkce CO</w:t>
      </w:r>
      <w:r w:rsidRPr="00D57151">
        <w:rPr>
          <w:vertAlign w:val="subscript"/>
        </w:rPr>
        <w:t>2</w:t>
      </w:r>
      <w:r w:rsidRPr="00D57151">
        <w:t xml:space="preserve"> jednotlivými druhy dopravy v</w:t>
      </w:r>
      <w:r w:rsidR="005A1247">
        <w:t> </w:t>
      </w:r>
      <w:r w:rsidRPr="00D57151">
        <w:t>letech 1993-201</w:t>
      </w:r>
      <w:r w:rsidR="00724C55">
        <w:t>7</w:t>
      </w:r>
      <w:r w:rsidRPr="00D57151">
        <w:t>)</w:t>
      </w:r>
      <w:r>
        <w:t>.</w:t>
      </w:r>
    </w:p>
    <w:p w14:paraId="58EDF32B" w14:textId="1DDEC13C" w:rsidR="009526AB" w:rsidRDefault="009526AB" w:rsidP="009526AB">
      <w:pPr>
        <w:pStyle w:val="Titulek"/>
        <w:keepNext/>
        <w:jc w:val="both"/>
      </w:pPr>
      <w:bookmarkStart w:id="4" w:name="_Toc34298591"/>
      <w:r>
        <w:t xml:space="preserve">Graf </w:t>
      </w:r>
      <w:r w:rsidR="003A4842">
        <w:rPr>
          <w:noProof/>
        </w:rPr>
        <w:fldChar w:fldCharType="begin"/>
      </w:r>
      <w:r w:rsidR="003A4842">
        <w:rPr>
          <w:noProof/>
        </w:rPr>
        <w:instrText xml:space="preserve"> SEQ Graf \* ARABIC </w:instrText>
      </w:r>
      <w:r w:rsidR="003A4842">
        <w:rPr>
          <w:noProof/>
        </w:rPr>
        <w:fldChar w:fldCharType="separate"/>
      </w:r>
      <w:r w:rsidR="00D944E5">
        <w:rPr>
          <w:noProof/>
        </w:rPr>
        <w:t>1</w:t>
      </w:r>
      <w:r w:rsidR="003A4842">
        <w:rPr>
          <w:noProof/>
        </w:rPr>
        <w:fldChar w:fldCharType="end"/>
      </w:r>
      <w:r>
        <w:t xml:space="preserve"> V</w:t>
      </w:r>
      <w:r w:rsidRPr="009526AB">
        <w:t>ývoj emisí z</w:t>
      </w:r>
      <w:r w:rsidR="005A1247">
        <w:t> </w:t>
      </w:r>
      <w:r w:rsidRPr="009526AB">
        <w:t>dopravy v</w:t>
      </w:r>
      <w:r w:rsidR="005A1247">
        <w:t> </w:t>
      </w:r>
      <w:r w:rsidRPr="009526AB">
        <w:t>letech 1993-2017</w:t>
      </w:r>
      <w:bookmarkEnd w:id="4"/>
    </w:p>
    <w:p w14:paraId="3B969E13" w14:textId="77777777" w:rsidR="001269A0" w:rsidRDefault="001269A0" w:rsidP="009A3B7E">
      <w:pPr>
        <w:spacing w:before="160" w:after="0"/>
        <w:jc w:val="both"/>
        <w:rPr>
          <w:rFonts w:cs="Arial"/>
        </w:rPr>
      </w:pPr>
      <w:r w:rsidRPr="003B0465">
        <w:rPr>
          <w:rFonts w:cs="Arial"/>
          <w:noProof/>
        </w:rPr>
        <w:drawing>
          <wp:inline distT="0" distB="0" distL="0" distR="0" wp14:anchorId="09C7A0D8" wp14:editId="4A724008">
            <wp:extent cx="5760000" cy="3070800"/>
            <wp:effectExtent l="0" t="0" r="0" b="0"/>
            <wp:docPr id="24" name="Graf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C3B167F" w14:textId="77777777" w:rsidR="00C959F1" w:rsidRPr="003B0465" w:rsidRDefault="00C959F1" w:rsidP="009A3B7E">
      <w:pPr>
        <w:jc w:val="both"/>
        <w:rPr>
          <w:rFonts w:cs="Arial"/>
        </w:rPr>
      </w:pPr>
      <w:r>
        <w:t>Zdroj: CDV</w:t>
      </w:r>
    </w:p>
    <w:p w14:paraId="21DAC694" w14:textId="1F99488A" w:rsidR="00FE08D3" w:rsidRPr="00142EA1" w:rsidRDefault="00FE08D3" w:rsidP="009A3B7E">
      <w:pPr>
        <w:jc w:val="both"/>
        <w:rPr>
          <w:rFonts w:asciiTheme="minorHAnsi" w:hAnsiTheme="minorHAnsi" w:cstheme="minorBidi"/>
        </w:rPr>
      </w:pPr>
      <w:r w:rsidRPr="003B0465">
        <w:rPr>
          <w:rFonts w:cs="Arial"/>
          <w:b/>
        </w:rPr>
        <w:t>Doprava je v</w:t>
      </w:r>
      <w:r w:rsidR="005A1247">
        <w:rPr>
          <w:rFonts w:cs="Arial"/>
          <w:b/>
        </w:rPr>
        <w:t> </w:t>
      </w:r>
      <w:r w:rsidRPr="003B0465">
        <w:rPr>
          <w:rFonts w:cs="Arial"/>
          <w:b/>
        </w:rPr>
        <w:t>ČR i</w:t>
      </w:r>
      <w:r w:rsidR="005A1247">
        <w:rPr>
          <w:rFonts w:cs="Arial"/>
          <w:b/>
        </w:rPr>
        <w:t> </w:t>
      </w:r>
      <w:r w:rsidRPr="003B0465">
        <w:rPr>
          <w:rFonts w:cs="Arial"/>
          <w:b/>
        </w:rPr>
        <w:t>významným zdrojem znečišťujících látek</w:t>
      </w:r>
      <w:r w:rsidRPr="003B0465">
        <w:rPr>
          <w:rFonts w:cs="Arial"/>
        </w:rPr>
        <w:t xml:space="preserve"> (pevné částice frakce PM</w:t>
      </w:r>
      <w:r w:rsidRPr="003B0465">
        <w:rPr>
          <w:rFonts w:cs="Arial"/>
          <w:vertAlign w:val="subscript"/>
        </w:rPr>
        <w:t>2,5</w:t>
      </w:r>
      <w:r w:rsidRPr="003B0465">
        <w:rPr>
          <w:rFonts w:cs="Arial"/>
        </w:rPr>
        <w:t>, PM</w:t>
      </w:r>
      <w:r w:rsidRPr="003B0465">
        <w:rPr>
          <w:rFonts w:cs="Arial"/>
          <w:vertAlign w:val="subscript"/>
        </w:rPr>
        <w:t>10</w:t>
      </w:r>
      <w:r w:rsidRPr="003B0465">
        <w:rPr>
          <w:rFonts w:cs="Arial"/>
        </w:rPr>
        <w:t>, dále NO</w:t>
      </w:r>
      <w:r w:rsidRPr="003B0465">
        <w:rPr>
          <w:rFonts w:cs="Arial"/>
          <w:vertAlign w:val="subscript"/>
        </w:rPr>
        <w:t>2</w:t>
      </w:r>
      <w:r w:rsidRPr="003B0465">
        <w:rPr>
          <w:rFonts w:cs="Arial"/>
        </w:rPr>
        <w:t>)</w:t>
      </w:r>
      <w:r>
        <w:rPr>
          <w:rFonts w:cs="Arial"/>
        </w:rPr>
        <w:t xml:space="preserve">. </w:t>
      </w:r>
      <w:r>
        <w:t>Problém znečištění ze silniční dopravy se týká zejména velkých měst a</w:t>
      </w:r>
      <w:r w:rsidR="005A1247">
        <w:t> </w:t>
      </w:r>
      <w:r>
        <w:t>aglomerací, ale nevyhýbá se také menším sídlům s</w:t>
      </w:r>
      <w:r w:rsidR="005A1247">
        <w:t> </w:t>
      </w:r>
      <w:r>
        <w:t>vysokou intenzitou dopravy</w:t>
      </w:r>
      <w:r w:rsidRPr="003B0465">
        <w:rPr>
          <w:rFonts w:cs="Arial"/>
        </w:rPr>
        <w:t>. Např. v</w:t>
      </w:r>
      <w:r w:rsidR="005A1247">
        <w:rPr>
          <w:rFonts w:cs="Arial"/>
        </w:rPr>
        <w:t> </w:t>
      </w:r>
      <w:r w:rsidRPr="003B0465">
        <w:rPr>
          <w:rFonts w:cs="Arial"/>
        </w:rPr>
        <w:t>Praze se doprava v</w:t>
      </w:r>
      <w:r w:rsidR="005A1247">
        <w:rPr>
          <w:rFonts w:cs="Arial"/>
        </w:rPr>
        <w:t> </w:t>
      </w:r>
      <w:r w:rsidRPr="003B0465">
        <w:rPr>
          <w:rFonts w:cs="Arial"/>
        </w:rPr>
        <w:t>roce 2016 podílela na celkových emisích PM</w:t>
      </w:r>
      <w:r w:rsidRPr="003B0465">
        <w:rPr>
          <w:rFonts w:cs="Arial"/>
          <w:vertAlign w:val="subscript"/>
        </w:rPr>
        <w:t>2,5</w:t>
      </w:r>
      <w:r w:rsidRPr="003B0465">
        <w:rPr>
          <w:rFonts w:cs="Arial"/>
        </w:rPr>
        <w:t xml:space="preserve"> </w:t>
      </w:r>
      <w:r>
        <w:rPr>
          <w:rFonts w:cs="Arial"/>
        </w:rPr>
        <w:t>téměř</w:t>
      </w:r>
      <w:r w:rsidRPr="003B0465">
        <w:rPr>
          <w:rFonts w:cs="Arial"/>
        </w:rPr>
        <w:t xml:space="preserve"> 50 % a</w:t>
      </w:r>
      <w:r w:rsidR="005A1247">
        <w:rPr>
          <w:rFonts w:cs="Arial"/>
        </w:rPr>
        <w:t> </w:t>
      </w:r>
      <w:r w:rsidRPr="003B0465">
        <w:rPr>
          <w:rFonts w:cs="Arial"/>
        </w:rPr>
        <w:t xml:space="preserve">na celkových emisích oxidů dusíku cca 75 %. </w:t>
      </w:r>
    </w:p>
    <w:p w14:paraId="6100D755" w14:textId="7DAF66E7" w:rsidR="00FE08D3" w:rsidRPr="003B0465" w:rsidRDefault="00FE08D3" w:rsidP="009A3B7E">
      <w:pPr>
        <w:jc w:val="both"/>
        <w:rPr>
          <w:rFonts w:cs="Arial"/>
          <w:b/>
        </w:rPr>
      </w:pPr>
      <w:r w:rsidRPr="003B0465">
        <w:rPr>
          <w:rFonts w:cs="Arial"/>
        </w:rPr>
        <w:t>Z výše uvedeného vyplývá, že pro zlepšení kvality ovzduší a</w:t>
      </w:r>
      <w:r w:rsidR="005A1247">
        <w:rPr>
          <w:rFonts w:cs="Arial"/>
        </w:rPr>
        <w:t> </w:t>
      </w:r>
      <w:r w:rsidRPr="003B0465">
        <w:rPr>
          <w:rFonts w:cs="Arial"/>
        </w:rPr>
        <w:t>snižování emisí z</w:t>
      </w:r>
      <w:r w:rsidR="005A1247">
        <w:rPr>
          <w:rFonts w:cs="Arial"/>
        </w:rPr>
        <w:t> </w:t>
      </w:r>
      <w:r w:rsidRPr="003B0465">
        <w:rPr>
          <w:rFonts w:cs="Arial"/>
        </w:rPr>
        <w:t xml:space="preserve">dopravy je žádoucí posílit zastoupení nízkoemisních způsobů dopravy, tedy čistou mobilitu. Tuto </w:t>
      </w:r>
      <w:r w:rsidRPr="003B0465">
        <w:rPr>
          <w:rFonts w:cs="Arial"/>
        </w:rPr>
        <w:lastRenderedPageBreak/>
        <w:t>skutečnost zmiňují i</w:t>
      </w:r>
      <w:r w:rsidR="005A1247">
        <w:rPr>
          <w:rFonts w:cs="Arial"/>
        </w:rPr>
        <w:t> </w:t>
      </w:r>
      <w:r w:rsidRPr="003B0465">
        <w:rPr>
          <w:rFonts w:cs="Arial"/>
        </w:rPr>
        <w:t xml:space="preserve">některé existující strategické dokumenty přijaté vládou ČR jako např. </w:t>
      </w:r>
      <w:bookmarkStart w:id="5" w:name="_Toc12540095"/>
      <w:bookmarkStart w:id="6" w:name="_Toc14039034"/>
      <w:r w:rsidRPr="003B0465">
        <w:rPr>
          <w:rFonts w:cs="Arial"/>
          <w:b/>
        </w:rPr>
        <w:t>Státní politika životního prostředí</w:t>
      </w:r>
      <w:bookmarkEnd w:id="5"/>
      <w:bookmarkEnd w:id="6"/>
      <w:r>
        <w:rPr>
          <w:rFonts w:cs="Arial"/>
          <w:b/>
        </w:rPr>
        <w:t xml:space="preserve"> ČR</w:t>
      </w:r>
      <w:r w:rsidRPr="003B0465">
        <w:rPr>
          <w:rFonts w:cs="Arial"/>
          <w:b/>
        </w:rPr>
        <w:t>, Politika ochrany klimatu</w:t>
      </w:r>
      <w:r>
        <w:rPr>
          <w:rFonts w:cs="Arial"/>
          <w:b/>
        </w:rPr>
        <w:t xml:space="preserve"> v</w:t>
      </w:r>
      <w:r w:rsidR="005A1247">
        <w:rPr>
          <w:rFonts w:cs="Arial"/>
          <w:b/>
        </w:rPr>
        <w:t> </w:t>
      </w:r>
      <w:r>
        <w:rPr>
          <w:rFonts w:cs="Arial"/>
          <w:b/>
        </w:rPr>
        <w:t>ČR</w:t>
      </w:r>
      <w:r w:rsidRPr="003B0465">
        <w:rPr>
          <w:rFonts w:cs="Arial"/>
          <w:b/>
        </w:rPr>
        <w:t>,</w:t>
      </w:r>
      <w:bookmarkStart w:id="7" w:name="_Toc12540096"/>
      <w:bookmarkStart w:id="8" w:name="_Toc14039035"/>
      <w:r w:rsidRPr="003B0465">
        <w:rPr>
          <w:rFonts w:cs="Arial"/>
          <w:b/>
        </w:rPr>
        <w:t xml:space="preserve"> Národní program snižování emisí </w:t>
      </w:r>
      <w:r>
        <w:rPr>
          <w:rFonts w:cs="Arial"/>
          <w:b/>
        </w:rPr>
        <w:t>ČR</w:t>
      </w:r>
      <w:bookmarkEnd w:id="7"/>
      <w:bookmarkEnd w:id="8"/>
      <w:r w:rsidR="00931D00">
        <w:rPr>
          <w:rFonts w:cs="Arial"/>
          <w:b/>
        </w:rPr>
        <w:t>.</w:t>
      </w:r>
    </w:p>
    <w:p w14:paraId="7851C13A" w14:textId="2AF57BF8" w:rsidR="00FE08D3" w:rsidRPr="003B0465" w:rsidRDefault="00FE08D3" w:rsidP="009A3B7E">
      <w:pPr>
        <w:jc w:val="both"/>
        <w:rPr>
          <w:rFonts w:cs="Arial"/>
        </w:rPr>
      </w:pPr>
      <w:r w:rsidRPr="003B0465">
        <w:rPr>
          <w:rFonts w:cs="Arial"/>
        </w:rPr>
        <w:t>I když původní NAP CM konstatoval, že je třeba strategii čisté mobility stanovit primárně u</w:t>
      </w:r>
      <w:r w:rsidR="005A1247">
        <w:rPr>
          <w:rFonts w:cs="Arial"/>
        </w:rPr>
        <w:t> </w:t>
      </w:r>
      <w:r w:rsidRPr="003B0465">
        <w:rPr>
          <w:rFonts w:cs="Arial"/>
        </w:rPr>
        <w:t>těch technologií, které jsou na prahu plného komerčního využití (t</w:t>
      </w:r>
      <w:r w:rsidR="00BD1A62">
        <w:rPr>
          <w:rFonts w:cs="Arial"/>
        </w:rPr>
        <w:t>j.</w:t>
      </w:r>
      <w:r w:rsidRPr="003B0465">
        <w:rPr>
          <w:rFonts w:cs="Arial"/>
        </w:rPr>
        <w:t xml:space="preserve"> elektromobilita, zemní plyn a</w:t>
      </w:r>
      <w:r w:rsidR="005A1247">
        <w:rPr>
          <w:rFonts w:cs="Arial"/>
        </w:rPr>
        <w:t> </w:t>
      </w:r>
      <w:r w:rsidRPr="003B0465">
        <w:rPr>
          <w:rFonts w:cs="Arial"/>
        </w:rPr>
        <w:t>v</w:t>
      </w:r>
      <w:r w:rsidR="000F2439">
        <w:rPr>
          <w:rFonts w:cs="Arial"/>
        </w:rPr>
        <w:t> </w:t>
      </w:r>
      <w:r w:rsidRPr="003B0465">
        <w:rPr>
          <w:rFonts w:cs="Arial"/>
        </w:rPr>
        <w:t>současnosti již i</w:t>
      </w:r>
      <w:r w:rsidR="005A1247">
        <w:rPr>
          <w:rFonts w:cs="Arial"/>
        </w:rPr>
        <w:t> </w:t>
      </w:r>
      <w:r w:rsidRPr="003B0465">
        <w:rPr>
          <w:rFonts w:cs="Arial"/>
        </w:rPr>
        <w:t>vodík)</w:t>
      </w:r>
      <w:r w:rsidR="00905341">
        <w:rPr>
          <w:rFonts w:cs="Arial"/>
        </w:rPr>
        <w:t>,</w:t>
      </w:r>
      <w:r w:rsidRPr="003B0465">
        <w:rPr>
          <w:rFonts w:cs="Arial"/>
        </w:rPr>
        <w:t xml:space="preserve"> skutečností je, že čistá mobilita zahrnuje celou řadu </w:t>
      </w:r>
      <w:r w:rsidRPr="003B0465">
        <w:rPr>
          <w:rFonts w:cs="Arial"/>
          <w:b/>
        </w:rPr>
        <w:t>výzkumných témat</w:t>
      </w:r>
      <w:r w:rsidRPr="003B0465">
        <w:rPr>
          <w:rFonts w:cs="Arial"/>
        </w:rPr>
        <w:t>, které je třeba aktivně sledovat a</w:t>
      </w:r>
      <w:r w:rsidR="005A1247">
        <w:rPr>
          <w:rFonts w:cs="Arial"/>
        </w:rPr>
        <w:t> </w:t>
      </w:r>
      <w:r w:rsidRPr="003B0465">
        <w:rPr>
          <w:rFonts w:cs="Arial"/>
        </w:rPr>
        <w:t>využívat příslušné fi</w:t>
      </w:r>
      <w:r w:rsidR="00925889">
        <w:rPr>
          <w:rFonts w:cs="Arial"/>
        </w:rPr>
        <w:t xml:space="preserve">nanční prostředky na oblast </w:t>
      </w:r>
      <w:r w:rsidRPr="003B0465">
        <w:rPr>
          <w:rFonts w:cs="Arial"/>
        </w:rPr>
        <w:t xml:space="preserve">výzkumu </w:t>
      </w:r>
      <w:r w:rsidR="00925889">
        <w:rPr>
          <w:rFonts w:cs="Arial"/>
        </w:rPr>
        <w:t>a</w:t>
      </w:r>
      <w:r w:rsidR="005A1247">
        <w:rPr>
          <w:rFonts w:cs="Arial"/>
        </w:rPr>
        <w:t> </w:t>
      </w:r>
      <w:r w:rsidR="00925889">
        <w:rPr>
          <w:rFonts w:cs="Arial"/>
        </w:rPr>
        <w:t xml:space="preserve">vývoje </w:t>
      </w:r>
      <w:r w:rsidRPr="003B0465">
        <w:rPr>
          <w:rFonts w:cs="Arial"/>
        </w:rPr>
        <w:t>za účelem urychlení technologického pokroku v</w:t>
      </w:r>
      <w:r w:rsidR="005A1247">
        <w:rPr>
          <w:rFonts w:cs="Arial"/>
        </w:rPr>
        <w:t> </w:t>
      </w:r>
      <w:r w:rsidRPr="003B0465">
        <w:rPr>
          <w:rFonts w:cs="Arial"/>
        </w:rPr>
        <w:t xml:space="preserve">této oblasti.  </w:t>
      </w:r>
      <w:r w:rsidR="009678FA">
        <w:rPr>
          <w:rFonts w:cs="Arial"/>
        </w:rPr>
        <w:t>N</w:t>
      </w:r>
      <w:r w:rsidRPr="003B0465">
        <w:rPr>
          <w:rFonts w:cs="Arial"/>
        </w:rPr>
        <w:t>ěkterá témata v</w:t>
      </w:r>
      <w:r w:rsidR="005A1247">
        <w:rPr>
          <w:rFonts w:cs="Arial"/>
        </w:rPr>
        <w:t> </w:t>
      </w:r>
      <w:r w:rsidRPr="003B0465">
        <w:rPr>
          <w:rFonts w:cs="Arial"/>
        </w:rPr>
        <w:t>této oblasti mohou být průřezová (např. Analýza životního cyklu technologických směrů v</w:t>
      </w:r>
      <w:r w:rsidR="005A1247">
        <w:rPr>
          <w:rFonts w:cs="Arial"/>
        </w:rPr>
        <w:t> </w:t>
      </w:r>
      <w:r w:rsidRPr="003B0465">
        <w:rPr>
          <w:rFonts w:cs="Arial"/>
        </w:rPr>
        <w:t>čisté mobilitě nebo Projekty synergické s</w:t>
      </w:r>
      <w:r w:rsidR="005A1247">
        <w:rPr>
          <w:rFonts w:cs="Arial"/>
        </w:rPr>
        <w:t> </w:t>
      </w:r>
      <w:r w:rsidRPr="003B0465">
        <w:rPr>
          <w:rFonts w:cs="Arial"/>
        </w:rPr>
        <w:t>rozvojem inteligentních sítí - smart grids)</w:t>
      </w:r>
      <w:r w:rsidR="009678FA">
        <w:rPr>
          <w:rFonts w:cs="Arial"/>
        </w:rPr>
        <w:t>.</w:t>
      </w:r>
      <w:r w:rsidRPr="003B0465">
        <w:rPr>
          <w:rFonts w:cs="Arial"/>
        </w:rPr>
        <w:t xml:space="preserve"> </w:t>
      </w:r>
      <w:r w:rsidR="009678FA">
        <w:rPr>
          <w:rFonts w:cs="Arial"/>
        </w:rPr>
        <w:t>J</w:t>
      </w:r>
      <w:r w:rsidRPr="003B0465">
        <w:rPr>
          <w:rFonts w:cs="Arial"/>
        </w:rPr>
        <w:t>iná se týkají jen jednotlivých typů alternativních paliv</w:t>
      </w:r>
      <w:r w:rsidR="009678FA">
        <w:rPr>
          <w:rFonts w:cs="Arial"/>
        </w:rPr>
        <w:t>. V</w:t>
      </w:r>
      <w:r w:rsidR="005A1247">
        <w:rPr>
          <w:rFonts w:cs="Arial"/>
        </w:rPr>
        <w:t> </w:t>
      </w:r>
      <w:r w:rsidRPr="003B0465">
        <w:rPr>
          <w:rFonts w:cs="Arial"/>
        </w:rPr>
        <w:t>případě bateriové</w:t>
      </w:r>
      <w:r w:rsidR="0060271B">
        <w:rPr>
          <w:rFonts w:cs="Arial"/>
        </w:rPr>
        <w:t xml:space="preserve"> </w:t>
      </w:r>
      <w:r w:rsidRPr="003B0465">
        <w:rPr>
          <w:rFonts w:cs="Arial"/>
        </w:rPr>
        <w:t xml:space="preserve">elektromobility </w:t>
      </w:r>
      <w:r w:rsidR="009678FA">
        <w:rPr>
          <w:rFonts w:cs="Arial"/>
        </w:rPr>
        <w:t>jsou předmětem výzkumu</w:t>
      </w:r>
      <w:r w:rsidR="00925889">
        <w:rPr>
          <w:rFonts w:cs="Arial"/>
        </w:rPr>
        <w:t xml:space="preserve"> a</w:t>
      </w:r>
      <w:r w:rsidR="005A1247">
        <w:rPr>
          <w:rFonts w:cs="Arial"/>
        </w:rPr>
        <w:t> </w:t>
      </w:r>
      <w:r w:rsidR="00925889">
        <w:rPr>
          <w:rFonts w:cs="Arial"/>
        </w:rPr>
        <w:t>vývoje</w:t>
      </w:r>
      <w:r w:rsidRPr="003B0465">
        <w:rPr>
          <w:rFonts w:cs="Arial"/>
        </w:rPr>
        <w:t xml:space="preserve"> nov</w:t>
      </w:r>
      <w:r w:rsidR="009678FA">
        <w:rPr>
          <w:rFonts w:cs="Arial"/>
        </w:rPr>
        <w:t>é</w:t>
      </w:r>
      <w:r w:rsidRPr="003B0465">
        <w:rPr>
          <w:rFonts w:cs="Arial"/>
        </w:rPr>
        <w:t xml:space="preserve"> typ</w:t>
      </w:r>
      <w:r w:rsidR="009678FA">
        <w:rPr>
          <w:rFonts w:cs="Arial"/>
        </w:rPr>
        <w:t>y</w:t>
      </w:r>
      <w:r w:rsidRPr="003B0465">
        <w:rPr>
          <w:rFonts w:cs="Arial"/>
        </w:rPr>
        <w:t xml:space="preserve"> baterií pro elektrická vozidla či nové architektury elektrifikovaných vozidel pro vyšší účinnost, dojezd, bezpečnost provozu a</w:t>
      </w:r>
      <w:r w:rsidR="005A1247">
        <w:rPr>
          <w:rFonts w:cs="Arial"/>
        </w:rPr>
        <w:t> </w:t>
      </w:r>
      <w:r w:rsidRPr="003B0465">
        <w:rPr>
          <w:rFonts w:cs="Arial"/>
        </w:rPr>
        <w:t>v</w:t>
      </w:r>
      <w:r w:rsidR="000F2439">
        <w:rPr>
          <w:rFonts w:cs="Arial"/>
        </w:rPr>
        <w:t> </w:t>
      </w:r>
      <w:r w:rsidRPr="003B0465">
        <w:rPr>
          <w:rFonts w:cs="Arial"/>
        </w:rPr>
        <w:t xml:space="preserve">případě vodíkové mobility </w:t>
      </w:r>
      <w:r w:rsidR="009678FA">
        <w:rPr>
          <w:rFonts w:cs="Arial"/>
        </w:rPr>
        <w:t xml:space="preserve">je aktuálním tématem </w:t>
      </w:r>
      <w:r w:rsidRPr="003B0465">
        <w:rPr>
          <w:rFonts w:cs="Arial"/>
        </w:rPr>
        <w:t>problematika technologie výroby vodíku z</w:t>
      </w:r>
      <w:r w:rsidR="005A1247">
        <w:rPr>
          <w:rFonts w:cs="Arial"/>
        </w:rPr>
        <w:t> </w:t>
      </w:r>
      <w:r w:rsidRPr="003B0465">
        <w:rPr>
          <w:rFonts w:cs="Arial"/>
        </w:rPr>
        <w:t>obnovitelných zdrojů pro dopravní účely nebo vývoj zdokonalených palivových článků pro vozidla.</w:t>
      </w:r>
      <w:r w:rsidR="0060271B">
        <w:rPr>
          <w:rFonts w:cs="Arial"/>
        </w:rPr>
        <w:t xml:space="preserve"> </w:t>
      </w:r>
    </w:p>
    <w:p w14:paraId="736EB6BE" w14:textId="10E0361B" w:rsidR="0090409A" w:rsidRPr="0090409A" w:rsidRDefault="0090409A" w:rsidP="0090409A">
      <w:pPr>
        <w:jc w:val="both"/>
        <w:rPr>
          <w:rFonts w:cs="Arial"/>
        </w:rPr>
      </w:pPr>
      <w:r w:rsidRPr="0090409A">
        <w:rPr>
          <w:rFonts w:cs="Arial"/>
        </w:rPr>
        <w:t>Za pozitivní lze přitom považovat, že jak na národní, tak evropské úrovni existují výzkumné dotační programy, které mohou být za účelem řešení uvedených výzkumných témat použity. Z</w:t>
      </w:r>
      <w:r w:rsidR="005A1247">
        <w:rPr>
          <w:rFonts w:cs="Arial"/>
        </w:rPr>
        <w:t> </w:t>
      </w:r>
      <w:r w:rsidRPr="0090409A">
        <w:rPr>
          <w:rFonts w:cs="Arial"/>
        </w:rPr>
        <w:t>národních programů účelové podpory lze zmínit např. Program na podporu aplikovaného výzkumu, experimentálního vývoje a</w:t>
      </w:r>
      <w:r w:rsidR="005A1247">
        <w:rPr>
          <w:rFonts w:cs="Arial"/>
        </w:rPr>
        <w:t> </w:t>
      </w:r>
      <w:r w:rsidRPr="0090409A">
        <w:rPr>
          <w:rFonts w:cs="Arial"/>
        </w:rPr>
        <w:t>inovací v</w:t>
      </w:r>
      <w:r w:rsidR="005A1247">
        <w:rPr>
          <w:rFonts w:cs="Arial"/>
        </w:rPr>
        <w:t> </w:t>
      </w:r>
      <w:r w:rsidRPr="0090409A">
        <w:rPr>
          <w:rFonts w:cs="Arial"/>
        </w:rPr>
        <w:t xml:space="preserve">oblasti dopravy </w:t>
      </w:r>
      <w:r w:rsidRPr="0090409A">
        <w:rPr>
          <w:rFonts w:cs="Arial"/>
          <w:b/>
        </w:rPr>
        <w:t>DOPRAVA 2020+.</w:t>
      </w:r>
      <w:r w:rsidRPr="0090409A">
        <w:rPr>
          <w:rFonts w:cs="Arial"/>
        </w:rPr>
        <w:t xml:space="preserve"> Evropská unie bude oblast výzkumu a</w:t>
      </w:r>
      <w:r w:rsidR="005A1247">
        <w:rPr>
          <w:rFonts w:cs="Arial"/>
        </w:rPr>
        <w:t> </w:t>
      </w:r>
      <w:r w:rsidRPr="0090409A">
        <w:rPr>
          <w:rFonts w:cs="Arial"/>
        </w:rPr>
        <w:t>vývoje financovat z</w:t>
      </w:r>
      <w:r w:rsidR="005A1247">
        <w:rPr>
          <w:rFonts w:cs="Arial"/>
        </w:rPr>
        <w:t> </w:t>
      </w:r>
      <w:r w:rsidRPr="0090409A">
        <w:rPr>
          <w:rFonts w:cs="Arial"/>
        </w:rPr>
        <w:t>rámcového programu pro výzkum a</w:t>
      </w:r>
      <w:r w:rsidR="005A1247">
        <w:rPr>
          <w:rFonts w:cs="Arial"/>
        </w:rPr>
        <w:t> </w:t>
      </w:r>
      <w:r w:rsidRPr="0090409A">
        <w:rPr>
          <w:rFonts w:cs="Arial"/>
        </w:rPr>
        <w:t xml:space="preserve">inovace </w:t>
      </w:r>
      <w:r w:rsidRPr="0090409A">
        <w:rPr>
          <w:rFonts w:cs="Arial"/>
          <w:b/>
        </w:rPr>
        <w:t>Horizon Europe</w:t>
      </w:r>
      <w:r w:rsidRPr="0090409A">
        <w:rPr>
          <w:rFonts w:cs="Arial"/>
        </w:rPr>
        <w:t>, který tak navazuje na</w:t>
      </w:r>
      <w:r w:rsidRPr="0090409A">
        <w:rPr>
          <w:rFonts w:cs="Arial"/>
          <w:b/>
        </w:rPr>
        <w:t xml:space="preserve"> existující Horizon 2020. </w:t>
      </w:r>
      <w:r w:rsidRPr="0090409A">
        <w:rPr>
          <w:rFonts w:cs="Arial"/>
        </w:rPr>
        <w:t>Důležitý nástroj na podporu výzkumu a</w:t>
      </w:r>
      <w:r w:rsidR="005A1247">
        <w:rPr>
          <w:rFonts w:cs="Arial"/>
        </w:rPr>
        <w:t> </w:t>
      </w:r>
      <w:r w:rsidRPr="0090409A">
        <w:rPr>
          <w:rFonts w:cs="Arial"/>
        </w:rPr>
        <w:t xml:space="preserve">vývoje, byť specificky zaměřenou výlučně na vodík, představuje </w:t>
      </w:r>
      <w:r w:rsidRPr="0090409A">
        <w:rPr>
          <w:rFonts w:cs="Arial"/>
          <w:b/>
        </w:rPr>
        <w:t>Společný podnik pro palivové články a</w:t>
      </w:r>
      <w:r w:rsidR="005A1247">
        <w:rPr>
          <w:rFonts w:cs="Arial"/>
          <w:b/>
        </w:rPr>
        <w:t> </w:t>
      </w:r>
      <w:r w:rsidRPr="0090409A">
        <w:rPr>
          <w:rFonts w:cs="Arial"/>
          <w:b/>
        </w:rPr>
        <w:t xml:space="preserve">vodík. </w:t>
      </w:r>
    </w:p>
    <w:p w14:paraId="79658DC8" w14:textId="32DB8640" w:rsidR="001269A0" w:rsidRPr="003B0465" w:rsidRDefault="00FE08D3" w:rsidP="009A3B7E">
      <w:pPr>
        <w:jc w:val="both"/>
      </w:pPr>
      <w:r w:rsidRPr="003B0465">
        <w:rPr>
          <w:rFonts w:cs="Arial"/>
        </w:rPr>
        <w:t>Již původní NAP CM obsahoval řadu opatření, kter</w:t>
      </w:r>
      <w:r w:rsidR="00804ED0">
        <w:rPr>
          <w:rFonts w:cs="Arial"/>
        </w:rPr>
        <w:t>á</w:t>
      </w:r>
      <w:r w:rsidRPr="003B0465">
        <w:rPr>
          <w:rFonts w:cs="Arial"/>
        </w:rPr>
        <w:t xml:space="preserve"> byl</w:t>
      </w:r>
      <w:r w:rsidR="00804ED0">
        <w:rPr>
          <w:rFonts w:cs="Arial"/>
        </w:rPr>
        <w:t>a</w:t>
      </w:r>
      <w:r w:rsidRPr="003B0465">
        <w:rPr>
          <w:rFonts w:cs="Arial"/>
        </w:rPr>
        <w:t xml:space="preserve"> zaměřen</w:t>
      </w:r>
      <w:r w:rsidR="00804ED0">
        <w:rPr>
          <w:rFonts w:cs="Arial"/>
        </w:rPr>
        <w:t>a</w:t>
      </w:r>
      <w:r w:rsidRPr="003B0465">
        <w:rPr>
          <w:rFonts w:cs="Arial"/>
        </w:rPr>
        <w:t xml:space="preserve"> na přímou investiční podporu ať už na straně </w:t>
      </w:r>
      <w:r>
        <w:rPr>
          <w:rFonts w:cs="Arial"/>
        </w:rPr>
        <w:t xml:space="preserve">podpory </w:t>
      </w:r>
      <w:r w:rsidRPr="003B0465">
        <w:rPr>
          <w:rFonts w:cs="Arial"/>
        </w:rPr>
        <w:t>vozidel</w:t>
      </w:r>
      <w:r>
        <w:rPr>
          <w:rFonts w:cs="Arial"/>
        </w:rPr>
        <w:t xml:space="preserve"> s</w:t>
      </w:r>
      <w:r w:rsidR="005A1247">
        <w:rPr>
          <w:rFonts w:cs="Arial"/>
        </w:rPr>
        <w:t> </w:t>
      </w:r>
      <w:r>
        <w:rPr>
          <w:rFonts w:cs="Arial"/>
        </w:rPr>
        <w:t>alternativním pohonem</w:t>
      </w:r>
      <w:r w:rsidRPr="003B0465">
        <w:rPr>
          <w:rFonts w:cs="Arial"/>
        </w:rPr>
        <w:t xml:space="preserve"> </w:t>
      </w:r>
      <w:r>
        <w:rPr>
          <w:rFonts w:cs="Arial"/>
        </w:rPr>
        <w:t>nebo</w:t>
      </w:r>
      <w:r w:rsidRPr="003B0465">
        <w:rPr>
          <w:rFonts w:cs="Arial"/>
        </w:rPr>
        <w:t xml:space="preserve"> příslušné infrastruktury dobíjecích a</w:t>
      </w:r>
      <w:r w:rsidR="005A1247">
        <w:rPr>
          <w:rFonts w:cs="Arial"/>
        </w:rPr>
        <w:t> </w:t>
      </w:r>
      <w:r w:rsidRPr="003B0465">
        <w:rPr>
          <w:rFonts w:cs="Arial"/>
        </w:rPr>
        <w:t xml:space="preserve">plnících stanic. Téma </w:t>
      </w:r>
      <w:r w:rsidRPr="003B0465">
        <w:rPr>
          <w:rFonts w:cs="Arial"/>
          <w:b/>
        </w:rPr>
        <w:t>financování čisté mobility</w:t>
      </w:r>
      <w:r w:rsidRPr="003B0465">
        <w:rPr>
          <w:rFonts w:cs="Arial"/>
        </w:rPr>
        <w:t xml:space="preserve"> je tedy zcela klíčové. Z</w:t>
      </w:r>
      <w:r w:rsidR="005A1247">
        <w:rPr>
          <w:rFonts w:cs="Arial"/>
        </w:rPr>
        <w:t> </w:t>
      </w:r>
      <w:r w:rsidRPr="003B0465">
        <w:rPr>
          <w:rFonts w:cs="Arial"/>
        </w:rPr>
        <w:t>tohoto pohledu je dobrou zprávou, že i</w:t>
      </w:r>
      <w:r w:rsidR="005A1247">
        <w:rPr>
          <w:rFonts w:cs="Arial"/>
        </w:rPr>
        <w:t> </w:t>
      </w:r>
      <w:r w:rsidRPr="003B0465">
        <w:rPr>
          <w:rFonts w:cs="Arial"/>
        </w:rPr>
        <w:t>pro období 2021-2027 bude moci ČR na rozvoj čisté mobility počítat s</w:t>
      </w:r>
      <w:r w:rsidR="005A1247">
        <w:rPr>
          <w:rFonts w:cs="Arial"/>
        </w:rPr>
        <w:t> </w:t>
      </w:r>
      <w:r w:rsidRPr="003B0465">
        <w:rPr>
          <w:rFonts w:cs="Arial"/>
        </w:rPr>
        <w:t>určitou finanční podporou z</w:t>
      </w:r>
      <w:r w:rsidR="005A1247">
        <w:rPr>
          <w:rFonts w:cs="Arial"/>
        </w:rPr>
        <w:t> </w:t>
      </w:r>
      <w:r w:rsidRPr="003B0465">
        <w:rPr>
          <w:rFonts w:cs="Arial"/>
        </w:rPr>
        <w:t>prostředků EU. V</w:t>
      </w:r>
      <w:r w:rsidR="005A1247">
        <w:rPr>
          <w:rFonts w:cs="Arial"/>
        </w:rPr>
        <w:t> </w:t>
      </w:r>
      <w:r w:rsidRPr="003B0465">
        <w:rPr>
          <w:rFonts w:cs="Arial"/>
        </w:rPr>
        <w:t xml:space="preserve">první řadě jde </w:t>
      </w:r>
      <w:r w:rsidRPr="00E92517">
        <w:rPr>
          <w:u w:val="single"/>
        </w:rPr>
        <w:t>o</w:t>
      </w:r>
      <w:r w:rsidR="005A1247">
        <w:rPr>
          <w:b/>
          <w:u w:val="single"/>
        </w:rPr>
        <w:t> </w:t>
      </w:r>
      <w:r w:rsidR="00FD45C5" w:rsidRPr="007E541C">
        <w:rPr>
          <w:rFonts w:cs="Arial"/>
          <w:u w:val="single"/>
        </w:rPr>
        <w:t>fondy EU</w:t>
      </w:r>
      <w:r w:rsidRPr="003B0465">
        <w:rPr>
          <w:rFonts w:cs="Arial"/>
        </w:rPr>
        <w:t>, z</w:t>
      </w:r>
      <w:r w:rsidR="005A1247">
        <w:rPr>
          <w:rFonts w:cs="Arial"/>
        </w:rPr>
        <w:t> </w:t>
      </w:r>
      <w:r w:rsidRPr="003B0465">
        <w:rPr>
          <w:rFonts w:cs="Arial"/>
        </w:rPr>
        <w:t>nichž jsou financovány jednotlivé operační programy (OP):</w:t>
      </w:r>
      <w:r w:rsidR="001269A0" w:rsidRPr="003B0465">
        <w:t xml:space="preserve"> </w:t>
      </w:r>
    </w:p>
    <w:p w14:paraId="47FD2E1D" w14:textId="3EDD82D5" w:rsidR="001269A0" w:rsidRPr="003B0465" w:rsidRDefault="00042582" w:rsidP="009A3B7E">
      <w:pPr>
        <w:pStyle w:val="Bullet1"/>
        <w:jc w:val="both"/>
      </w:pPr>
      <w:r>
        <w:t>OP Technologie a</w:t>
      </w:r>
      <w:r w:rsidR="005A1247">
        <w:t> </w:t>
      </w:r>
      <w:r>
        <w:t>aplikace pro konkurenceschopnost</w:t>
      </w:r>
      <w:r w:rsidR="00804ED0">
        <w:t xml:space="preserve"> (</w:t>
      </w:r>
      <w:r>
        <w:t xml:space="preserve">OP TAK - </w:t>
      </w:r>
      <w:r w:rsidR="00804ED0">
        <w:t>gesce MPO)</w:t>
      </w:r>
    </w:p>
    <w:p w14:paraId="56DEDD22" w14:textId="37E4DDB8" w:rsidR="001269A0" w:rsidRPr="003B0465" w:rsidRDefault="001269A0" w:rsidP="009A3B7E">
      <w:pPr>
        <w:jc w:val="both"/>
      </w:pPr>
      <w:r w:rsidRPr="003B0465">
        <w:t xml:space="preserve">Program má být </w:t>
      </w:r>
      <w:r w:rsidR="00804ED0">
        <w:t>mj.</w:t>
      </w:r>
      <w:r w:rsidRPr="003B0465">
        <w:t xml:space="preserve"> zaměřen na podporu nákupu osobních i</w:t>
      </w:r>
      <w:r w:rsidR="005A1247">
        <w:t> </w:t>
      </w:r>
      <w:r w:rsidRPr="003B0465">
        <w:t>nákladních vozidel na alternativní paliva (elektřina, vodík, CNG a</w:t>
      </w:r>
      <w:r w:rsidR="005A1247">
        <w:t> </w:t>
      </w:r>
      <w:r w:rsidRPr="003B0465">
        <w:t>LNG) pro podnikatele a</w:t>
      </w:r>
      <w:r w:rsidR="005A1247">
        <w:t> </w:t>
      </w:r>
      <w:r w:rsidRPr="003B0465">
        <w:t>budování příslušné neveřejné infrastruktury</w:t>
      </w:r>
      <w:r w:rsidR="00C46A15" w:rsidRPr="00C46A15">
        <w:t xml:space="preserve"> </w:t>
      </w:r>
      <w:r w:rsidR="00C46A15">
        <w:t>Měl by být zaměřen i</w:t>
      </w:r>
      <w:r w:rsidR="005A1247">
        <w:t> </w:t>
      </w:r>
      <w:r w:rsidR="00C46A15" w:rsidRPr="00C46A15">
        <w:t>na oblast energetické infrastruktury, což umožňuje podporu výstavby zkapalňovacích stanic na LNG včetně potřebné úpravy plynárenské infrastruktury a</w:t>
      </w:r>
      <w:r w:rsidR="005A1247">
        <w:t> </w:t>
      </w:r>
      <w:r w:rsidR="00C46A15" w:rsidRPr="00C46A15">
        <w:t>podporu činností umožňujících širší využití biometanu v</w:t>
      </w:r>
      <w:r w:rsidR="005A1247">
        <w:t> </w:t>
      </w:r>
      <w:r w:rsidR="00C46A15" w:rsidRPr="00C46A15">
        <w:t>oblasti dopravy.</w:t>
      </w:r>
      <w:r w:rsidRPr="003B0465">
        <w:t xml:space="preserve"> </w:t>
      </w:r>
    </w:p>
    <w:p w14:paraId="3ED64FF2" w14:textId="77777777" w:rsidR="001269A0" w:rsidRPr="003B0465" w:rsidRDefault="001269A0" w:rsidP="009A3B7E">
      <w:pPr>
        <w:pStyle w:val="Bullet1"/>
        <w:jc w:val="both"/>
      </w:pPr>
      <w:r w:rsidRPr="003B0465">
        <w:t xml:space="preserve">OP Doprava </w:t>
      </w:r>
      <w:r w:rsidR="00804ED0">
        <w:t>(</w:t>
      </w:r>
      <w:r w:rsidR="00042582">
        <w:t xml:space="preserve">OPD - </w:t>
      </w:r>
      <w:r w:rsidR="00804ED0">
        <w:t>gesce MD)</w:t>
      </w:r>
    </w:p>
    <w:p w14:paraId="3EC5D4A6" w14:textId="19B9903E" w:rsidR="001269A0" w:rsidRPr="003B0465" w:rsidRDefault="001269A0" w:rsidP="009A3B7E">
      <w:pPr>
        <w:jc w:val="both"/>
      </w:pPr>
      <w:r w:rsidRPr="003B0465">
        <w:t>Předpokládá se pokračování dotačního programu na podporu budování veřejné infrastruktury pro alternativní paliva s</w:t>
      </w:r>
      <w:r w:rsidR="005A1247">
        <w:t> </w:t>
      </w:r>
      <w:r w:rsidRPr="003B0465">
        <w:t>důrazem na dobíjecí stanice a</w:t>
      </w:r>
      <w:r w:rsidR="005A1247">
        <w:t> </w:t>
      </w:r>
      <w:r w:rsidRPr="003B0465">
        <w:t>vodíkové plnící stanice. Předpokládá se, že by na tuto oblast mohlo být vyčleněno až 4 mld. Kč.</w:t>
      </w:r>
      <w:r w:rsidR="0060271B">
        <w:t xml:space="preserve"> </w:t>
      </w:r>
    </w:p>
    <w:p w14:paraId="467BC70F" w14:textId="77777777" w:rsidR="001269A0" w:rsidRPr="003B0465" w:rsidRDefault="001269A0" w:rsidP="009A3B7E">
      <w:pPr>
        <w:pStyle w:val="Odrka1"/>
        <w:spacing w:before="160" w:after="0"/>
        <w:jc w:val="both"/>
        <w:rPr>
          <w:rFonts w:cs="Arial"/>
          <w:szCs w:val="22"/>
        </w:rPr>
      </w:pPr>
      <w:r w:rsidRPr="003B0465">
        <w:rPr>
          <w:rFonts w:cs="Arial"/>
          <w:szCs w:val="22"/>
        </w:rPr>
        <w:t>Integrovaný regionální operační program</w:t>
      </w:r>
      <w:r w:rsidR="00804ED0">
        <w:rPr>
          <w:rFonts w:cs="Arial"/>
          <w:szCs w:val="22"/>
        </w:rPr>
        <w:t xml:space="preserve"> (</w:t>
      </w:r>
      <w:r w:rsidR="00042582">
        <w:rPr>
          <w:rFonts w:cs="Arial"/>
          <w:szCs w:val="22"/>
        </w:rPr>
        <w:t xml:space="preserve">IROP - </w:t>
      </w:r>
      <w:r w:rsidR="00804ED0">
        <w:rPr>
          <w:rFonts w:cs="Arial"/>
          <w:szCs w:val="22"/>
        </w:rPr>
        <w:t>gesce MMR)</w:t>
      </w:r>
    </w:p>
    <w:p w14:paraId="159073BA" w14:textId="0F795B9A" w:rsidR="001269A0" w:rsidRPr="003B0465" w:rsidRDefault="001269A0" w:rsidP="009A3B7E">
      <w:pPr>
        <w:jc w:val="both"/>
      </w:pPr>
      <w:r w:rsidRPr="003B0465">
        <w:t>Program počítá s</w:t>
      </w:r>
      <w:r w:rsidR="005A1247">
        <w:t> </w:t>
      </w:r>
      <w:r w:rsidRPr="003B0465">
        <w:t>podporou intervencí zaměřených na pořízení nízkoemisních a</w:t>
      </w:r>
      <w:r w:rsidR="005A1247">
        <w:t> </w:t>
      </w:r>
      <w:r w:rsidRPr="003B0465">
        <w:t>bezemisních vozidel (autobusů/trolejbusů) a</w:t>
      </w:r>
      <w:r w:rsidR="005A1247">
        <w:t> </w:t>
      </w:r>
      <w:r w:rsidRPr="003B0465">
        <w:t>budováním související infrastruktury dobíjecích a</w:t>
      </w:r>
      <w:r w:rsidR="005A1247">
        <w:t> </w:t>
      </w:r>
      <w:r w:rsidRPr="003B0465">
        <w:t>plnících stanic pro veřejnou dopravu</w:t>
      </w:r>
      <w:r w:rsidR="00931D00">
        <w:t>.</w:t>
      </w:r>
    </w:p>
    <w:p w14:paraId="61B461E9" w14:textId="6C962274" w:rsidR="001269A0" w:rsidRPr="003B0465" w:rsidRDefault="001269A0" w:rsidP="009A3B7E">
      <w:pPr>
        <w:jc w:val="both"/>
        <w:rPr>
          <w:bCs/>
        </w:rPr>
      </w:pPr>
      <w:r w:rsidRPr="003B0465">
        <w:t xml:space="preserve">Důležitý zdroj financování čisté mobility může představovat Nástroj pro propojení Evropy, tzv. </w:t>
      </w:r>
      <w:r w:rsidR="008B17BF">
        <w:rPr>
          <w:u w:val="single"/>
        </w:rPr>
        <w:t>nástroj</w:t>
      </w:r>
      <w:r w:rsidRPr="00E92517">
        <w:rPr>
          <w:u w:val="single"/>
        </w:rPr>
        <w:t xml:space="preserve"> CEF</w:t>
      </w:r>
      <w:r w:rsidRPr="003B0465">
        <w:t>.</w:t>
      </w:r>
      <w:r w:rsidR="0060271B">
        <w:t xml:space="preserve"> </w:t>
      </w:r>
      <w:r w:rsidRPr="003B0465">
        <w:t>N</w:t>
      </w:r>
      <w:r w:rsidRPr="003B0465">
        <w:rPr>
          <w:bCs/>
        </w:rPr>
        <w:t>ové nařízení CEF II stanoví, že minimálně 15</w:t>
      </w:r>
      <w:r w:rsidR="00AB22D2">
        <w:rPr>
          <w:bCs/>
        </w:rPr>
        <w:t xml:space="preserve"> </w:t>
      </w:r>
      <w:r w:rsidRPr="003B0465">
        <w:rPr>
          <w:bCs/>
        </w:rPr>
        <w:t>% z</w:t>
      </w:r>
      <w:r w:rsidR="005A1247">
        <w:rPr>
          <w:bCs/>
        </w:rPr>
        <w:t> </w:t>
      </w:r>
      <w:r w:rsidRPr="003B0465">
        <w:rPr>
          <w:bCs/>
        </w:rPr>
        <w:t xml:space="preserve">prostředků </w:t>
      </w:r>
      <w:r w:rsidRPr="003B0465">
        <w:t>tvořící</w:t>
      </w:r>
      <w:r w:rsidR="00804ED0">
        <w:t>ch</w:t>
      </w:r>
      <w:r w:rsidRPr="003B0465">
        <w:t xml:space="preserve"> tzv. kohezní část CEF </w:t>
      </w:r>
      <w:r w:rsidRPr="003B0465">
        <w:rPr>
          <w:bCs/>
        </w:rPr>
        <w:t xml:space="preserve">musí být použito na akce týkající se tzv. měkké infrastruktury, kam spadá </w:t>
      </w:r>
      <w:r w:rsidRPr="003B0465">
        <w:rPr>
          <w:bCs/>
        </w:rPr>
        <w:lastRenderedPageBreak/>
        <w:t xml:space="preserve">především oblast infrastruktury pro alternativní paliva (kromě třeba rozvoje autonomních vozidel či ITS). </w:t>
      </w:r>
    </w:p>
    <w:p w14:paraId="601D2273" w14:textId="114EC22E" w:rsidR="00F67E6B" w:rsidRPr="002073F1" w:rsidRDefault="00D07486" w:rsidP="00455822">
      <w:pPr>
        <w:jc w:val="both"/>
        <w:rPr>
          <w:rFonts w:asciiTheme="minorHAnsi" w:eastAsia="Calibri" w:hAnsiTheme="minorHAnsi"/>
          <w:lang w:eastAsia="en-US"/>
        </w:rPr>
      </w:pPr>
      <w:r w:rsidRPr="003B0465">
        <w:t xml:space="preserve">Za </w:t>
      </w:r>
      <w:r w:rsidRPr="003B0465">
        <w:rPr>
          <w:b/>
        </w:rPr>
        <w:t xml:space="preserve">nový zdroj financování čisté mobility lze považovat </w:t>
      </w:r>
      <w:r w:rsidRPr="003B0465">
        <w:rPr>
          <w:b/>
          <w:u w:val="single"/>
        </w:rPr>
        <w:t>modernizační fond</w:t>
      </w:r>
      <w:r w:rsidR="00455822">
        <w:t xml:space="preserve">, </w:t>
      </w:r>
      <w:r w:rsidR="00455822" w:rsidRPr="00455822">
        <w:t>jehož zřízení se připravuje a</w:t>
      </w:r>
      <w:r w:rsidR="005A1247">
        <w:t> </w:t>
      </w:r>
      <w:r w:rsidR="00455822" w:rsidRPr="00455822">
        <w:t>zaměření se diskutuje</w:t>
      </w:r>
      <w:r w:rsidRPr="003B0465">
        <w:t xml:space="preserve">. </w:t>
      </w:r>
      <w:r w:rsidR="00455822">
        <w:t>Jeho vznik vychází ze</w:t>
      </w:r>
      <w:r w:rsidRPr="003B0465">
        <w:t xml:space="preserve"> směrnice o</w:t>
      </w:r>
      <w:r w:rsidR="005A1247">
        <w:t> </w:t>
      </w:r>
      <w:r w:rsidRPr="003B0465">
        <w:t>obchodování s</w:t>
      </w:r>
      <w:r w:rsidR="005A1247">
        <w:t> </w:t>
      </w:r>
      <w:r w:rsidRPr="003B0465">
        <w:t>povolenkami na období let 2021 až 2030</w:t>
      </w:r>
      <w:r>
        <w:t xml:space="preserve"> s</w:t>
      </w:r>
      <w:r w:rsidR="005A1247">
        <w:t> </w:t>
      </w:r>
      <w:r w:rsidR="00925889">
        <w:t xml:space="preserve">přibližnou </w:t>
      </w:r>
      <w:r>
        <w:t>alokací 120 ml</w:t>
      </w:r>
      <w:r w:rsidR="00455822">
        <w:t>d</w:t>
      </w:r>
      <w:r>
        <w:t>. Kč a</w:t>
      </w:r>
      <w:r w:rsidR="005A1247">
        <w:t> </w:t>
      </w:r>
      <w:r>
        <w:t>část z</w:t>
      </w:r>
      <w:r w:rsidR="005A1247">
        <w:t> </w:t>
      </w:r>
      <w:r>
        <w:t>těchto prostředků by mohla být využita na podporu nákupu nízkoemisních a</w:t>
      </w:r>
      <w:r w:rsidR="005A1247">
        <w:t> </w:t>
      </w:r>
      <w:r>
        <w:t xml:space="preserve">bezemisních autobusů </w:t>
      </w:r>
      <w:r w:rsidR="00110620">
        <w:t>(</w:t>
      </w:r>
      <w:r>
        <w:t>v</w:t>
      </w:r>
      <w:r w:rsidR="00210AA9">
        <w:t> </w:t>
      </w:r>
      <w:r>
        <w:t>komplementaritě s</w:t>
      </w:r>
      <w:r w:rsidR="005A1247">
        <w:t> </w:t>
      </w:r>
      <w:r w:rsidR="00110620">
        <w:t> </w:t>
      </w:r>
      <w:r>
        <w:t>IROP</w:t>
      </w:r>
      <w:r w:rsidR="00110620">
        <w:t>)</w:t>
      </w:r>
      <w:r w:rsidR="009A3B7E">
        <w:t>,</w:t>
      </w:r>
      <w:r w:rsidR="00110620">
        <w:t xml:space="preserve"> dále</w:t>
      </w:r>
      <w:r w:rsidR="009A3B7E">
        <w:t xml:space="preserve"> </w:t>
      </w:r>
      <w:r w:rsidR="00455822">
        <w:t>na podporu pilotních projektů v</w:t>
      </w:r>
      <w:r w:rsidR="005A1247">
        <w:t> </w:t>
      </w:r>
      <w:r w:rsidR="00455822">
        <w:t xml:space="preserve">oblasti </w:t>
      </w:r>
      <w:r w:rsidR="009A3B7E">
        <w:t xml:space="preserve">říčních plavidel </w:t>
      </w:r>
      <w:r>
        <w:t xml:space="preserve">či </w:t>
      </w:r>
      <w:r w:rsidR="00110620">
        <w:t>železničních jednote</w:t>
      </w:r>
      <w:r w:rsidR="00455822">
        <w:t>k s</w:t>
      </w:r>
      <w:r w:rsidR="005A1247">
        <w:t> </w:t>
      </w:r>
      <w:r w:rsidR="00455822">
        <w:t>alternativním pohonem.</w:t>
      </w:r>
    </w:p>
    <w:p w14:paraId="58BF8AD0" w14:textId="4781FA49" w:rsidR="002E707C" w:rsidRDefault="00D07486" w:rsidP="009A3B7E">
      <w:pPr>
        <w:jc w:val="both"/>
      </w:pPr>
      <w:r w:rsidRPr="003B0465">
        <w:t xml:space="preserve">Z dlouhodobého hlediska </w:t>
      </w:r>
      <w:r w:rsidR="00925889">
        <w:t>by však</w:t>
      </w:r>
      <w:r w:rsidRPr="003B0465">
        <w:t xml:space="preserve"> </w:t>
      </w:r>
      <w:r>
        <w:t xml:space="preserve">přímá </w:t>
      </w:r>
      <w:r w:rsidR="00925889">
        <w:t xml:space="preserve">investiční podpora </w:t>
      </w:r>
      <w:r w:rsidRPr="003B0465">
        <w:t>neměla být jedinou cestou</w:t>
      </w:r>
      <w:r w:rsidR="00925889">
        <w:t xml:space="preserve"> podpory rozvoje</w:t>
      </w:r>
      <w:r w:rsidRPr="003B0465">
        <w:t xml:space="preserve"> čisté mobility. Jedním z</w:t>
      </w:r>
      <w:r w:rsidR="005A1247">
        <w:t> </w:t>
      </w:r>
      <w:r w:rsidRPr="003B0465">
        <w:t>opatření původního NAP CM bylo provést analýzu zpoplatnění a</w:t>
      </w:r>
      <w:r w:rsidR="005A1247">
        <w:t> </w:t>
      </w:r>
      <w:r w:rsidRPr="003B0465">
        <w:t>zdanění vozidel (karta S28) a</w:t>
      </w:r>
      <w:r w:rsidR="005A1247">
        <w:t> </w:t>
      </w:r>
      <w:r w:rsidRPr="003B0465">
        <w:t>na základě této analýzy rozhodnout o</w:t>
      </w:r>
      <w:r w:rsidR="005A1247">
        <w:t> </w:t>
      </w:r>
      <w:r w:rsidRPr="003B0465">
        <w:t>případných změnách v</w:t>
      </w:r>
      <w:r w:rsidR="005A1247">
        <w:t> </w:t>
      </w:r>
      <w:r w:rsidRPr="003B0465">
        <w:t>této oblasti za účelem stimulace rozvoje čisté mobility v</w:t>
      </w:r>
      <w:r w:rsidR="005A1247">
        <w:t> </w:t>
      </w:r>
      <w:r w:rsidRPr="003B0465">
        <w:t>ČR. I</w:t>
      </w:r>
      <w:r w:rsidR="005A1247">
        <w:t> </w:t>
      </w:r>
      <w:r w:rsidRPr="003B0465">
        <w:t>když se zatím na této analýze stále pracuje, přičemž její výsledky nebudou do doby předložení aktualizace NAP CM do vlády ještě k</w:t>
      </w:r>
      <w:r w:rsidR="005A1247">
        <w:t> </w:t>
      </w:r>
      <w:r w:rsidRPr="003B0465">
        <w:t xml:space="preserve">dispozici, již nyní je možné konstatovat, že </w:t>
      </w:r>
      <w:r w:rsidRPr="003B0465">
        <w:rPr>
          <w:b/>
        </w:rPr>
        <w:t>většina členských států EU přistupuje k</w:t>
      </w:r>
      <w:r w:rsidR="005A1247">
        <w:rPr>
          <w:b/>
        </w:rPr>
        <w:t> </w:t>
      </w:r>
      <w:r w:rsidRPr="003B0465">
        <w:rPr>
          <w:b/>
        </w:rPr>
        <w:t>této problematice na rozdíl od ČR velmi komplexně</w:t>
      </w:r>
      <w:r>
        <w:rPr>
          <w:b/>
        </w:rPr>
        <w:t xml:space="preserve"> (a to včetně daňové politiky)</w:t>
      </w:r>
      <w:r w:rsidRPr="003B0465">
        <w:t>.</w:t>
      </w:r>
    </w:p>
    <w:p w14:paraId="473D4320" w14:textId="77777777" w:rsidR="002810F1" w:rsidRDefault="002810F1" w:rsidP="002810F1">
      <w:pPr>
        <w:pStyle w:val="Nadpis2"/>
      </w:pPr>
      <w:bookmarkStart w:id="9" w:name="_Toc34387128"/>
      <w:r>
        <w:t>Shrnutí cílů aktualizace NAP CM</w:t>
      </w:r>
      <w:bookmarkEnd w:id="9"/>
    </w:p>
    <w:p w14:paraId="1444FC3E" w14:textId="38A27FD7" w:rsidR="001A2533" w:rsidRDefault="007E136D" w:rsidP="00BB2018">
      <w:pPr>
        <w:jc w:val="both"/>
      </w:pPr>
      <w:r>
        <w:t>Následující t</w:t>
      </w:r>
      <w:r w:rsidR="00B549EB">
        <w:t xml:space="preserve">abulka obsahuje shrnutí </w:t>
      </w:r>
      <w:r w:rsidR="002810F1">
        <w:t xml:space="preserve">jednotlivých </w:t>
      </w:r>
      <w:r w:rsidR="00B549EB">
        <w:t>cílů</w:t>
      </w:r>
      <w:r>
        <w:t xml:space="preserve"> počtu vozidel a</w:t>
      </w:r>
      <w:r w:rsidR="005A1247">
        <w:t> </w:t>
      </w:r>
      <w:r w:rsidR="002810F1">
        <w:t xml:space="preserve">rozsahu </w:t>
      </w:r>
      <w:r>
        <w:t>infra</w:t>
      </w:r>
      <w:r w:rsidR="00B549EB">
        <w:t>struktury</w:t>
      </w:r>
      <w:r w:rsidR="002810F1">
        <w:t xml:space="preserve"> dobíjecích a</w:t>
      </w:r>
      <w:r w:rsidR="005A1247">
        <w:t> </w:t>
      </w:r>
      <w:r w:rsidR="002810F1">
        <w:t>plnicích stanic, jak jsou zpracovány v</w:t>
      </w:r>
      <w:r w:rsidR="005A1247">
        <w:t> </w:t>
      </w:r>
      <w:r w:rsidR="002810F1">
        <w:t>následujících</w:t>
      </w:r>
      <w:r>
        <w:t xml:space="preserve"> kapitolách</w:t>
      </w:r>
      <w:r w:rsidR="00B549EB">
        <w:t>.</w:t>
      </w:r>
    </w:p>
    <w:p w14:paraId="358D934B" w14:textId="062226DA" w:rsidR="00BB2018" w:rsidRDefault="00BB2018" w:rsidP="00BB2018">
      <w:pPr>
        <w:pStyle w:val="Titulek"/>
        <w:keepNext/>
      </w:pPr>
      <w:bookmarkStart w:id="10" w:name="_Toc34298575"/>
      <w:r>
        <w:t xml:space="preserve">Tabulka </w:t>
      </w:r>
      <w:r w:rsidR="00D726C4">
        <w:rPr>
          <w:noProof/>
        </w:rPr>
        <w:fldChar w:fldCharType="begin"/>
      </w:r>
      <w:r w:rsidR="00D726C4">
        <w:rPr>
          <w:noProof/>
        </w:rPr>
        <w:instrText xml:space="preserve"> SEQ Tabulka \* ARABIC </w:instrText>
      </w:r>
      <w:r w:rsidR="00D726C4">
        <w:rPr>
          <w:noProof/>
        </w:rPr>
        <w:fldChar w:fldCharType="separate"/>
      </w:r>
      <w:r w:rsidR="00D944E5">
        <w:rPr>
          <w:noProof/>
        </w:rPr>
        <w:t>1</w:t>
      </w:r>
      <w:r w:rsidR="00D726C4">
        <w:rPr>
          <w:noProof/>
        </w:rPr>
        <w:fldChar w:fldCharType="end"/>
      </w:r>
      <w:r w:rsidRPr="00BB2018">
        <w:t xml:space="preserve"> </w:t>
      </w:r>
      <w:r w:rsidR="002810F1">
        <w:t>Jednotlivé c</w:t>
      </w:r>
      <w:r>
        <w:t>íle</w:t>
      </w:r>
      <w:r w:rsidRPr="009526AB">
        <w:t xml:space="preserve"> počtu vozidel a</w:t>
      </w:r>
      <w:r w:rsidR="005A1247">
        <w:t> </w:t>
      </w:r>
      <w:r w:rsidR="00264253">
        <w:t xml:space="preserve">veřejné </w:t>
      </w:r>
      <w:r w:rsidRPr="009526AB">
        <w:t>infrastruktury v</w:t>
      </w:r>
      <w:r w:rsidR="005A1247">
        <w:t> </w:t>
      </w:r>
      <w:r w:rsidRPr="009526AB">
        <w:t>roce 2030</w:t>
      </w:r>
      <w:bookmarkEnd w:id="10"/>
    </w:p>
    <w:p w14:paraId="135863A3" w14:textId="77777777" w:rsidR="00BB2018" w:rsidRDefault="00BB2018" w:rsidP="00BB2018"/>
    <w:tbl>
      <w:tblPr>
        <w:tblW w:w="6350" w:type="dxa"/>
        <w:tblCellMar>
          <w:left w:w="70" w:type="dxa"/>
          <w:right w:w="70" w:type="dxa"/>
        </w:tblCellMar>
        <w:tblLook w:val="04A0" w:firstRow="1" w:lastRow="0" w:firstColumn="1" w:lastColumn="0" w:noHBand="0" w:noVBand="1"/>
      </w:tblPr>
      <w:tblGrid>
        <w:gridCol w:w="3251"/>
        <w:gridCol w:w="3099"/>
      </w:tblGrid>
      <w:tr w:rsidR="00B060AC" w:rsidRPr="00B060AC" w14:paraId="41504A74" w14:textId="77777777" w:rsidTr="007E541C">
        <w:trPr>
          <w:trHeight w:val="300"/>
        </w:trPr>
        <w:tc>
          <w:tcPr>
            <w:tcW w:w="3251" w:type="dxa"/>
            <w:tcBorders>
              <w:top w:val="single" w:sz="8" w:space="0" w:color="auto"/>
              <w:left w:val="single" w:sz="8" w:space="0" w:color="auto"/>
              <w:bottom w:val="single" w:sz="8" w:space="0" w:color="auto"/>
              <w:right w:val="nil"/>
            </w:tcBorders>
            <w:shd w:val="clear" w:color="000000" w:fill="92D050"/>
            <w:noWrap/>
            <w:vAlign w:val="bottom"/>
            <w:hideMark/>
          </w:tcPr>
          <w:p w14:paraId="40F33151" w14:textId="22ED66FA" w:rsidR="00B060AC" w:rsidRPr="00B060AC" w:rsidRDefault="00CA5E1B" w:rsidP="00B060AC">
            <w:pPr>
              <w:spacing w:before="0" w:after="0"/>
              <w:rPr>
                <w:rFonts w:cs="Arial"/>
                <w:b/>
                <w:bCs/>
                <w:color w:val="000000"/>
                <w:szCs w:val="22"/>
              </w:rPr>
            </w:pPr>
            <w:r>
              <w:rPr>
                <w:rFonts w:cs="Arial"/>
                <w:b/>
                <w:bCs/>
                <w:color w:val="000000"/>
                <w:szCs w:val="22"/>
              </w:rPr>
              <w:t>V</w:t>
            </w:r>
            <w:r w:rsidRPr="00B060AC">
              <w:rPr>
                <w:rFonts w:cs="Arial"/>
                <w:b/>
                <w:bCs/>
                <w:color w:val="000000"/>
                <w:szCs w:val="22"/>
              </w:rPr>
              <w:t>ozidla</w:t>
            </w:r>
          </w:p>
        </w:tc>
        <w:tc>
          <w:tcPr>
            <w:tcW w:w="3099" w:type="dxa"/>
            <w:tcBorders>
              <w:top w:val="single" w:sz="8" w:space="0" w:color="auto"/>
              <w:left w:val="single" w:sz="8" w:space="0" w:color="auto"/>
              <w:bottom w:val="single" w:sz="8" w:space="0" w:color="auto"/>
              <w:right w:val="single" w:sz="8" w:space="0" w:color="auto"/>
            </w:tcBorders>
            <w:shd w:val="clear" w:color="000000" w:fill="92D050"/>
            <w:noWrap/>
            <w:vAlign w:val="center"/>
            <w:hideMark/>
          </w:tcPr>
          <w:p w14:paraId="4CB7C6BE" w14:textId="77777777" w:rsidR="00B060AC" w:rsidRPr="00B060AC" w:rsidRDefault="00B060AC" w:rsidP="00B060AC">
            <w:pPr>
              <w:spacing w:before="0" w:after="0"/>
              <w:jc w:val="center"/>
              <w:rPr>
                <w:rFonts w:cs="Arial"/>
                <w:b/>
                <w:bCs/>
                <w:szCs w:val="22"/>
              </w:rPr>
            </w:pPr>
            <w:r w:rsidRPr="00B060AC">
              <w:rPr>
                <w:rFonts w:cs="Arial"/>
                <w:b/>
                <w:bCs/>
                <w:szCs w:val="22"/>
              </w:rPr>
              <w:t>rok 2030</w:t>
            </w:r>
          </w:p>
        </w:tc>
      </w:tr>
      <w:tr w:rsidR="00B060AC" w:rsidRPr="00B060AC" w14:paraId="47BA41DF"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40451F67" w14:textId="77777777" w:rsidR="00B060AC" w:rsidRPr="00B060AC" w:rsidRDefault="00B060AC" w:rsidP="00B060AC">
            <w:pPr>
              <w:spacing w:before="0" w:after="0"/>
              <w:rPr>
                <w:rFonts w:cs="Arial"/>
                <w:szCs w:val="22"/>
              </w:rPr>
            </w:pPr>
            <w:r w:rsidRPr="00B060AC">
              <w:rPr>
                <w:rFonts w:cs="Arial"/>
                <w:szCs w:val="22"/>
              </w:rPr>
              <w:t>elektromobily</w:t>
            </w:r>
          </w:p>
        </w:tc>
        <w:tc>
          <w:tcPr>
            <w:tcW w:w="3099" w:type="dxa"/>
            <w:tcBorders>
              <w:top w:val="nil"/>
              <w:left w:val="nil"/>
              <w:bottom w:val="single" w:sz="4" w:space="0" w:color="auto"/>
              <w:right w:val="single" w:sz="8" w:space="0" w:color="auto"/>
            </w:tcBorders>
            <w:shd w:val="clear" w:color="000000" w:fill="FFFFFF"/>
            <w:noWrap/>
            <w:vAlign w:val="center"/>
            <w:hideMark/>
          </w:tcPr>
          <w:p w14:paraId="36D29566" w14:textId="08945945" w:rsidR="00B060AC" w:rsidRPr="00B060AC" w:rsidRDefault="00B060AC" w:rsidP="00B060AC">
            <w:pPr>
              <w:spacing w:before="0" w:after="0"/>
              <w:jc w:val="center"/>
              <w:rPr>
                <w:rFonts w:cs="Arial"/>
                <w:color w:val="000000"/>
                <w:szCs w:val="22"/>
              </w:rPr>
            </w:pPr>
            <w:r w:rsidRPr="00B060AC">
              <w:rPr>
                <w:rFonts w:cs="Arial"/>
                <w:color w:val="000000"/>
                <w:szCs w:val="22"/>
              </w:rPr>
              <w:t xml:space="preserve">220 000 </w:t>
            </w:r>
            <w:r w:rsidR="00314CBE">
              <w:rPr>
                <w:rFonts w:cs="Arial"/>
                <w:color w:val="000000"/>
                <w:szCs w:val="22"/>
              </w:rPr>
              <w:t>-</w:t>
            </w:r>
            <w:r w:rsidRPr="00B060AC">
              <w:rPr>
                <w:rFonts w:cs="Arial"/>
                <w:color w:val="000000"/>
                <w:szCs w:val="22"/>
              </w:rPr>
              <w:t xml:space="preserve"> 500 000</w:t>
            </w:r>
          </w:p>
        </w:tc>
      </w:tr>
      <w:tr w:rsidR="00B060AC" w:rsidRPr="00B060AC" w14:paraId="1A8E019A"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4F7DDD5B" w14:textId="77777777" w:rsidR="00B060AC" w:rsidRPr="00B060AC" w:rsidRDefault="00B060AC" w:rsidP="00B060AC">
            <w:pPr>
              <w:spacing w:before="0" w:after="0"/>
              <w:rPr>
                <w:rFonts w:cs="Arial"/>
                <w:color w:val="000000"/>
                <w:szCs w:val="22"/>
              </w:rPr>
            </w:pPr>
            <w:r w:rsidRPr="00B060AC">
              <w:rPr>
                <w:rFonts w:cs="Arial"/>
                <w:color w:val="000000"/>
                <w:szCs w:val="22"/>
              </w:rPr>
              <w:t>EV busy</w:t>
            </w:r>
          </w:p>
        </w:tc>
        <w:tc>
          <w:tcPr>
            <w:tcW w:w="3099" w:type="dxa"/>
            <w:tcBorders>
              <w:top w:val="nil"/>
              <w:left w:val="nil"/>
              <w:bottom w:val="single" w:sz="4" w:space="0" w:color="auto"/>
              <w:right w:val="single" w:sz="8" w:space="0" w:color="auto"/>
            </w:tcBorders>
            <w:shd w:val="clear" w:color="000000" w:fill="FFFFFF"/>
            <w:noWrap/>
            <w:vAlign w:val="center"/>
            <w:hideMark/>
          </w:tcPr>
          <w:p w14:paraId="2AA1C1A1" w14:textId="3E315461" w:rsidR="00B060AC" w:rsidRPr="00B060AC" w:rsidRDefault="00B060AC" w:rsidP="00B060AC">
            <w:pPr>
              <w:spacing w:before="0" w:after="0"/>
              <w:jc w:val="center"/>
              <w:rPr>
                <w:rFonts w:cs="Arial"/>
                <w:color w:val="000000"/>
                <w:szCs w:val="22"/>
              </w:rPr>
            </w:pPr>
            <w:r w:rsidRPr="00B060AC">
              <w:rPr>
                <w:rFonts w:cs="Arial"/>
                <w:color w:val="000000"/>
                <w:szCs w:val="22"/>
              </w:rPr>
              <w:t xml:space="preserve">800 </w:t>
            </w:r>
            <w:r w:rsidR="00314CBE">
              <w:rPr>
                <w:rFonts w:cs="Arial"/>
                <w:color w:val="000000"/>
                <w:szCs w:val="22"/>
              </w:rPr>
              <w:t>-</w:t>
            </w:r>
            <w:r>
              <w:rPr>
                <w:rFonts w:cs="Arial"/>
                <w:color w:val="000000"/>
                <w:szCs w:val="22"/>
              </w:rPr>
              <w:t xml:space="preserve"> </w:t>
            </w:r>
            <w:r w:rsidRPr="00B060AC">
              <w:rPr>
                <w:rFonts w:cs="Arial"/>
                <w:color w:val="000000"/>
                <w:szCs w:val="22"/>
              </w:rPr>
              <w:t>1 200</w:t>
            </w:r>
          </w:p>
        </w:tc>
      </w:tr>
      <w:tr w:rsidR="00B060AC" w:rsidRPr="00B060AC" w14:paraId="4AF67570"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54E028B1" w14:textId="7F15C591" w:rsidR="00B060AC" w:rsidRPr="00B060AC" w:rsidRDefault="00B060AC" w:rsidP="00B060AC">
            <w:pPr>
              <w:spacing w:before="0" w:after="0"/>
              <w:rPr>
                <w:rFonts w:cs="Arial"/>
                <w:color w:val="000000"/>
                <w:szCs w:val="22"/>
              </w:rPr>
            </w:pPr>
            <w:r w:rsidRPr="00B060AC">
              <w:rPr>
                <w:rFonts w:cs="Arial"/>
                <w:color w:val="000000"/>
                <w:szCs w:val="22"/>
              </w:rPr>
              <w:t>CNG</w:t>
            </w:r>
            <w:r w:rsidR="00314CBE">
              <w:rPr>
                <w:rFonts w:cs="Arial"/>
                <w:color w:val="000000"/>
                <w:szCs w:val="22"/>
              </w:rPr>
              <w:t xml:space="preserve"> OA</w:t>
            </w:r>
          </w:p>
        </w:tc>
        <w:tc>
          <w:tcPr>
            <w:tcW w:w="3099" w:type="dxa"/>
            <w:tcBorders>
              <w:top w:val="nil"/>
              <w:left w:val="nil"/>
              <w:bottom w:val="single" w:sz="4" w:space="0" w:color="auto"/>
              <w:right w:val="single" w:sz="8" w:space="0" w:color="auto"/>
            </w:tcBorders>
            <w:shd w:val="clear" w:color="000000" w:fill="FFFFFF"/>
            <w:noWrap/>
            <w:vAlign w:val="center"/>
            <w:hideMark/>
          </w:tcPr>
          <w:p w14:paraId="3685ED89" w14:textId="057EDC71" w:rsidR="00B060AC" w:rsidRPr="00B060AC" w:rsidRDefault="00314CBE" w:rsidP="00B060AC">
            <w:pPr>
              <w:spacing w:before="0" w:after="0"/>
              <w:jc w:val="center"/>
              <w:rPr>
                <w:rFonts w:cs="Arial"/>
                <w:color w:val="000000"/>
                <w:szCs w:val="22"/>
              </w:rPr>
            </w:pPr>
            <w:r>
              <w:rPr>
                <w:rFonts w:cs="Arial"/>
                <w:color w:val="000000"/>
                <w:szCs w:val="22"/>
              </w:rPr>
              <w:t>20</w:t>
            </w:r>
            <w:r w:rsidR="00B060AC" w:rsidRPr="00B060AC">
              <w:rPr>
                <w:rFonts w:cs="Arial"/>
                <w:color w:val="000000"/>
                <w:szCs w:val="22"/>
              </w:rPr>
              <w:t xml:space="preserve"> 000</w:t>
            </w:r>
            <w:r>
              <w:rPr>
                <w:rFonts w:cs="Arial"/>
                <w:color w:val="000000"/>
                <w:szCs w:val="22"/>
              </w:rPr>
              <w:t>-44 600</w:t>
            </w:r>
          </w:p>
        </w:tc>
      </w:tr>
      <w:tr w:rsidR="00314CBE" w:rsidRPr="00823214" w14:paraId="624E7758" w14:textId="77777777" w:rsidTr="00314CBE">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2203824F" w14:textId="77777777" w:rsidR="00314CBE" w:rsidRPr="00314CBE" w:rsidRDefault="00314CBE" w:rsidP="00314CBE">
            <w:pPr>
              <w:spacing w:before="0" w:after="0"/>
              <w:rPr>
                <w:rFonts w:cs="Arial"/>
                <w:color w:val="000000"/>
                <w:szCs w:val="22"/>
              </w:rPr>
            </w:pPr>
            <w:r w:rsidRPr="00314CBE">
              <w:rPr>
                <w:rFonts w:cs="Arial"/>
                <w:color w:val="000000"/>
                <w:szCs w:val="22"/>
              </w:rPr>
              <w:t>CNG busy</w:t>
            </w:r>
          </w:p>
        </w:tc>
        <w:tc>
          <w:tcPr>
            <w:tcW w:w="3099" w:type="dxa"/>
            <w:tcBorders>
              <w:top w:val="nil"/>
              <w:left w:val="nil"/>
              <w:bottom w:val="single" w:sz="4" w:space="0" w:color="auto"/>
              <w:right w:val="single" w:sz="8" w:space="0" w:color="auto"/>
            </w:tcBorders>
            <w:shd w:val="clear" w:color="000000" w:fill="FFFFFF"/>
            <w:noWrap/>
            <w:vAlign w:val="center"/>
            <w:hideMark/>
          </w:tcPr>
          <w:p w14:paraId="7BAACB84" w14:textId="3A13EC5A" w:rsidR="00314CBE" w:rsidRPr="00314CBE" w:rsidRDefault="00314CBE" w:rsidP="00314CBE">
            <w:pPr>
              <w:spacing w:before="0" w:after="0"/>
              <w:jc w:val="center"/>
              <w:rPr>
                <w:rFonts w:cs="Arial"/>
                <w:color w:val="000000"/>
                <w:szCs w:val="22"/>
              </w:rPr>
            </w:pPr>
            <w:r>
              <w:rPr>
                <w:rFonts w:cs="Arial"/>
                <w:color w:val="000000"/>
                <w:szCs w:val="22"/>
              </w:rPr>
              <w:t>1 740 -</w:t>
            </w:r>
            <w:r w:rsidRPr="00314CBE">
              <w:rPr>
                <w:rFonts w:cs="Arial"/>
                <w:color w:val="000000"/>
                <w:szCs w:val="22"/>
              </w:rPr>
              <w:t xml:space="preserve"> 2 650</w:t>
            </w:r>
          </w:p>
        </w:tc>
      </w:tr>
      <w:tr w:rsidR="00B060AC" w:rsidRPr="00B060AC" w14:paraId="57C9E2A8"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6C042D44" w14:textId="77777777" w:rsidR="00B060AC" w:rsidRPr="00B060AC" w:rsidRDefault="00B060AC" w:rsidP="00B060AC">
            <w:pPr>
              <w:spacing w:before="0" w:after="0"/>
              <w:rPr>
                <w:rFonts w:cs="Arial"/>
                <w:color w:val="000000"/>
                <w:szCs w:val="22"/>
              </w:rPr>
            </w:pPr>
            <w:r w:rsidRPr="00B060AC">
              <w:rPr>
                <w:rFonts w:cs="Arial"/>
                <w:color w:val="000000"/>
                <w:szCs w:val="22"/>
              </w:rPr>
              <w:t>LNG kamiony</w:t>
            </w:r>
          </w:p>
        </w:tc>
        <w:tc>
          <w:tcPr>
            <w:tcW w:w="3099" w:type="dxa"/>
            <w:tcBorders>
              <w:top w:val="nil"/>
              <w:left w:val="nil"/>
              <w:bottom w:val="single" w:sz="4" w:space="0" w:color="auto"/>
              <w:right w:val="single" w:sz="8" w:space="0" w:color="auto"/>
            </w:tcBorders>
            <w:shd w:val="clear" w:color="000000" w:fill="FFFFFF"/>
            <w:noWrap/>
            <w:vAlign w:val="center"/>
            <w:hideMark/>
          </w:tcPr>
          <w:p w14:paraId="774972E6" w14:textId="6EDB8E4D" w:rsidR="00B060AC" w:rsidRPr="00B060AC" w:rsidRDefault="00B060AC" w:rsidP="00B060AC">
            <w:pPr>
              <w:spacing w:before="0" w:after="0"/>
              <w:jc w:val="center"/>
              <w:rPr>
                <w:rFonts w:cs="Arial"/>
                <w:color w:val="000000"/>
                <w:szCs w:val="22"/>
              </w:rPr>
            </w:pPr>
            <w:r w:rsidRPr="00B060AC">
              <w:rPr>
                <w:rFonts w:cs="Arial"/>
                <w:color w:val="000000"/>
                <w:szCs w:val="22"/>
              </w:rPr>
              <w:t xml:space="preserve">3 500 </w:t>
            </w:r>
            <w:r w:rsidR="00314CBE">
              <w:rPr>
                <w:rFonts w:cs="Arial"/>
                <w:color w:val="000000"/>
                <w:szCs w:val="22"/>
              </w:rPr>
              <w:t>-</w:t>
            </w:r>
            <w:r w:rsidRPr="00B060AC">
              <w:rPr>
                <w:rFonts w:cs="Arial"/>
                <w:color w:val="000000"/>
                <w:szCs w:val="22"/>
              </w:rPr>
              <w:t xml:space="preserve"> 6 900</w:t>
            </w:r>
          </w:p>
        </w:tc>
      </w:tr>
      <w:tr w:rsidR="00B060AC" w:rsidRPr="00B060AC" w14:paraId="063E60DE"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77091FAB" w14:textId="77777777" w:rsidR="00B060AC" w:rsidRPr="00B060AC" w:rsidRDefault="00B060AC" w:rsidP="00B060AC">
            <w:pPr>
              <w:spacing w:before="0" w:after="0"/>
              <w:rPr>
                <w:rFonts w:cs="Arial"/>
                <w:color w:val="000000"/>
                <w:szCs w:val="22"/>
              </w:rPr>
            </w:pPr>
            <w:r w:rsidRPr="00B060AC">
              <w:rPr>
                <w:rFonts w:cs="Arial"/>
                <w:color w:val="000000"/>
                <w:szCs w:val="22"/>
              </w:rPr>
              <w:t>LPG</w:t>
            </w:r>
          </w:p>
        </w:tc>
        <w:tc>
          <w:tcPr>
            <w:tcW w:w="3099" w:type="dxa"/>
            <w:tcBorders>
              <w:top w:val="nil"/>
              <w:left w:val="nil"/>
              <w:bottom w:val="single" w:sz="4" w:space="0" w:color="auto"/>
              <w:right w:val="single" w:sz="8" w:space="0" w:color="auto"/>
            </w:tcBorders>
            <w:shd w:val="clear" w:color="000000" w:fill="FFFFFF"/>
            <w:noWrap/>
            <w:vAlign w:val="center"/>
            <w:hideMark/>
          </w:tcPr>
          <w:p w14:paraId="3410DEC1" w14:textId="77EF031A" w:rsidR="00B060AC" w:rsidRPr="00B060AC" w:rsidRDefault="00B060AC" w:rsidP="00B060AC">
            <w:pPr>
              <w:spacing w:before="0" w:after="0"/>
              <w:jc w:val="center"/>
              <w:rPr>
                <w:rFonts w:cs="Arial"/>
                <w:color w:val="000000"/>
                <w:szCs w:val="22"/>
              </w:rPr>
            </w:pPr>
            <w:r w:rsidRPr="00B060AC">
              <w:rPr>
                <w:rFonts w:cs="Arial"/>
                <w:color w:val="000000"/>
                <w:szCs w:val="22"/>
              </w:rPr>
              <w:t xml:space="preserve">170 000 </w:t>
            </w:r>
            <w:r w:rsidR="00314CBE">
              <w:rPr>
                <w:rFonts w:cs="Arial"/>
                <w:color w:val="000000"/>
                <w:szCs w:val="22"/>
              </w:rPr>
              <w:t>-</w:t>
            </w:r>
            <w:r w:rsidRPr="00B060AC">
              <w:rPr>
                <w:rFonts w:cs="Arial"/>
                <w:color w:val="000000"/>
                <w:szCs w:val="22"/>
              </w:rPr>
              <w:t xml:space="preserve"> 250 000</w:t>
            </w:r>
          </w:p>
        </w:tc>
      </w:tr>
      <w:tr w:rsidR="00B060AC" w:rsidRPr="00B060AC" w14:paraId="3BB9995B" w14:textId="77777777" w:rsidTr="007E541C">
        <w:trPr>
          <w:trHeight w:val="300"/>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2216D474" w14:textId="77777777" w:rsidR="00B060AC" w:rsidRPr="00B060AC" w:rsidRDefault="00B060AC" w:rsidP="00B060AC">
            <w:pPr>
              <w:spacing w:before="0" w:after="0"/>
              <w:rPr>
                <w:rFonts w:cs="Arial"/>
                <w:color w:val="000000"/>
                <w:szCs w:val="22"/>
              </w:rPr>
            </w:pPr>
            <w:r w:rsidRPr="00B060AC">
              <w:rPr>
                <w:rFonts w:cs="Arial"/>
                <w:color w:val="000000"/>
                <w:szCs w:val="22"/>
              </w:rPr>
              <w:t>vodík OA</w:t>
            </w:r>
          </w:p>
        </w:tc>
        <w:tc>
          <w:tcPr>
            <w:tcW w:w="3099" w:type="dxa"/>
            <w:tcBorders>
              <w:top w:val="nil"/>
              <w:left w:val="nil"/>
              <w:bottom w:val="single" w:sz="4" w:space="0" w:color="auto"/>
              <w:right w:val="single" w:sz="8" w:space="0" w:color="auto"/>
            </w:tcBorders>
            <w:shd w:val="clear" w:color="000000" w:fill="FFFFFF"/>
            <w:noWrap/>
            <w:vAlign w:val="center"/>
            <w:hideMark/>
          </w:tcPr>
          <w:p w14:paraId="60E13BA2" w14:textId="2756E246" w:rsidR="00B060AC" w:rsidRPr="00B060AC" w:rsidRDefault="00B060AC" w:rsidP="00B060AC">
            <w:pPr>
              <w:spacing w:before="0" w:after="0"/>
              <w:jc w:val="center"/>
              <w:rPr>
                <w:rFonts w:cs="Arial"/>
                <w:color w:val="000000"/>
                <w:szCs w:val="22"/>
              </w:rPr>
            </w:pPr>
            <w:r w:rsidRPr="00B060AC">
              <w:rPr>
                <w:rFonts w:cs="Arial"/>
                <w:color w:val="000000"/>
                <w:szCs w:val="22"/>
              </w:rPr>
              <w:t xml:space="preserve">40 000 </w:t>
            </w:r>
            <w:r w:rsidR="00314CBE">
              <w:rPr>
                <w:rFonts w:cs="Arial"/>
                <w:color w:val="000000"/>
                <w:szCs w:val="22"/>
              </w:rPr>
              <w:t>-</w:t>
            </w:r>
            <w:r w:rsidRPr="00B060AC">
              <w:rPr>
                <w:rFonts w:cs="Arial"/>
                <w:color w:val="000000"/>
                <w:szCs w:val="22"/>
              </w:rPr>
              <w:t xml:space="preserve"> 50 000</w:t>
            </w:r>
          </w:p>
        </w:tc>
      </w:tr>
      <w:tr w:rsidR="00B060AC" w:rsidRPr="00B060AC" w14:paraId="5D66BC36" w14:textId="77777777" w:rsidTr="007E541C">
        <w:trPr>
          <w:trHeight w:val="300"/>
        </w:trPr>
        <w:tc>
          <w:tcPr>
            <w:tcW w:w="3251" w:type="dxa"/>
            <w:tcBorders>
              <w:top w:val="nil"/>
              <w:left w:val="single" w:sz="8" w:space="0" w:color="auto"/>
              <w:bottom w:val="nil"/>
              <w:right w:val="single" w:sz="4" w:space="0" w:color="auto"/>
            </w:tcBorders>
            <w:shd w:val="clear" w:color="000000" w:fill="FFFFFF"/>
            <w:noWrap/>
            <w:vAlign w:val="bottom"/>
            <w:hideMark/>
          </w:tcPr>
          <w:p w14:paraId="5A3D1A4A" w14:textId="77777777" w:rsidR="00B060AC" w:rsidRPr="00B060AC" w:rsidRDefault="00B060AC" w:rsidP="00B060AC">
            <w:pPr>
              <w:spacing w:before="0" w:after="0"/>
              <w:rPr>
                <w:rFonts w:cs="Arial"/>
                <w:color w:val="000000"/>
                <w:szCs w:val="22"/>
              </w:rPr>
            </w:pPr>
            <w:r w:rsidRPr="00B060AC">
              <w:rPr>
                <w:rFonts w:cs="Arial"/>
                <w:color w:val="000000"/>
                <w:szCs w:val="22"/>
              </w:rPr>
              <w:t>vodíkové autobusy</w:t>
            </w:r>
          </w:p>
        </w:tc>
        <w:tc>
          <w:tcPr>
            <w:tcW w:w="3099" w:type="dxa"/>
            <w:tcBorders>
              <w:top w:val="nil"/>
              <w:left w:val="nil"/>
              <w:bottom w:val="nil"/>
              <w:right w:val="single" w:sz="8" w:space="0" w:color="auto"/>
            </w:tcBorders>
            <w:shd w:val="clear" w:color="000000" w:fill="FFFFFF"/>
            <w:noWrap/>
            <w:vAlign w:val="center"/>
            <w:hideMark/>
          </w:tcPr>
          <w:p w14:paraId="752667BD" w14:textId="77777777" w:rsidR="00B060AC" w:rsidRPr="00B060AC" w:rsidRDefault="00B060AC" w:rsidP="00B060AC">
            <w:pPr>
              <w:spacing w:before="0" w:after="0"/>
              <w:jc w:val="center"/>
              <w:rPr>
                <w:rFonts w:cs="Arial"/>
                <w:color w:val="000000"/>
                <w:szCs w:val="22"/>
              </w:rPr>
            </w:pPr>
            <w:r w:rsidRPr="00B060AC">
              <w:rPr>
                <w:rFonts w:cs="Arial"/>
                <w:color w:val="000000"/>
                <w:szCs w:val="22"/>
              </w:rPr>
              <w:t>870</w:t>
            </w:r>
          </w:p>
        </w:tc>
      </w:tr>
      <w:tr w:rsidR="00B060AC" w:rsidRPr="00B060AC" w14:paraId="6C621E58" w14:textId="77777777" w:rsidTr="007E541C">
        <w:trPr>
          <w:trHeight w:val="300"/>
        </w:trPr>
        <w:tc>
          <w:tcPr>
            <w:tcW w:w="3251" w:type="dxa"/>
            <w:tcBorders>
              <w:top w:val="single" w:sz="8" w:space="0" w:color="auto"/>
              <w:left w:val="single" w:sz="8" w:space="0" w:color="auto"/>
              <w:bottom w:val="single" w:sz="8" w:space="0" w:color="auto"/>
              <w:right w:val="nil"/>
            </w:tcBorders>
            <w:shd w:val="clear" w:color="000000" w:fill="00B050"/>
            <w:noWrap/>
            <w:vAlign w:val="bottom"/>
            <w:hideMark/>
          </w:tcPr>
          <w:p w14:paraId="494F5BE0" w14:textId="7E6DDFD7" w:rsidR="00B060AC" w:rsidRPr="00B060AC" w:rsidRDefault="00264253" w:rsidP="00B060AC">
            <w:pPr>
              <w:spacing w:before="0" w:after="0"/>
              <w:rPr>
                <w:rFonts w:cs="Arial"/>
                <w:b/>
                <w:bCs/>
                <w:color w:val="000000"/>
                <w:szCs w:val="22"/>
              </w:rPr>
            </w:pPr>
            <w:r w:rsidRPr="00B060AC">
              <w:rPr>
                <w:rFonts w:cs="Arial"/>
                <w:b/>
                <w:bCs/>
                <w:color w:val="000000"/>
                <w:szCs w:val="22"/>
              </w:rPr>
              <w:t>D</w:t>
            </w:r>
            <w:r w:rsidR="00B060AC" w:rsidRPr="00B060AC">
              <w:rPr>
                <w:rFonts w:cs="Arial"/>
                <w:b/>
                <w:bCs/>
                <w:color w:val="000000"/>
                <w:szCs w:val="22"/>
              </w:rPr>
              <w:t>obíjecí</w:t>
            </w:r>
            <w:r w:rsidR="00CA5E1B">
              <w:rPr>
                <w:rFonts w:cs="Arial"/>
                <w:b/>
                <w:bCs/>
                <w:color w:val="000000"/>
                <w:szCs w:val="22"/>
              </w:rPr>
              <w:t xml:space="preserve"> body</w:t>
            </w:r>
            <w:r w:rsidR="00B060AC" w:rsidRPr="00B060AC">
              <w:rPr>
                <w:rFonts w:cs="Arial"/>
                <w:b/>
                <w:bCs/>
                <w:color w:val="000000"/>
                <w:szCs w:val="22"/>
              </w:rPr>
              <w:t>/plnicí stanice</w:t>
            </w:r>
          </w:p>
        </w:tc>
        <w:tc>
          <w:tcPr>
            <w:tcW w:w="3099" w:type="dxa"/>
            <w:tcBorders>
              <w:top w:val="single" w:sz="8" w:space="0" w:color="auto"/>
              <w:left w:val="single" w:sz="8" w:space="0" w:color="auto"/>
              <w:bottom w:val="single" w:sz="8" w:space="0" w:color="auto"/>
              <w:right w:val="single" w:sz="8" w:space="0" w:color="auto"/>
            </w:tcBorders>
            <w:shd w:val="clear" w:color="000000" w:fill="00B050"/>
            <w:noWrap/>
            <w:vAlign w:val="center"/>
            <w:hideMark/>
          </w:tcPr>
          <w:p w14:paraId="04848EAC" w14:textId="77777777" w:rsidR="00B060AC" w:rsidRPr="00B060AC" w:rsidRDefault="00B060AC" w:rsidP="00B060AC">
            <w:pPr>
              <w:spacing w:before="0" w:after="0"/>
              <w:jc w:val="center"/>
              <w:rPr>
                <w:rFonts w:cs="Arial"/>
                <w:b/>
                <w:bCs/>
                <w:szCs w:val="22"/>
              </w:rPr>
            </w:pPr>
            <w:r w:rsidRPr="00B060AC">
              <w:rPr>
                <w:rFonts w:cs="Arial"/>
                <w:b/>
                <w:bCs/>
                <w:szCs w:val="22"/>
              </w:rPr>
              <w:t>rok 2030</w:t>
            </w:r>
          </w:p>
        </w:tc>
      </w:tr>
      <w:tr w:rsidR="00B060AC" w:rsidRPr="00B060AC" w14:paraId="3993A214"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0B330936" w14:textId="77777777" w:rsidR="00B060AC" w:rsidRPr="00B060AC" w:rsidRDefault="00B060AC" w:rsidP="00B060AC">
            <w:pPr>
              <w:spacing w:before="0" w:after="0"/>
              <w:rPr>
                <w:rFonts w:cs="Arial"/>
                <w:color w:val="000000"/>
                <w:szCs w:val="22"/>
              </w:rPr>
            </w:pPr>
            <w:r w:rsidRPr="00B060AC">
              <w:rPr>
                <w:rFonts w:cs="Arial"/>
                <w:color w:val="000000"/>
                <w:szCs w:val="22"/>
              </w:rPr>
              <w:t>elektrické</w:t>
            </w:r>
          </w:p>
        </w:tc>
        <w:tc>
          <w:tcPr>
            <w:tcW w:w="3099" w:type="dxa"/>
            <w:tcBorders>
              <w:top w:val="nil"/>
              <w:left w:val="nil"/>
              <w:bottom w:val="single" w:sz="4" w:space="0" w:color="auto"/>
              <w:right w:val="single" w:sz="8" w:space="0" w:color="auto"/>
            </w:tcBorders>
            <w:shd w:val="clear" w:color="000000" w:fill="FFFFFF"/>
            <w:noWrap/>
            <w:vAlign w:val="center"/>
            <w:hideMark/>
          </w:tcPr>
          <w:p w14:paraId="3FF51E2E" w14:textId="4B336B93" w:rsidR="00B060AC" w:rsidRPr="00B060AC" w:rsidRDefault="00B060AC" w:rsidP="00B060AC">
            <w:pPr>
              <w:spacing w:before="0" w:after="0"/>
              <w:jc w:val="center"/>
              <w:rPr>
                <w:rFonts w:cs="Arial"/>
                <w:color w:val="000000"/>
                <w:szCs w:val="22"/>
              </w:rPr>
            </w:pPr>
            <w:r w:rsidRPr="00B060AC">
              <w:rPr>
                <w:rFonts w:cs="Arial"/>
                <w:color w:val="000000"/>
                <w:szCs w:val="22"/>
              </w:rPr>
              <w:t xml:space="preserve">19 000 </w:t>
            </w:r>
            <w:r w:rsidR="00314CBE">
              <w:rPr>
                <w:rFonts w:cs="Arial"/>
                <w:color w:val="000000"/>
                <w:szCs w:val="22"/>
              </w:rPr>
              <w:t>-</w:t>
            </w:r>
            <w:r w:rsidRPr="00B060AC">
              <w:rPr>
                <w:rFonts w:cs="Arial"/>
                <w:color w:val="000000"/>
                <w:szCs w:val="22"/>
              </w:rPr>
              <w:t xml:space="preserve"> 35 000</w:t>
            </w:r>
          </w:p>
        </w:tc>
      </w:tr>
      <w:tr w:rsidR="00B060AC" w:rsidRPr="00B060AC" w14:paraId="1DFE43AA" w14:textId="77777777" w:rsidTr="007E541C">
        <w:trPr>
          <w:trHeight w:val="288"/>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6FBDAB29" w14:textId="77777777" w:rsidR="00B060AC" w:rsidRPr="00B060AC" w:rsidRDefault="00B060AC" w:rsidP="00B060AC">
            <w:pPr>
              <w:spacing w:before="0" w:after="0"/>
              <w:rPr>
                <w:rFonts w:cs="Arial"/>
                <w:color w:val="000000"/>
                <w:szCs w:val="22"/>
              </w:rPr>
            </w:pPr>
            <w:r w:rsidRPr="00B060AC">
              <w:rPr>
                <w:rFonts w:cs="Arial"/>
                <w:color w:val="000000"/>
                <w:szCs w:val="22"/>
              </w:rPr>
              <w:t>CNG</w:t>
            </w:r>
          </w:p>
        </w:tc>
        <w:tc>
          <w:tcPr>
            <w:tcW w:w="3099" w:type="dxa"/>
            <w:tcBorders>
              <w:top w:val="nil"/>
              <w:left w:val="nil"/>
              <w:bottom w:val="single" w:sz="4" w:space="0" w:color="auto"/>
              <w:right w:val="single" w:sz="8" w:space="0" w:color="auto"/>
            </w:tcBorders>
            <w:shd w:val="clear" w:color="000000" w:fill="FFFFFF"/>
            <w:noWrap/>
            <w:vAlign w:val="center"/>
            <w:hideMark/>
          </w:tcPr>
          <w:p w14:paraId="5A5C3230" w14:textId="0EB2BF92" w:rsidR="00B060AC" w:rsidRPr="00B060AC" w:rsidRDefault="00B060AC" w:rsidP="00B060AC">
            <w:pPr>
              <w:spacing w:before="0" w:after="0"/>
              <w:jc w:val="center"/>
              <w:rPr>
                <w:rFonts w:cs="Arial"/>
                <w:color w:val="000000"/>
                <w:szCs w:val="22"/>
              </w:rPr>
            </w:pPr>
            <w:r w:rsidRPr="00B060AC">
              <w:rPr>
                <w:rFonts w:cs="Arial"/>
                <w:color w:val="000000"/>
                <w:szCs w:val="22"/>
              </w:rPr>
              <w:t xml:space="preserve">350 </w:t>
            </w:r>
            <w:r w:rsidR="00314CBE">
              <w:rPr>
                <w:rFonts w:cs="Arial"/>
                <w:color w:val="000000"/>
                <w:szCs w:val="22"/>
              </w:rPr>
              <w:t>-</w:t>
            </w:r>
            <w:r w:rsidRPr="00B060AC">
              <w:rPr>
                <w:rFonts w:cs="Arial"/>
                <w:color w:val="000000"/>
                <w:szCs w:val="22"/>
              </w:rPr>
              <w:t xml:space="preserve"> 400</w:t>
            </w:r>
          </w:p>
        </w:tc>
      </w:tr>
      <w:tr w:rsidR="00B060AC" w:rsidRPr="00B060AC" w14:paraId="3C84E4EB" w14:textId="77777777" w:rsidTr="007E541C">
        <w:trPr>
          <w:trHeight w:val="300"/>
        </w:trPr>
        <w:tc>
          <w:tcPr>
            <w:tcW w:w="3251" w:type="dxa"/>
            <w:tcBorders>
              <w:top w:val="nil"/>
              <w:left w:val="single" w:sz="8" w:space="0" w:color="auto"/>
              <w:bottom w:val="single" w:sz="4" w:space="0" w:color="auto"/>
              <w:right w:val="single" w:sz="4" w:space="0" w:color="auto"/>
            </w:tcBorders>
            <w:shd w:val="clear" w:color="000000" w:fill="FFFFFF"/>
            <w:noWrap/>
            <w:vAlign w:val="bottom"/>
            <w:hideMark/>
          </w:tcPr>
          <w:p w14:paraId="3E769DA2" w14:textId="57B0AFCB" w:rsidR="00B060AC" w:rsidRPr="00B060AC" w:rsidRDefault="00B060AC" w:rsidP="00B060AC">
            <w:pPr>
              <w:spacing w:before="0" w:after="0"/>
              <w:rPr>
                <w:rFonts w:cs="Arial"/>
                <w:color w:val="000000"/>
                <w:szCs w:val="22"/>
              </w:rPr>
            </w:pPr>
            <w:r w:rsidRPr="00B060AC">
              <w:rPr>
                <w:rFonts w:cs="Arial"/>
                <w:color w:val="000000"/>
                <w:szCs w:val="22"/>
              </w:rPr>
              <w:t>LNG</w:t>
            </w:r>
            <w:r w:rsidR="00314CBE">
              <w:rPr>
                <w:rFonts w:cs="Arial"/>
                <w:color w:val="000000"/>
                <w:szCs w:val="22"/>
              </w:rPr>
              <w:t xml:space="preserve"> OA</w:t>
            </w:r>
          </w:p>
        </w:tc>
        <w:tc>
          <w:tcPr>
            <w:tcW w:w="3099" w:type="dxa"/>
            <w:tcBorders>
              <w:top w:val="nil"/>
              <w:left w:val="nil"/>
              <w:bottom w:val="single" w:sz="4" w:space="0" w:color="auto"/>
              <w:right w:val="single" w:sz="8" w:space="0" w:color="auto"/>
            </w:tcBorders>
            <w:shd w:val="clear" w:color="000000" w:fill="FFFFFF"/>
            <w:noWrap/>
            <w:vAlign w:val="center"/>
            <w:hideMark/>
          </w:tcPr>
          <w:p w14:paraId="678A37A0" w14:textId="77777777" w:rsidR="00B060AC" w:rsidRPr="00B060AC" w:rsidRDefault="00B060AC" w:rsidP="00B060AC">
            <w:pPr>
              <w:spacing w:before="0" w:after="0"/>
              <w:jc w:val="center"/>
              <w:rPr>
                <w:rFonts w:cs="Arial"/>
                <w:color w:val="000000"/>
                <w:szCs w:val="22"/>
              </w:rPr>
            </w:pPr>
            <w:r w:rsidRPr="00B060AC">
              <w:rPr>
                <w:rFonts w:cs="Arial"/>
                <w:color w:val="000000"/>
                <w:szCs w:val="22"/>
              </w:rPr>
              <w:t>30</w:t>
            </w:r>
          </w:p>
        </w:tc>
      </w:tr>
      <w:tr w:rsidR="00B060AC" w:rsidRPr="00B060AC" w14:paraId="366309D6" w14:textId="77777777" w:rsidTr="007E541C">
        <w:trPr>
          <w:trHeight w:val="300"/>
        </w:trPr>
        <w:tc>
          <w:tcPr>
            <w:tcW w:w="3251" w:type="dxa"/>
            <w:tcBorders>
              <w:top w:val="nil"/>
              <w:left w:val="single" w:sz="8" w:space="0" w:color="auto"/>
              <w:bottom w:val="single" w:sz="8" w:space="0" w:color="auto"/>
              <w:right w:val="single" w:sz="4" w:space="0" w:color="auto"/>
            </w:tcBorders>
            <w:shd w:val="clear" w:color="000000" w:fill="FFFFFF"/>
            <w:noWrap/>
            <w:vAlign w:val="bottom"/>
            <w:hideMark/>
          </w:tcPr>
          <w:p w14:paraId="514EE582" w14:textId="77777777" w:rsidR="00B060AC" w:rsidRPr="00B060AC" w:rsidRDefault="00B060AC" w:rsidP="00B060AC">
            <w:pPr>
              <w:spacing w:before="0" w:after="0"/>
              <w:rPr>
                <w:rFonts w:cs="Arial"/>
                <w:color w:val="000000"/>
                <w:szCs w:val="22"/>
              </w:rPr>
            </w:pPr>
            <w:r w:rsidRPr="00B060AC">
              <w:rPr>
                <w:rFonts w:cs="Arial"/>
                <w:color w:val="000000"/>
                <w:szCs w:val="22"/>
              </w:rPr>
              <w:t>vodík</w:t>
            </w:r>
          </w:p>
        </w:tc>
        <w:tc>
          <w:tcPr>
            <w:tcW w:w="3099" w:type="dxa"/>
            <w:tcBorders>
              <w:top w:val="nil"/>
              <w:left w:val="nil"/>
              <w:bottom w:val="single" w:sz="8" w:space="0" w:color="auto"/>
              <w:right w:val="single" w:sz="8" w:space="0" w:color="auto"/>
            </w:tcBorders>
            <w:shd w:val="clear" w:color="000000" w:fill="FFFFFF"/>
            <w:noWrap/>
            <w:vAlign w:val="center"/>
            <w:hideMark/>
          </w:tcPr>
          <w:p w14:paraId="5AC799C5" w14:textId="77777777" w:rsidR="00B060AC" w:rsidRPr="00B060AC" w:rsidRDefault="00B060AC" w:rsidP="00B060AC">
            <w:pPr>
              <w:spacing w:before="0" w:after="0"/>
              <w:jc w:val="center"/>
              <w:rPr>
                <w:rFonts w:cs="Arial"/>
                <w:color w:val="000000"/>
                <w:szCs w:val="22"/>
              </w:rPr>
            </w:pPr>
            <w:r w:rsidRPr="00B060AC">
              <w:rPr>
                <w:rFonts w:cs="Arial"/>
                <w:color w:val="000000"/>
                <w:szCs w:val="22"/>
              </w:rPr>
              <w:t>80</w:t>
            </w:r>
          </w:p>
        </w:tc>
      </w:tr>
    </w:tbl>
    <w:p w14:paraId="48F741A7" w14:textId="77777777" w:rsidR="0011643B" w:rsidRDefault="0011643B" w:rsidP="00BB2018"/>
    <w:p w14:paraId="733B0BD7" w14:textId="77777777" w:rsidR="0011643B" w:rsidRPr="007E541C" w:rsidRDefault="0011643B" w:rsidP="0011643B">
      <w:pPr>
        <w:rPr>
          <w:rFonts w:cs="Arial"/>
          <w:bCs/>
          <w:szCs w:val="22"/>
        </w:rPr>
      </w:pPr>
      <w:r w:rsidRPr="007E541C">
        <w:rPr>
          <w:rFonts w:cs="Arial"/>
          <w:bCs/>
          <w:szCs w:val="22"/>
        </w:rPr>
        <w:t>Čistá mobilita má tři hlavní cíle:</w:t>
      </w:r>
    </w:p>
    <w:p w14:paraId="3B4222A1" w14:textId="263FA6B9" w:rsidR="0011643B" w:rsidRPr="007E541C" w:rsidRDefault="0011643B" w:rsidP="0011643B">
      <w:pPr>
        <w:pStyle w:val="Odstavecseseznamem"/>
        <w:numPr>
          <w:ilvl w:val="0"/>
          <w:numId w:val="69"/>
        </w:numPr>
        <w:spacing w:before="0"/>
        <w:contextualSpacing/>
        <w:rPr>
          <w:rFonts w:ascii="Arial" w:hAnsi="Arial" w:cs="Arial"/>
          <w:bCs/>
          <w:sz w:val="22"/>
          <w:szCs w:val="22"/>
        </w:rPr>
      </w:pPr>
      <w:r w:rsidRPr="007E541C">
        <w:rPr>
          <w:rFonts w:ascii="Arial" w:hAnsi="Arial" w:cs="Arial"/>
          <w:bCs/>
          <w:sz w:val="22"/>
          <w:szCs w:val="22"/>
        </w:rPr>
        <w:t>snižování spotřeby energie (viz vazba na vládou ČR schválený Vnitrostátní plán v</w:t>
      </w:r>
      <w:r w:rsidR="005A1247">
        <w:rPr>
          <w:rFonts w:ascii="Arial" w:hAnsi="Arial" w:cs="Arial"/>
          <w:bCs/>
          <w:sz w:val="22"/>
          <w:szCs w:val="22"/>
        </w:rPr>
        <w:t> </w:t>
      </w:r>
      <w:r w:rsidRPr="007E541C">
        <w:rPr>
          <w:rFonts w:ascii="Arial" w:hAnsi="Arial" w:cs="Arial"/>
          <w:bCs/>
          <w:sz w:val="22"/>
          <w:szCs w:val="22"/>
        </w:rPr>
        <w:t>oblasti energetiky a</w:t>
      </w:r>
      <w:r w:rsidR="005A1247">
        <w:rPr>
          <w:rFonts w:ascii="Arial" w:hAnsi="Arial" w:cs="Arial"/>
          <w:bCs/>
          <w:sz w:val="22"/>
          <w:szCs w:val="22"/>
        </w:rPr>
        <w:t> </w:t>
      </w:r>
      <w:r w:rsidRPr="007E541C">
        <w:rPr>
          <w:rFonts w:ascii="Arial" w:hAnsi="Arial" w:cs="Arial"/>
          <w:bCs/>
          <w:sz w:val="22"/>
          <w:szCs w:val="22"/>
        </w:rPr>
        <w:t>klimatu, zpracovaný MPO ČR,</w:t>
      </w:r>
    </w:p>
    <w:p w14:paraId="73374723" w14:textId="59F7190E" w:rsidR="0011643B" w:rsidRPr="007E541C" w:rsidRDefault="0011643B" w:rsidP="0011643B">
      <w:pPr>
        <w:pStyle w:val="Odstavecseseznamem"/>
        <w:numPr>
          <w:ilvl w:val="0"/>
          <w:numId w:val="69"/>
        </w:numPr>
        <w:spacing w:before="0"/>
        <w:contextualSpacing/>
        <w:rPr>
          <w:rFonts w:ascii="Arial" w:hAnsi="Arial" w:cs="Arial"/>
          <w:bCs/>
          <w:sz w:val="22"/>
          <w:szCs w:val="22"/>
        </w:rPr>
      </w:pPr>
      <w:r w:rsidRPr="007E541C">
        <w:rPr>
          <w:rFonts w:ascii="Arial" w:hAnsi="Arial" w:cs="Arial"/>
          <w:bCs/>
          <w:sz w:val="22"/>
          <w:szCs w:val="22"/>
        </w:rPr>
        <w:t>snižování emisí oxidu uhličitého (viz vazba na vládou ČR schválený Vnitrostátní plán v</w:t>
      </w:r>
      <w:r w:rsidR="005A1247">
        <w:rPr>
          <w:rFonts w:ascii="Arial" w:hAnsi="Arial" w:cs="Arial"/>
          <w:bCs/>
          <w:sz w:val="22"/>
          <w:szCs w:val="22"/>
        </w:rPr>
        <w:t> </w:t>
      </w:r>
      <w:r w:rsidRPr="007E541C">
        <w:rPr>
          <w:rFonts w:ascii="Arial" w:hAnsi="Arial" w:cs="Arial"/>
          <w:bCs/>
          <w:sz w:val="22"/>
          <w:szCs w:val="22"/>
        </w:rPr>
        <w:t>oblasti energetiky a</w:t>
      </w:r>
      <w:r w:rsidR="005A1247">
        <w:rPr>
          <w:rFonts w:ascii="Arial" w:hAnsi="Arial" w:cs="Arial"/>
          <w:bCs/>
          <w:sz w:val="22"/>
          <w:szCs w:val="22"/>
        </w:rPr>
        <w:t> </w:t>
      </w:r>
      <w:r w:rsidRPr="007E541C">
        <w:rPr>
          <w:rFonts w:ascii="Arial" w:hAnsi="Arial" w:cs="Arial"/>
          <w:bCs/>
          <w:sz w:val="22"/>
          <w:szCs w:val="22"/>
        </w:rPr>
        <w:t>klimatu, zpracovaný MPO ČR),</w:t>
      </w:r>
    </w:p>
    <w:p w14:paraId="2AB102F3" w14:textId="77777777" w:rsidR="0011643B" w:rsidRPr="007E541C" w:rsidRDefault="0011643B" w:rsidP="0011643B">
      <w:pPr>
        <w:pStyle w:val="Odstavecseseznamem"/>
        <w:numPr>
          <w:ilvl w:val="0"/>
          <w:numId w:val="69"/>
        </w:numPr>
        <w:spacing w:before="0"/>
        <w:contextualSpacing/>
        <w:rPr>
          <w:rFonts w:ascii="Arial" w:hAnsi="Arial" w:cs="Arial"/>
          <w:bCs/>
          <w:sz w:val="22"/>
          <w:szCs w:val="22"/>
        </w:rPr>
      </w:pPr>
      <w:r w:rsidRPr="007E541C">
        <w:rPr>
          <w:rFonts w:ascii="Arial" w:hAnsi="Arial" w:cs="Arial"/>
          <w:bCs/>
          <w:sz w:val="22"/>
          <w:szCs w:val="22"/>
        </w:rPr>
        <w:t>snižování emisí zdraví škodlivých látek (viz vazba na vládou ČR schválený Národní plán snižování emisí).</w:t>
      </w:r>
    </w:p>
    <w:p w14:paraId="322B0E3E" w14:textId="3555A2C7"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lastRenderedPageBreak/>
        <w:t>Podle Souhrnné energetické bilance ČR (MPO ČR, únor 2019) roste v</w:t>
      </w:r>
      <w:r w:rsidR="005A1247">
        <w:rPr>
          <w:rFonts w:ascii="Arial" w:hAnsi="Arial" w:cs="Arial"/>
          <w:iCs/>
          <w:sz w:val="22"/>
          <w:szCs w:val="22"/>
        </w:rPr>
        <w:t> </w:t>
      </w:r>
      <w:r w:rsidRPr="007E541C">
        <w:rPr>
          <w:rFonts w:ascii="Arial" w:hAnsi="Arial" w:cs="Arial"/>
          <w:iCs/>
          <w:sz w:val="22"/>
          <w:szCs w:val="22"/>
        </w:rPr>
        <w:t>průběhu posledních čtyřech statisticky zpracovaných letech (2013 až 2017) konečná spotřeba energie v</w:t>
      </w:r>
      <w:r w:rsidR="005A1247">
        <w:rPr>
          <w:rFonts w:ascii="Arial" w:hAnsi="Arial" w:cs="Arial"/>
          <w:iCs/>
          <w:sz w:val="22"/>
          <w:szCs w:val="22"/>
        </w:rPr>
        <w:t> </w:t>
      </w:r>
      <w:r w:rsidRPr="007E541C">
        <w:rPr>
          <w:rFonts w:ascii="Arial" w:hAnsi="Arial" w:cs="Arial"/>
          <w:iCs/>
          <w:sz w:val="22"/>
          <w:szCs w:val="22"/>
        </w:rPr>
        <w:t>dopravě v</w:t>
      </w:r>
      <w:r w:rsidR="005A1247">
        <w:rPr>
          <w:rFonts w:ascii="Arial" w:hAnsi="Arial" w:cs="Arial"/>
          <w:iCs/>
          <w:sz w:val="22"/>
          <w:szCs w:val="22"/>
        </w:rPr>
        <w:t> </w:t>
      </w:r>
      <w:r w:rsidRPr="007E541C">
        <w:rPr>
          <w:rFonts w:ascii="Arial" w:hAnsi="Arial" w:cs="Arial"/>
          <w:iCs/>
          <w:sz w:val="22"/>
          <w:szCs w:val="22"/>
        </w:rPr>
        <w:t>ČR tempem 9,19 PJ/rok (2,55 TWh/rok) a</w:t>
      </w:r>
      <w:r w:rsidR="005A1247">
        <w:rPr>
          <w:rFonts w:ascii="Arial" w:hAnsi="Arial" w:cs="Arial"/>
          <w:iCs/>
          <w:sz w:val="22"/>
          <w:szCs w:val="22"/>
        </w:rPr>
        <w:t> </w:t>
      </w:r>
      <w:r w:rsidRPr="0011643B">
        <w:rPr>
          <w:rFonts w:ascii="Arial" w:hAnsi="Arial" w:cs="Arial"/>
          <w:iCs/>
          <w:sz w:val="22"/>
          <w:szCs w:val="22"/>
        </w:rPr>
        <w:t>produkce CO</w:t>
      </w:r>
      <w:r>
        <w:rPr>
          <w:rFonts w:ascii="Arial" w:hAnsi="Arial" w:cs="Arial"/>
          <w:iCs/>
          <w:sz w:val="22"/>
          <w:szCs w:val="22"/>
          <w:vertAlign w:val="subscript"/>
        </w:rPr>
        <w:t>2</w:t>
      </w:r>
      <w:r w:rsidRPr="007E541C">
        <w:rPr>
          <w:rFonts w:ascii="Arial" w:hAnsi="Arial" w:cs="Arial"/>
          <w:iCs/>
          <w:sz w:val="22"/>
          <w:szCs w:val="22"/>
        </w:rPr>
        <w:t xml:space="preserve"> roste v</w:t>
      </w:r>
      <w:r w:rsidR="005A1247">
        <w:rPr>
          <w:rFonts w:ascii="Arial" w:hAnsi="Arial" w:cs="Arial"/>
          <w:iCs/>
          <w:sz w:val="22"/>
          <w:szCs w:val="22"/>
        </w:rPr>
        <w:t> </w:t>
      </w:r>
      <w:r w:rsidRPr="007E541C">
        <w:rPr>
          <w:rFonts w:ascii="Arial" w:hAnsi="Arial" w:cs="Arial"/>
          <w:iCs/>
          <w:sz w:val="22"/>
          <w:szCs w:val="22"/>
        </w:rPr>
        <w:t>dopravě tempem 0,68 Mt/rok.</w:t>
      </w:r>
    </w:p>
    <w:p w14:paraId="38CE3053" w14:textId="21EB3406"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t>Vládou ČR schválený Vnitrostátní plán ČR v</w:t>
      </w:r>
      <w:r w:rsidR="005A1247">
        <w:rPr>
          <w:rFonts w:ascii="Arial" w:hAnsi="Arial" w:cs="Arial"/>
          <w:iCs/>
          <w:sz w:val="22"/>
          <w:szCs w:val="22"/>
        </w:rPr>
        <w:t> </w:t>
      </w:r>
      <w:r w:rsidRPr="007E541C">
        <w:rPr>
          <w:rFonts w:ascii="Arial" w:hAnsi="Arial" w:cs="Arial"/>
          <w:iCs/>
          <w:sz w:val="22"/>
          <w:szCs w:val="22"/>
        </w:rPr>
        <w:t>oblasti energetiky a</w:t>
      </w:r>
      <w:r w:rsidR="005A1247">
        <w:rPr>
          <w:rFonts w:ascii="Arial" w:hAnsi="Arial" w:cs="Arial"/>
          <w:iCs/>
          <w:sz w:val="22"/>
          <w:szCs w:val="22"/>
        </w:rPr>
        <w:t> </w:t>
      </w:r>
      <w:r w:rsidRPr="007E541C">
        <w:rPr>
          <w:rFonts w:ascii="Arial" w:hAnsi="Arial" w:cs="Arial"/>
          <w:iCs/>
          <w:sz w:val="22"/>
          <w:szCs w:val="22"/>
        </w:rPr>
        <w:t>klimatu (MPO ČR, listopad 2019) určuje pro oblast zvyšování energetické účinnosti závazný cíl snižovat v</w:t>
      </w:r>
      <w:r w:rsidR="005A1247">
        <w:rPr>
          <w:rFonts w:ascii="Arial" w:hAnsi="Arial" w:cs="Arial"/>
          <w:iCs/>
          <w:sz w:val="22"/>
          <w:szCs w:val="22"/>
        </w:rPr>
        <w:t> </w:t>
      </w:r>
      <w:r w:rsidRPr="007E541C">
        <w:rPr>
          <w:rFonts w:ascii="Arial" w:hAnsi="Arial" w:cs="Arial"/>
          <w:iCs/>
          <w:sz w:val="22"/>
          <w:szCs w:val="22"/>
        </w:rPr>
        <w:t>období let 2021 až 2030 konečnou spotřebu energie, a</w:t>
      </w:r>
      <w:r w:rsidR="005A1247">
        <w:rPr>
          <w:rFonts w:ascii="Arial" w:hAnsi="Arial" w:cs="Arial"/>
          <w:iCs/>
          <w:sz w:val="22"/>
          <w:szCs w:val="22"/>
        </w:rPr>
        <w:t> </w:t>
      </w:r>
      <w:r w:rsidRPr="007E541C">
        <w:rPr>
          <w:rFonts w:ascii="Arial" w:hAnsi="Arial" w:cs="Arial"/>
          <w:iCs/>
          <w:sz w:val="22"/>
          <w:szCs w:val="22"/>
        </w:rPr>
        <w:t>to zaváděním nových úspor tempem 0,8 %/rok, tedy 8,4 PJ/rok (při předpokládané úrovni konečné spotřeby energie v</w:t>
      </w:r>
      <w:r w:rsidR="005A1247">
        <w:rPr>
          <w:rFonts w:ascii="Arial" w:hAnsi="Arial" w:cs="Arial"/>
          <w:iCs/>
          <w:sz w:val="22"/>
          <w:szCs w:val="22"/>
        </w:rPr>
        <w:t> </w:t>
      </w:r>
      <w:r w:rsidRPr="007E541C">
        <w:rPr>
          <w:rFonts w:ascii="Arial" w:hAnsi="Arial" w:cs="Arial"/>
          <w:iCs/>
          <w:sz w:val="22"/>
          <w:szCs w:val="22"/>
        </w:rPr>
        <w:t>ČR v</w:t>
      </w:r>
      <w:r w:rsidR="005A1247">
        <w:rPr>
          <w:rFonts w:ascii="Arial" w:hAnsi="Arial" w:cs="Arial"/>
          <w:iCs/>
          <w:sz w:val="22"/>
          <w:szCs w:val="22"/>
        </w:rPr>
        <w:t> </w:t>
      </w:r>
      <w:r w:rsidRPr="007E541C">
        <w:rPr>
          <w:rFonts w:ascii="Arial" w:hAnsi="Arial" w:cs="Arial"/>
          <w:iCs/>
          <w:sz w:val="22"/>
          <w:szCs w:val="22"/>
        </w:rPr>
        <w:t>roce 2020 v</w:t>
      </w:r>
      <w:r w:rsidR="005A1247">
        <w:rPr>
          <w:rFonts w:ascii="Arial" w:hAnsi="Arial" w:cs="Arial"/>
          <w:iCs/>
          <w:sz w:val="22"/>
          <w:szCs w:val="22"/>
        </w:rPr>
        <w:t> </w:t>
      </w:r>
      <w:r w:rsidRPr="007E541C">
        <w:rPr>
          <w:rFonts w:ascii="Arial" w:hAnsi="Arial" w:cs="Arial"/>
          <w:iCs/>
          <w:sz w:val="22"/>
          <w:szCs w:val="22"/>
        </w:rPr>
        <w:t>úrovni 1 050 PJ/rok). To znamená v</w:t>
      </w:r>
      <w:r w:rsidR="005A1247">
        <w:rPr>
          <w:rFonts w:ascii="Arial" w:hAnsi="Arial" w:cs="Arial"/>
          <w:iCs/>
          <w:sz w:val="22"/>
          <w:szCs w:val="22"/>
        </w:rPr>
        <w:t> </w:t>
      </w:r>
      <w:r w:rsidRPr="007E541C">
        <w:rPr>
          <w:rFonts w:ascii="Arial" w:hAnsi="Arial" w:cs="Arial"/>
          <w:iCs/>
          <w:sz w:val="22"/>
          <w:szCs w:val="22"/>
        </w:rPr>
        <w:t>přepočtu pro obor dopravy (při předpokládané úrovni konečné spotřeby energie v</w:t>
      </w:r>
      <w:r w:rsidR="005A1247">
        <w:rPr>
          <w:rFonts w:ascii="Arial" w:hAnsi="Arial" w:cs="Arial"/>
          <w:iCs/>
          <w:sz w:val="22"/>
          <w:szCs w:val="22"/>
        </w:rPr>
        <w:t> </w:t>
      </w:r>
      <w:r w:rsidRPr="007E541C">
        <w:rPr>
          <w:rFonts w:ascii="Arial" w:hAnsi="Arial" w:cs="Arial"/>
          <w:iCs/>
          <w:sz w:val="22"/>
          <w:szCs w:val="22"/>
        </w:rPr>
        <w:t>dopravě v</w:t>
      </w:r>
      <w:r w:rsidR="005A1247">
        <w:rPr>
          <w:rFonts w:ascii="Arial" w:hAnsi="Arial" w:cs="Arial"/>
          <w:iCs/>
          <w:sz w:val="22"/>
          <w:szCs w:val="22"/>
        </w:rPr>
        <w:t> </w:t>
      </w:r>
      <w:r w:rsidRPr="007E541C">
        <w:rPr>
          <w:rFonts w:ascii="Arial" w:hAnsi="Arial" w:cs="Arial"/>
          <w:iCs/>
          <w:sz w:val="22"/>
          <w:szCs w:val="22"/>
        </w:rPr>
        <w:t>ČR v</w:t>
      </w:r>
      <w:r w:rsidR="005A1247">
        <w:rPr>
          <w:rFonts w:ascii="Arial" w:hAnsi="Arial" w:cs="Arial"/>
          <w:iCs/>
          <w:sz w:val="22"/>
          <w:szCs w:val="22"/>
        </w:rPr>
        <w:t> </w:t>
      </w:r>
      <w:r w:rsidRPr="007E541C">
        <w:rPr>
          <w:rFonts w:ascii="Arial" w:hAnsi="Arial" w:cs="Arial"/>
          <w:iCs/>
          <w:sz w:val="22"/>
          <w:szCs w:val="22"/>
        </w:rPr>
        <w:t>roce 2020 v</w:t>
      </w:r>
      <w:r w:rsidR="005A1247">
        <w:rPr>
          <w:rFonts w:ascii="Arial" w:hAnsi="Arial" w:cs="Arial"/>
          <w:iCs/>
          <w:sz w:val="22"/>
          <w:szCs w:val="22"/>
        </w:rPr>
        <w:t> </w:t>
      </w:r>
      <w:r w:rsidRPr="007E541C">
        <w:rPr>
          <w:rFonts w:ascii="Arial" w:hAnsi="Arial" w:cs="Arial"/>
          <w:iCs/>
          <w:sz w:val="22"/>
          <w:szCs w:val="22"/>
        </w:rPr>
        <w:t>úrovni 305 PJ/rok – 85 TWh/rok) zvyšovat úspory energie v</w:t>
      </w:r>
      <w:r w:rsidR="005A1247">
        <w:rPr>
          <w:rFonts w:ascii="Arial" w:hAnsi="Arial" w:cs="Arial"/>
          <w:iCs/>
          <w:sz w:val="22"/>
          <w:szCs w:val="22"/>
        </w:rPr>
        <w:t> </w:t>
      </w:r>
      <w:r w:rsidRPr="007E541C">
        <w:rPr>
          <w:rFonts w:ascii="Arial" w:hAnsi="Arial" w:cs="Arial"/>
          <w:iCs/>
          <w:sz w:val="22"/>
          <w:szCs w:val="22"/>
        </w:rPr>
        <w:t xml:space="preserve">dopravě tempem 2,44 PJ/rok (0,68 TWh/rok). </w:t>
      </w:r>
    </w:p>
    <w:p w14:paraId="545E9B8B" w14:textId="46A600B2"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t>V oblasti snižování produkce oxidu uhličitého určuje Vnitrostátní plán ČR v</w:t>
      </w:r>
      <w:r w:rsidR="005A1247">
        <w:rPr>
          <w:rFonts w:ascii="Arial" w:hAnsi="Arial" w:cs="Arial"/>
          <w:iCs/>
          <w:sz w:val="22"/>
          <w:szCs w:val="22"/>
        </w:rPr>
        <w:t> </w:t>
      </w:r>
      <w:r w:rsidRPr="007E541C">
        <w:rPr>
          <w:rFonts w:ascii="Arial" w:hAnsi="Arial" w:cs="Arial"/>
          <w:iCs/>
          <w:sz w:val="22"/>
          <w:szCs w:val="22"/>
        </w:rPr>
        <w:t>oblasti energetiky a</w:t>
      </w:r>
      <w:r w:rsidR="005A1247">
        <w:rPr>
          <w:rFonts w:ascii="Arial" w:hAnsi="Arial" w:cs="Arial"/>
          <w:iCs/>
          <w:sz w:val="22"/>
          <w:szCs w:val="22"/>
        </w:rPr>
        <w:t> </w:t>
      </w:r>
      <w:r w:rsidRPr="007E541C">
        <w:rPr>
          <w:rFonts w:ascii="Arial" w:hAnsi="Arial" w:cs="Arial"/>
          <w:iCs/>
          <w:sz w:val="22"/>
          <w:szCs w:val="22"/>
        </w:rPr>
        <w:t>klimatu cíl snížit mezi roky 2020 a</w:t>
      </w:r>
      <w:r w:rsidR="005A1247">
        <w:rPr>
          <w:rFonts w:ascii="Arial" w:hAnsi="Arial" w:cs="Arial"/>
          <w:iCs/>
          <w:sz w:val="22"/>
          <w:szCs w:val="22"/>
        </w:rPr>
        <w:t> </w:t>
      </w:r>
      <w:r w:rsidRPr="007E541C">
        <w:rPr>
          <w:rFonts w:ascii="Arial" w:hAnsi="Arial" w:cs="Arial"/>
          <w:iCs/>
          <w:sz w:val="22"/>
          <w:szCs w:val="22"/>
        </w:rPr>
        <w:t>2030 emise CO</w:t>
      </w:r>
      <w:r w:rsidRPr="007E541C">
        <w:rPr>
          <w:rFonts w:ascii="Arial" w:hAnsi="Arial" w:cs="Arial"/>
          <w:iCs/>
          <w:sz w:val="22"/>
          <w:szCs w:val="22"/>
          <w:vertAlign w:val="subscript"/>
        </w:rPr>
        <w:t>2</w:t>
      </w:r>
      <w:r w:rsidRPr="007E541C">
        <w:rPr>
          <w:rFonts w:ascii="Arial" w:hAnsi="Arial" w:cs="Arial"/>
          <w:iCs/>
          <w:sz w:val="22"/>
          <w:szCs w:val="22"/>
        </w:rPr>
        <w:t xml:space="preserve"> produkované spalováním fosilních paliv ze 116 Mt/rok na 104 Mt/rok, tedy zhruba o</w:t>
      </w:r>
      <w:r w:rsidR="005A1247">
        <w:rPr>
          <w:rFonts w:ascii="Arial" w:hAnsi="Arial" w:cs="Arial"/>
          <w:iCs/>
          <w:sz w:val="22"/>
          <w:szCs w:val="22"/>
        </w:rPr>
        <w:t> </w:t>
      </w:r>
      <w:r w:rsidRPr="007E541C">
        <w:rPr>
          <w:rFonts w:ascii="Arial" w:hAnsi="Arial" w:cs="Arial"/>
          <w:iCs/>
          <w:sz w:val="22"/>
          <w:szCs w:val="22"/>
        </w:rPr>
        <w:t>10 %. To znamená v</w:t>
      </w:r>
      <w:r w:rsidR="005A1247">
        <w:rPr>
          <w:rFonts w:ascii="Arial" w:hAnsi="Arial" w:cs="Arial"/>
          <w:iCs/>
          <w:sz w:val="22"/>
          <w:szCs w:val="22"/>
        </w:rPr>
        <w:t> </w:t>
      </w:r>
      <w:r w:rsidRPr="007E541C">
        <w:rPr>
          <w:rFonts w:ascii="Arial" w:hAnsi="Arial" w:cs="Arial"/>
          <w:iCs/>
          <w:sz w:val="22"/>
          <w:szCs w:val="22"/>
        </w:rPr>
        <w:t>přepočtu pro obor dopravy (při předpokládané úrovni produkce oxidu uhličitého v</w:t>
      </w:r>
      <w:r w:rsidR="005A1247">
        <w:rPr>
          <w:rFonts w:ascii="Arial" w:hAnsi="Arial" w:cs="Arial"/>
          <w:iCs/>
          <w:sz w:val="22"/>
          <w:szCs w:val="22"/>
        </w:rPr>
        <w:t> </w:t>
      </w:r>
      <w:r w:rsidRPr="007E541C">
        <w:rPr>
          <w:rFonts w:ascii="Arial" w:hAnsi="Arial" w:cs="Arial"/>
          <w:iCs/>
          <w:sz w:val="22"/>
          <w:szCs w:val="22"/>
        </w:rPr>
        <w:t>dopravě v</w:t>
      </w:r>
      <w:r w:rsidR="005A1247">
        <w:rPr>
          <w:rFonts w:ascii="Arial" w:hAnsi="Arial" w:cs="Arial"/>
          <w:iCs/>
          <w:sz w:val="22"/>
          <w:szCs w:val="22"/>
        </w:rPr>
        <w:t> </w:t>
      </w:r>
      <w:r w:rsidRPr="007E541C">
        <w:rPr>
          <w:rFonts w:ascii="Arial" w:hAnsi="Arial" w:cs="Arial"/>
          <w:iCs/>
          <w:sz w:val="22"/>
          <w:szCs w:val="22"/>
        </w:rPr>
        <w:t>ČR v</w:t>
      </w:r>
      <w:r w:rsidR="005A1247">
        <w:rPr>
          <w:rFonts w:ascii="Arial" w:hAnsi="Arial" w:cs="Arial"/>
          <w:iCs/>
          <w:sz w:val="22"/>
          <w:szCs w:val="22"/>
        </w:rPr>
        <w:t> </w:t>
      </w:r>
      <w:r w:rsidRPr="007E541C">
        <w:rPr>
          <w:rFonts w:ascii="Arial" w:hAnsi="Arial" w:cs="Arial"/>
          <w:iCs/>
          <w:sz w:val="22"/>
          <w:szCs w:val="22"/>
        </w:rPr>
        <w:t>roce 2020 v</w:t>
      </w:r>
      <w:r w:rsidR="005A1247">
        <w:rPr>
          <w:rFonts w:ascii="Arial" w:hAnsi="Arial" w:cs="Arial"/>
          <w:iCs/>
          <w:sz w:val="22"/>
          <w:szCs w:val="22"/>
        </w:rPr>
        <w:t> </w:t>
      </w:r>
      <w:r w:rsidRPr="007E541C">
        <w:rPr>
          <w:rFonts w:ascii="Arial" w:hAnsi="Arial" w:cs="Arial"/>
          <w:iCs/>
          <w:sz w:val="22"/>
          <w:szCs w:val="22"/>
        </w:rPr>
        <w:t>úrovni 21,3 Mt/rok) zvyšovat úspory emisí oxidu uhličitého v</w:t>
      </w:r>
      <w:r w:rsidR="005A1247">
        <w:rPr>
          <w:rFonts w:ascii="Arial" w:hAnsi="Arial" w:cs="Arial"/>
          <w:iCs/>
          <w:sz w:val="22"/>
          <w:szCs w:val="22"/>
        </w:rPr>
        <w:t> </w:t>
      </w:r>
      <w:r w:rsidRPr="007E541C">
        <w:rPr>
          <w:rFonts w:ascii="Arial" w:hAnsi="Arial" w:cs="Arial"/>
          <w:iCs/>
          <w:sz w:val="22"/>
          <w:szCs w:val="22"/>
        </w:rPr>
        <w:t>dopravě tempem 0,2 Mt/rok.</w:t>
      </w:r>
    </w:p>
    <w:p w14:paraId="341CA42E" w14:textId="5F819455"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t>V tabulce 1 uvedená intramodální úsporná opatření v</w:t>
      </w:r>
      <w:r w:rsidR="005A1247">
        <w:rPr>
          <w:rFonts w:ascii="Arial" w:hAnsi="Arial" w:cs="Arial"/>
          <w:iCs/>
          <w:sz w:val="22"/>
          <w:szCs w:val="22"/>
        </w:rPr>
        <w:t> </w:t>
      </w:r>
      <w:r w:rsidRPr="007E541C">
        <w:rPr>
          <w:rFonts w:ascii="Arial" w:hAnsi="Arial" w:cs="Arial"/>
          <w:iCs/>
          <w:sz w:val="22"/>
          <w:szCs w:val="22"/>
        </w:rPr>
        <w:t>silniční dopravě přinesou (v uváděném rozpětí počtu vozidel):</w:t>
      </w:r>
    </w:p>
    <w:p w14:paraId="49D343A4" w14:textId="541AA69C" w:rsidR="0011643B" w:rsidRPr="007E541C" w:rsidRDefault="0011643B" w:rsidP="0011643B">
      <w:pPr>
        <w:pStyle w:val="Odstavecseseznamem"/>
        <w:numPr>
          <w:ilvl w:val="0"/>
          <w:numId w:val="70"/>
        </w:numPr>
        <w:spacing w:before="0" w:after="200" w:line="276" w:lineRule="auto"/>
        <w:ind w:left="0" w:firstLine="0"/>
        <w:contextualSpacing/>
        <w:jc w:val="both"/>
        <w:rPr>
          <w:rFonts w:ascii="Arial" w:hAnsi="Arial" w:cs="Arial"/>
          <w:iCs/>
          <w:sz w:val="22"/>
          <w:szCs w:val="22"/>
        </w:rPr>
      </w:pPr>
      <w:r w:rsidRPr="007E541C">
        <w:rPr>
          <w:rFonts w:ascii="Arial" w:hAnsi="Arial" w:cs="Arial"/>
          <w:iCs/>
          <w:sz w:val="22"/>
          <w:szCs w:val="22"/>
        </w:rPr>
        <w:t>úspory konečné spotřeby energie v</w:t>
      </w:r>
      <w:r w:rsidR="005A1247">
        <w:rPr>
          <w:rFonts w:ascii="Arial" w:hAnsi="Arial" w:cs="Arial"/>
          <w:iCs/>
          <w:sz w:val="22"/>
          <w:szCs w:val="22"/>
        </w:rPr>
        <w:t> </w:t>
      </w:r>
      <w:r w:rsidRPr="007E541C">
        <w:rPr>
          <w:rFonts w:ascii="Arial" w:hAnsi="Arial" w:cs="Arial"/>
          <w:iCs/>
          <w:sz w:val="22"/>
          <w:szCs w:val="22"/>
        </w:rPr>
        <w:t>dopravě tempem 0,24 PJ/rok (0,07 TWh/rok) až 0,50 PJ/rok (0,14 TWh/rok),</w:t>
      </w:r>
    </w:p>
    <w:p w14:paraId="48D6B6A1" w14:textId="66154A22" w:rsidR="0011643B" w:rsidRPr="007E541C" w:rsidRDefault="0011643B" w:rsidP="0011643B">
      <w:pPr>
        <w:pStyle w:val="Odstavecseseznamem"/>
        <w:numPr>
          <w:ilvl w:val="0"/>
          <w:numId w:val="70"/>
        </w:numPr>
        <w:spacing w:before="0" w:after="200" w:line="276" w:lineRule="auto"/>
        <w:ind w:left="0" w:firstLine="0"/>
        <w:contextualSpacing/>
        <w:jc w:val="both"/>
        <w:rPr>
          <w:rFonts w:ascii="Arial" w:hAnsi="Arial" w:cs="Arial"/>
          <w:iCs/>
          <w:sz w:val="22"/>
          <w:szCs w:val="22"/>
        </w:rPr>
      </w:pPr>
      <w:r w:rsidRPr="007E541C">
        <w:rPr>
          <w:rFonts w:ascii="Arial" w:hAnsi="Arial" w:cs="Arial"/>
          <w:iCs/>
          <w:sz w:val="22"/>
          <w:szCs w:val="22"/>
        </w:rPr>
        <w:t>úspory produkce oxidu uhličitého v</w:t>
      </w:r>
      <w:r w:rsidR="005A1247">
        <w:rPr>
          <w:rFonts w:ascii="Arial" w:hAnsi="Arial" w:cs="Arial"/>
          <w:iCs/>
          <w:sz w:val="22"/>
          <w:szCs w:val="22"/>
        </w:rPr>
        <w:t> </w:t>
      </w:r>
      <w:r w:rsidRPr="007E541C">
        <w:rPr>
          <w:rFonts w:ascii="Arial" w:hAnsi="Arial" w:cs="Arial"/>
          <w:iCs/>
          <w:sz w:val="22"/>
          <w:szCs w:val="22"/>
        </w:rPr>
        <w:t xml:space="preserve">dopravě tempem 0,02 Mt/rok až 0,04 Mt/rok. </w:t>
      </w:r>
    </w:p>
    <w:p w14:paraId="70292656" w14:textId="77777777" w:rsidR="0011643B" w:rsidRPr="007E541C" w:rsidRDefault="0011643B" w:rsidP="0011643B">
      <w:pPr>
        <w:pStyle w:val="Odstavecseseznamem"/>
        <w:ind w:left="0" w:firstLine="0"/>
        <w:jc w:val="both"/>
        <w:rPr>
          <w:rFonts w:ascii="Arial" w:hAnsi="Arial" w:cs="Arial"/>
          <w:bCs/>
          <w:sz w:val="22"/>
          <w:szCs w:val="22"/>
        </w:rPr>
      </w:pPr>
    </w:p>
    <w:p w14:paraId="75B0A800" w14:textId="5490F394"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t>Cíle uvedené v</w:t>
      </w:r>
      <w:r w:rsidR="005A1247">
        <w:rPr>
          <w:rFonts w:ascii="Arial" w:hAnsi="Arial" w:cs="Arial"/>
          <w:iCs/>
          <w:sz w:val="22"/>
          <w:szCs w:val="22"/>
        </w:rPr>
        <w:t> </w:t>
      </w:r>
      <w:r w:rsidRPr="007E541C">
        <w:rPr>
          <w:rFonts w:ascii="Arial" w:hAnsi="Arial" w:cs="Arial"/>
          <w:iCs/>
          <w:sz w:val="22"/>
          <w:szCs w:val="22"/>
        </w:rPr>
        <w:t>tabulce 1 Aktualizace Národního akčního plánu čisté mobility naplňují cíle uvedené ve Vnitrostátním plánu ČR v</w:t>
      </w:r>
      <w:r w:rsidR="005A1247">
        <w:rPr>
          <w:rFonts w:ascii="Arial" w:hAnsi="Arial" w:cs="Arial"/>
          <w:iCs/>
          <w:sz w:val="22"/>
          <w:szCs w:val="22"/>
        </w:rPr>
        <w:t> </w:t>
      </w:r>
      <w:r w:rsidRPr="007E541C">
        <w:rPr>
          <w:rFonts w:ascii="Arial" w:hAnsi="Arial" w:cs="Arial"/>
          <w:iCs/>
          <w:sz w:val="22"/>
          <w:szCs w:val="22"/>
        </w:rPr>
        <w:t>oblasti energetiky a</w:t>
      </w:r>
      <w:r w:rsidR="005A1247">
        <w:rPr>
          <w:rFonts w:ascii="Arial" w:hAnsi="Arial" w:cs="Arial"/>
          <w:iCs/>
          <w:sz w:val="22"/>
          <w:szCs w:val="22"/>
        </w:rPr>
        <w:t> </w:t>
      </w:r>
      <w:r w:rsidRPr="007E541C">
        <w:rPr>
          <w:rFonts w:ascii="Arial" w:hAnsi="Arial" w:cs="Arial"/>
          <w:iCs/>
          <w:sz w:val="22"/>
          <w:szCs w:val="22"/>
        </w:rPr>
        <w:t>klimatu v</w:t>
      </w:r>
      <w:r w:rsidR="005A1247">
        <w:rPr>
          <w:rFonts w:ascii="Arial" w:hAnsi="Arial" w:cs="Arial"/>
          <w:iCs/>
          <w:sz w:val="22"/>
          <w:szCs w:val="22"/>
        </w:rPr>
        <w:t> </w:t>
      </w:r>
      <w:r w:rsidRPr="007E541C">
        <w:rPr>
          <w:rFonts w:ascii="Arial" w:hAnsi="Arial" w:cs="Arial"/>
          <w:iCs/>
          <w:sz w:val="22"/>
          <w:szCs w:val="22"/>
        </w:rPr>
        <w:t>rozsahu 10 až 20 %. A</w:t>
      </w:r>
      <w:r w:rsidR="005A1247">
        <w:rPr>
          <w:rFonts w:ascii="Arial" w:hAnsi="Arial" w:cs="Arial"/>
          <w:iCs/>
          <w:sz w:val="22"/>
          <w:szCs w:val="22"/>
        </w:rPr>
        <w:t> </w:t>
      </w:r>
      <w:r w:rsidRPr="007E541C">
        <w:rPr>
          <w:rFonts w:ascii="Arial" w:hAnsi="Arial" w:cs="Arial"/>
          <w:iCs/>
          <w:sz w:val="22"/>
          <w:szCs w:val="22"/>
        </w:rPr>
        <w:t>to jak v</w:t>
      </w:r>
      <w:r w:rsidR="005A1247">
        <w:rPr>
          <w:rFonts w:ascii="Arial" w:hAnsi="Arial" w:cs="Arial"/>
          <w:iCs/>
          <w:sz w:val="22"/>
          <w:szCs w:val="22"/>
        </w:rPr>
        <w:t> </w:t>
      </w:r>
      <w:r w:rsidRPr="007E541C">
        <w:rPr>
          <w:rFonts w:ascii="Arial" w:hAnsi="Arial" w:cs="Arial"/>
          <w:iCs/>
          <w:sz w:val="22"/>
          <w:szCs w:val="22"/>
        </w:rPr>
        <w:t>oblasti snižování spotřeby energie, tak i</w:t>
      </w:r>
      <w:r w:rsidR="005A1247">
        <w:rPr>
          <w:rFonts w:ascii="Arial" w:hAnsi="Arial" w:cs="Arial"/>
          <w:iCs/>
          <w:sz w:val="22"/>
          <w:szCs w:val="22"/>
        </w:rPr>
        <w:t> </w:t>
      </w:r>
      <w:r w:rsidRPr="007E541C">
        <w:rPr>
          <w:rFonts w:ascii="Arial" w:hAnsi="Arial" w:cs="Arial"/>
          <w:iCs/>
          <w:sz w:val="22"/>
          <w:szCs w:val="22"/>
        </w:rPr>
        <w:t>v oblasti snižování emisí oxidu uhličitého.</w:t>
      </w:r>
    </w:p>
    <w:p w14:paraId="07F9CB1C" w14:textId="20F4457A" w:rsidR="0011643B" w:rsidRPr="007E541C" w:rsidRDefault="0011643B" w:rsidP="0011643B">
      <w:pPr>
        <w:pStyle w:val="Odstavecseseznamem"/>
        <w:ind w:left="0" w:firstLine="0"/>
        <w:jc w:val="both"/>
        <w:rPr>
          <w:rFonts w:ascii="Arial" w:hAnsi="Arial" w:cs="Arial"/>
          <w:iCs/>
          <w:sz w:val="22"/>
          <w:szCs w:val="22"/>
        </w:rPr>
      </w:pPr>
      <w:r w:rsidRPr="007E541C">
        <w:rPr>
          <w:rFonts w:ascii="Arial" w:hAnsi="Arial" w:cs="Arial"/>
          <w:iCs/>
          <w:sz w:val="22"/>
          <w:szCs w:val="22"/>
        </w:rPr>
        <w:t>Zbývajících 80 až 90 % cílů v</w:t>
      </w:r>
      <w:r w:rsidR="005A1247">
        <w:rPr>
          <w:rFonts w:ascii="Arial" w:hAnsi="Arial" w:cs="Arial"/>
          <w:iCs/>
          <w:sz w:val="22"/>
          <w:szCs w:val="22"/>
        </w:rPr>
        <w:t> </w:t>
      </w:r>
      <w:r w:rsidRPr="007E541C">
        <w:rPr>
          <w:rFonts w:ascii="Arial" w:hAnsi="Arial" w:cs="Arial"/>
          <w:iCs/>
          <w:sz w:val="22"/>
          <w:szCs w:val="22"/>
        </w:rPr>
        <w:t>oblasti snižování spotřeby energie, i</w:t>
      </w:r>
      <w:r w:rsidR="005A1247">
        <w:rPr>
          <w:rFonts w:ascii="Arial" w:hAnsi="Arial" w:cs="Arial"/>
          <w:iCs/>
          <w:sz w:val="22"/>
          <w:szCs w:val="22"/>
        </w:rPr>
        <w:t> </w:t>
      </w:r>
      <w:r w:rsidRPr="007E541C">
        <w:rPr>
          <w:rFonts w:ascii="Arial" w:hAnsi="Arial" w:cs="Arial"/>
          <w:iCs/>
          <w:sz w:val="22"/>
          <w:szCs w:val="22"/>
        </w:rPr>
        <w:t>cílů v</w:t>
      </w:r>
      <w:r w:rsidR="005A1247">
        <w:rPr>
          <w:rFonts w:ascii="Arial" w:hAnsi="Arial" w:cs="Arial"/>
          <w:iCs/>
          <w:sz w:val="22"/>
          <w:szCs w:val="22"/>
        </w:rPr>
        <w:t> </w:t>
      </w:r>
      <w:r w:rsidRPr="007E541C">
        <w:rPr>
          <w:rFonts w:ascii="Arial" w:hAnsi="Arial" w:cs="Arial"/>
          <w:iCs/>
          <w:sz w:val="22"/>
          <w:szCs w:val="22"/>
        </w:rPr>
        <w:t>oblasti snižování emisí oxidu uhličitého v</w:t>
      </w:r>
      <w:r w:rsidR="005A1247">
        <w:rPr>
          <w:rFonts w:ascii="Arial" w:hAnsi="Arial" w:cs="Arial"/>
          <w:iCs/>
          <w:sz w:val="22"/>
          <w:szCs w:val="22"/>
        </w:rPr>
        <w:t> </w:t>
      </w:r>
      <w:r w:rsidRPr="007E541C">
        <w:rPr>
          <w:rFonts w:ascii="Arial" w:hAnsi="Arial" w:cs="Arial"/>
          <w:iCs/>
          <w:sz w:val="22"/>
          <w:szCs w:val="22"/>
        </w:rPr>
        <w:t>dopravě, bude zajištěno extramodálními úsporami, tedy převodem části přeprav z</w:t>
      </w:r>
      <w:r w:rsidR="005A1247">
        <w:rPr>
          <w:rFonts w:ascii="Arial" w:hAnsi="Arial" w:cs="Arial"/>
          <w:iCs/>
          <w:sz w:val="22"/>
          <w:szCs w:val="22"/>
        </w:rPr>
        <w:t> </w:t>
      </w:r>
      <w:r w:rsidRPr="007E541C">
        <w:rPr>
          <w:rFonts w:ascii="Arial" w:hAnsi="Arial" w:cs="Arial"/>
          <w:iCs/>
          <w:sz w:val="22"/>
          <w:szCs w:val="22"/>
        </w:rPr>
        <w:t>energeticky a</w:t>
      </w:r>
      <w:r w:rsidR="005A1247">
        <w:rPr>
          <w:rFonts w:ascii="Arial" w:hAnsi="Arial" w:cs="Arial"/>
          <w:iCs/>
          <w:sz w:val="22"/>
          <w:szCs w:val="22"/>
        </w:rPr>
        <w:t> </w:t>
      </w:r>
      <w:r w:rsidRPr="007E541C">
        <w:rPr>
          <w:rFonts w:ascii="Arial" w:hAnsi="Arial" w:cs="Arial"/>
          <w:iCs/>
          <w:sz w:val="22"/>
          <w:szCs w:val="22"/>
        </w:rPr>
        <w:t>emisně velmi náročné automobilové dopravy na energeticky méně náročnou dopravu kolejovou. Příslušné investice do dopravní cesty i</w:t>
      </w:r>
      <w:r w:rsidR="005A1247">
        <w:rPr>
          <w:rFonts w:ascii="Arial" w:hAnsi="Arial" w:cs="Arial"/>
          <w:iCs/>
          <w:sz w:val="22"/>
          <w:szCs w:val="22"/>
        </w:rPr>
        <w:t> </w:t>
      </w:r>
      <w:r w:rsidRPr="007E541C">
        <w:rPr>
          <w:rFonts w:ascii="Arial" w:hAnsi="Arial" w:cs="Arial"/>
          <w:iCs/>
          <w:sz w:val="22"/>
          <w:szCs w:val="22"/>
        </w:rPr>
        <w:t>do vozidel, k</w:t>
      </w:r>
      <w:r w:rsidR="005A1247">
        <w:rPr>
          <w:rFonts w:ascii="Arial" w:hAnsi="Arial" w:cs="Arial"/>
          <w:iCs/>
          <w:sz w:val="22"/>
          <w:szCs w:val="22"/>
        </w:rPr>
        <w:t> </w:t>
      </w:r>
      <w:r w:rsidRPr="007E541C">
        <w:rPr>
          <w:rFonts w:ascii="Arial" w:hAnsi="Arial" w:cs="Arial"/>
          <w:iCs/>
          <w:sz w:val="22"/>
          <w:szCs w:val="22"/>
        </w:rPr>
        <w:t>zajištění vyšší kvality i</w:t>
      </w:r>
      <w:r w:rsidR="005A1247">
        <w:rPr>
          <w:rFonts w:ascii="Arial" w:hAnsi="Arial" w:cs="Arial"/>
          <w:iCs/>
          <w:sz w:val="22"/>
          <w:szCs w:val="22"/>
        </w:rPr>
        <w:t> </w:t>
      </w:r>
      <w:r w:rsidRPr="007E541C">
        <w:rPr>
          <w:rFonts w:ascii="Arial" w:hAnsi="Arial" w:cs="Arial"/>
          <w:iCs/>
          <w:sz w:val="22"/>
          <w:szCs w:val="22"/>
        </w:rPr>
        <w:t>vyšší kapacity jsou programově řešeny jak v</w:t>
      </w:r>
      <w:r w:rsidR="005A1247">
        <w:rPr>
          <w:rFonts w:ascii="Arial" w:hAnsi="Arial" w:cs="Arial"/>
          <w:iCs/>
          <w:sz w:val="22"/>
          <w:szCs w:val="22"/>
        </w:rPr>
        <w:t> </w:t>
      </w:r>
      <w:r w:rsidRPr="007E541C">
        <w:rPr>
          <w:rFonts w:ascii="Arial" w:hAnsi="Arial" w:cs="Arial"/>
          <w:iCs/>
          <w:sz w:val="22"/>
          <w:szCs w:val="22"/>
        </w:rPr>
        <w:t>oblasti železniční dopravy (výstavba vysokorychlostních železnic, elektrizace a</w:t>
      </w:r>
      <w:r w:rsidR="005A1247">
        <w:rPr>
          <w:rFonts w:ascii="Arial" w:hAnsi="Arial" w:cs="Arial"/>
          <w:iCs/>
          <w:sz w:val="22"/>
          <w:szCs w:val="22"/>
        </w:rPr>
        <w:t> </w:t>
      </w:r>
      <w:r w:rsidRPr="007E541C">
        <w:rPr>
          <w:rFonts w:ascii="Arial" w:hAnsi="Arial" w:cs="Arial"/>
          <w:iCs/>
          <w:sz w:val="22"/>
          <w:szCs w:val="22"/>
        </w:rPr>
        <w:t>stavba druhých traťových kolejích na silně zatížených konvenčních tratích, přechod na jednotný napájecí systém 25 kV), tak i</w:t>
      </w:r>
      <w:r w:rsidR="005A1247">
        <w:rPr>
          <w:rFonts w:ascii="Arial" w:hAnsi="Arial" w:cs="Arial"/>
          <w:iCs/>
          <w:sz w:val="22"/>
          <w:szCs w:val="22"/>
        </w:rPr>
        <w:t> </w:t>
      </w:r>
      <w:r w:rsidRPr="007E541C">
        <w:rPr>
          <w:rFonts w:ascii="Arial" w:hAnsi="Arial" w:cs="Arial"/>
          <w:iCs/>
          <w:sz w:val="22"/>
          <w:szCs w:val="22"/>
        </w:rPr>
        <w:t>v oblasti městské hromadné dopravy (rozvoj metra, tramvajové a</w:t>
      </w:r>
      <w:r w:rsidR="005A1247">
        <w:rPr>
          <w:rFonts w:ascii="Arial" w:hAnsi="Arial" w:cs="Arial"/>
          <w:iCs/>
          <w:sz w:val="22"/>
          <w:szCs w:val="22"/>
        </w:rPr>
        <w:t> </w:t>
      </w:r>
      <w:r w:rsidRPr="007E541C">
        <w:rPr>
          <w:rFonts w:ascii="Arial" w:hAnsi="Arial" w:cs="Arial"/>
          <w:iCs/>
          <w:sz w:val="22"/>
          <w:szCs w:val="22"/>
        </w:rPr>
        <w:t>trolejbusové dopravy).</w:t>
      </w:r>
    </w:p>
    <w:p w14:paraId="12A2C45F" w14:textId="645CE212" w:rsidR="0011643B" w:rsidRPr="007E541C" w:rsidRDefault="0011643B" w:rsidP="007E541C">
      <w:pPr>
        <w:jc w:val="both"/>
        <w:rPr>
          <w:rFonts w:cs="Arial"/>
          <w:iCs/>
          <w:szCs w:val="22"/>
        </w:rPr>
      </w:pPr>
      <w:r w:rsidRPr="007E541C">
        <w:rPr>
          <w:rFonts w:cs="Arial"/>
          <w:iCs/>
          <w:szCs w:val="22"/>
        </w:rPr>
        <w:t>Tato relace je vcelku logická, neboť potenciál extramodálních úspor je výrazně vyšší než potenciál intramodálních úspor. Intramodální úspory snižují spotřebu energie a</w:t>
      </w:r>
      <w:r w:rsidR="005A1247">
        <w:rPr>
          <w:rFonts w:cs="Arial"/>
          <w:iCs/>
          <w:szCs w:val="22"/>
        </w:rPr>
        <w:t> </w:t>
      </w:r>
      <w:r w:rsidRPr="007E541C">
        <w:rPr>
          <w:rFonts w:cs="Arial"/>
          <w:iCs/>
          <w:szCs w:val="22"/>
        </w:rPr>
        <w:t>emise typicky na 40 %, extramodální úspory snižují spotřebu energie a</w:t>
      </w:r>
      <w:r w:rsidR="005A1247">
        <w:rPr>
          <w:rFonts w:cs="Arial"/>
          <w:iCs/>
          <w:szCs w:val="22"/>
        </w:rPr>
        <w:t> </w:t>
      </w:r>
      <w:r w:rsidRPr="007E541C">
        <w:rPr>
          <w:rFonts w:cs="Arial"/>
          <w:iCs/>
          <w:szCs w:val="22"/>
        </w:rPr>
        <w:t xml:space="preserve">emise typicky na 15 %. </w:t>
      </w:r>
    </w:p>
    <w:p w14:paraId="63CAFA38" w14:textId="4CDE7F86" w:rsidR="0011643B" w:rsidRPr="0011643B" w:rsidRDefault="0011643B" w:rsidP="007E541C">
      <w:pPr>
        <w:jc w:val="both"/>
        <w:rPr>
          <w:rFonts w:cs="Arial"/>
          <w:bCs/>
          <w:color w:val="FF0000"/>
          <w:szCs w:val="22"/>
        </w:rPr>
      </w:pPr>
      <w:r w:rsidRPr="007E541C">
        <w:rPr>
          <w:rFonts w:cs="Arial"/>
          <w:iCs/>
          <w:szCs w:val="22"/>
        </w:rPr>
        <w:t>Podobně je to i</w:t>
      </w:r>
      <w:r w:rsidR="005A1247">
        <w:rPr>
          <w:rFonts w:cs="Arial"/>
          <w:iCs/>
          <w:szCs w:val="22"/>
        </w:rPr>
        <w:t> </w:t>
      </w:r>
      <w:r w:rsidRPr="007E541C">
        <w:rPr>
          <w:rFonts w:cs="Arial"/>
          <w:iCs/>
          <w:szCs w:val="22"/>
        </w:rPr>
        <w:t>s efektivitou investic. Individuálně vlastněné a</w:t>
      </w:r>
      <w:r w:rsidR="005A1247">
        <w:rPr>
          <w:rFonts w:cs="Arial"/>
          <w:iCs/>
          <w:szCs w:val="22"/>
        </w:rPr>
        <w:t> </w:t>
      </w:r>
      <w:r w:rsidRPr="007E541C">
        <w:rPr>
          <w:rFonts w:cs="Arial"/>
          <w:iCs/>
          <w:szCs w:val="22"/>
        </w:rPr>
        <w:t>individuálně využívané dopravní prostředky jsou velmi slabě využívány (například osobní automobil v</w:t>
      </w:r>
      <w:r w:rsidR="005A1247">
        <w:rPr>
          <w:rFonts w:cs="Arial"/>
          <w:iCs/>
          <w:szCs w:val="22"/>
        </w:rPr>
        <w:t> </w:t>
      </w:r>
      <w:r w:rsidRPr="007E541C">
        <w:rPr>
          <w:rFonts w:cs="Arial"/>
          <w:iCs/>
          <w:szCs w:val="22"/>
        </w:rPr>
        <w:t>ČR: střední časové využití 1,7 %, střední obsazení 26 %, tedy v</w:t>
      </w:r>
      <w:r w:rsidR="005A1247">
        <w:rPr>
          <w:rFonts w:cs="Arial"/>
          <w:iCs/>
          <w:szCs w:val="22"/>
        </w:rPr>
        <w:t> </w:t>
      </w:r>
      <w:r w:rsidRPr="007E541C">
        <w:rPr>
          <w:rFonts w:cs="Arial"/>
          <w:iCs/>
          <w:szCs w:val="22"/>
        </w:rPr>
        <w:t>součinu 0,43 %), zatímco dopravní prostředky veřejné hromadné dopravy (např. železniční vozidla, vozidla městské hromadné dopravy) jsou vyžívány z</w:t>
      </w:r>
      <w:r w:rsidR="005A1247">
        <w:rPr>
          <w:rFonts w:cs="Arial"/>
          <w:iCs/>
          <w:szCs w:val="22"/>
        </w:rPr>
        <w:t> </w:t>
      </w:r>
      <w:r w:rsidRPr="007E541C">
        <w:rPr>
          <w:rFonts w:cs="Arial"/>
          <w:iCs/>
          <w:szCs w:val="22"/>
        </w:rPr>
        <w:t>20 % až 40 %, tedy o</w:t>
      </w:r>
      <w:r w:rsidR="005A1247">
        <w:rPr>
          <w:rFonts w:cs="Arial"/>
          <w:iCs/>
          <w:szCs w:val="22"/>
        </w:rPr>
        <w:t> </w:t>
      </w:r>
      <w:r w:rsidRPr="007E541C">
        <w:rPr>
          <w:rFonts w:cs="Arial"/>
          <w:iCs/>
          <w:szCs w:val="22"/>
        </w:rPr>
        <w:t>dva řády intenzivněji. To má zásadní vliv na efektivitu investic do snížení spotřeby energie i</w:t>
      </w:r>
      <w:r w:rsidR="005A1247">
        <w:rPr>
          <w:rFonts w:cs="Arial"/>
          <w:iCs/>
          <w:szCs w:val="22"/>
        </w:rPr>
        <w:t> </w:t>
      </w:r>
      <w:r w:rsidRPr="007E541C">
        <w:rPr>
          <w:rFonts w:cs="Arial"/>
          <w:iCs/>
          <w:szCs w:val="22"/>
        </w:rPr>
        <w:t>emisí. Proto bude i</w:t>
      </w:r>
      <w:r w:rsidR="005A1247">
        <w:rPr>
          <w:rFonts w:cs="Arial"/>
          <w:iCs/>
          <w:szCs w:val="22"/>
        </w:rPr>
        <w:t> </w:t>
      </w:r>
      <w:r w:rsidRPr="007E541C">
        <w:rPr>
          <w:rFonts w:cs="Arial"/>
          <w:iCs/>
          <w:szCs w:val="22"/>
        </w:rPr>
        <w:t>nadále veřejná hromadná doprava základním nástrojem ke snížení spotřeby energie v</w:t>
      </w:r>
      <w:r w:rsidR="005A1247">
        <w:rPr>
          <w:rFonts w:cs="Arial"/>
          <w:iCs/>
          <w:szCs w:val="22"/>
        </w:rPr>
        <w:t> </w:t>
      </w:r>
      <w:r w:rsidRPr="007E541C">
        <w:rPr>
          <w:rFonts w:cs="Arial"/>
          <w:iCs/>
          <w:szCs w:val="22"/>
        </w:rPr>
        <w:t>dopravě a</w:t>
      </w:r>
      <w:r w:rsidR="005A1247">
        <w:rPr>
          <w:rFonts w:cs="Arial"/>
          <w:iCs/>
          <w:szCs w:val="22"/>
        </w:rPr>
        <w:t> </w:t>
      </w:r>
      <w:r w:rsidRPr="007E541C">
        <w:rPr>
          <w:rFonts w:cs="Arial"/>
          <w:iCs/>
          <w:szCs w:val="22"/>
        </w:rPr>
        <w:t>dopravou produkovaných emisí.</w:t>
      </w:r>
      <w:r w:rsidRPr="0011643B">
        <w:rPr>
          <w:rFonts w:cs="Arial"/>
          <w:bCs/>
          <w:szCs w:val="22"/>
        </w:rPr>
        <w:t>“</w:t>
      </w:r>
    </w:p>
    <w:p w14:paraId="509E7D6E" w14:textId="77777777" w:rsidR="0011643B" w:rsidRDefault="0011643B" w:rsidP="00BB2018"/>
    <w:p w14:paraId="0C0A4633" w14:textId="3C27473A" w:rsidR="00264253" w:rsidRDefault="00264253" w:rsidP="00264253">
      <w:pPr>
        <w:pStyle w:val="Nadpis2"/>
      </w:pPr>
      <w:bookmarkStart w:id="11" w:name="_Toc34387129"/>
      <w:r w:rsidRPr="00264253">
        <w:lastRenderedPageBreak/>
        <w:t>Přínos Aktualizace NAP ČM ke snížení emisí NOx ze sektoru dopravy dle emisní projekce obsažené v</w:t>
      </w:r>
      <w:r w:rsidR="005A1247">
        <w:t> </w:t>
      </w:r>
      <w:r w:rsidRPr="00264253">
        <w:t>Aktualizaci Národního programu snižování emisí ČR</w:t>
      </w:r>
      <w:bookmarkEnd w:id="11"/>
    </w:p>
    <w:p w14:paraId="7EC30122" w14:textId="610D67F0" w:rsidR="00264253" w:rsidRPr="007E541C" w:rsidRDefault="00264253" w:rsidP="00264253">
      <w:pPr>
        <w:jc w:val="both"/>
        <w:rPr>
          <w:rFonts w:cs="Arial"/>
          <w:szCs w:val="22"/>
        </w:rPr>
      </w:pPr>
      <w:r w:rsidRPr="007E541C">
        <w:rPr>
          <w:rFonts w:cs="Arial"/>
          <w:szCs w:val="22"/>
        </w:rPr>
        <w:t>Aktualizovaný Národní program snižování emisí ČR (dále jen „NPSE“) obsahuje projekci emisí znečisťujících látek z</w:t>
      </w:r>
      <w:r w:rsidR="005A1247">
        <w:rPr>
          <w:rFonts w:cs="Arial"/>
          <w:szCs w:val="22"/>
        </w:rPr>
        <w:t> </w:t>
      </w:r>
      <w:r w:rsidRPr="007E541C">
        <w:rPr>
          <w:rFonts w:cs="Arial"/>
          <w:szCs w:val="22"/>
        </w:rPr>
        <w:t>jednotlivých sektorů (energetika, průmysl, doprava a</w:t>
      </w:r>
      <w:r w:rsidR="005A1247">
        <w:rPr>
          <w:rFonts w:cs="Arial"/>
          <w:szCs w:val="22"/>
        </w:rPr>
        <w:t> </w:t>
      </w:r>
      <w:r w:rsidRPr="007E541C">
        <w:rPr>
          <w:rFonts w:cs="Arial"/>
          <w:szCs w:val="22"/>
        </w:rPr>
        <w:t>zemědělství) do konce roku 2030. Emisní projekce je v</w:t>
      </w:r>
      <w:r w:rsidR="005A1247">
        <w:rPr>
          <w:rFonts w:cs="Arial"/>
          <w:szCs w:val="22"/>
        </w:rPr>
        <w:t> </w:t>
      </w:r>
      <w:r w:rsidRPr="007E541C">
        <w:rPr>
          <w:rFonts w:cs="Arial"/>
          <w:szCs w:val="22"/>
        </w:rPr>
        <w:t>NPSE provedena za účelem zjištěni plnění národních závazků ke snížení emisí stanovených pro roky 2020, 2025 a</w:t>
      </w:r>
      <w:r w:rsidR="005A1247">
        <w:rPr>
          <w:rFonts w:cs="Arial"/>
          <w:szCs w:val="22"/>
        </w:rPr>
        <w:t> </w:t>
      </w:r>
      <w:r w:rsidRPr="007E541C">
        <w:rPr>
          <w:rFonts w:cs="Arial"/>
          <w:szCs w:val="22"/>
        </w:rPr>
        <w:t>2030 v</w:t>
      </w:r>
      <w:r w:rsidR="005A1247">
        <w:rPr>
          <w:rFonts w:cs="Arial"/>
          <w:szCs w:val="22"/>
        </w:rPr>
        <w:t> </w:t>
      </w:r>
      <w:r w:rsidRPr="007E541C">
        <w:rPr>
          <w:rFonts w:cs="Arial"/>
          <w:szCs w:val="22"/>
        </w:rPr>
        <w:t>souladu se směrnicí Evropského parlamentu a</w:t>
      </w:r>
      <w:r w:rsidR="005A1247">
        <w:rPr>
          <w:rFonts w:cs="Arial"/>
          <w:szCs w:val="22"/>
        </w:rPr>
        <w:t> </w:t>
      </w:r>
      <w:r w:rsidRPr="007E541C">
        <w:rPr>
          <w:rFonts w:cs="Arial"/>
          <w:szCs w:val="22"/>
        </w:rPr>
        <w:t>Rady (EU) 2016/2284 ze dne 14. prosince 2016 o</w:t>
      </w:r>
      <w:r w:rsidR="005A1247">
        <w:rPr>
          <w:rFonts w:cs="Arial"/>
          <w:szCs w:val="22"/>
        </w:rPr>
        <w:t> </w:t>
      </w:r>
      <w:r w:rsidRPr="007E541C">
        <w:rPr>
          <w:rFonts w:cs="Arial"/>
          <w:szCs w:val="22"/>
        </w:rPr>
        <w:t>snížení národních emisí některých látek znečišťujících ovzduší. Projekce emisí znečisťujících látek vychází ze spotřeby jednotlivých druhů paliv dle návrhu Vnitrostátního plánu ČR v</w:t>
      </w:r>
      <w:r w:rsidR="005A1247">
        <w:rPr>
          <w:rFonts w:cs="Arial"/>
          <w:szCs w:val="22"/>
        </w:rPr>
        <w:t> </w:t>
      </w:r>
      <w:r w:rsidRPr="007E541C">
        <w:rPr>
          <w:rFonts w:cs="Arial"/>
          <w:szCs w:val="22"/>
        </w:rPr>
        <w:t>oblasti energetiky a</w:t>
      </w:r>
      <w:r w:rsidR="005A1247">
        <w:rPr>
          <w:rFonts w:cs="Arial"/>
          <w:szCs w:val="22"/>
        </w:rPr>
        <w:t> </w:t>
      </w:r>
      <w:r w:rsidRPr="007E541C">
        <w:rPr>
          <w:rFonts w:cs="Arial"/>
          <w:szCs w:val="22"/>
        </w:rPr>
        <w:t xml:space="preserve">klimatu.  </w:t>
      </w:r>
    </w:p>
    <w:p w14:paraId="1A0F6572" w14:textId="78865E21" w:rsidR="00264253" w:rsidRPr="007E541C" w:rsidRDefault="00264253" w:rsidP="00264253">
      <w:pPr>
        <w:jc w:val="both"/>
        <w:rPr>
          <w:rFonts w:cs="Arial"/>
          <w:szCs w:val="22"/>
        </w:rPr>
      </w:pPr>
      <w:r w:rsidRPr="007E541C">
        <w:rPr>
          <w:rFonts w:cs="Arial"/>
          <w:szCs w:val="22"/>
        </w:rPr>
        <w:t>Z provedené emisní projekce vyplývá, že Česká republika v</w:t>
      </w:r>
      <w:r w:rsidR="005A1247">
        <w:rPr>
          <w:rFonts w:cs="Arial"/>
          <w:szCs w:val="22"/>
        </w:rPr>
        <w:t> </w:t>
      </w:r>
      <w:r w:rsidRPr="007E541C">
        <w:rPr>
          <w:rFonts w:cs="Arial"/>
          <w:szCs w:val="22"/>
        </w:rPr>
        <w:t>roce 2030 nesplní národní závazky ve snížení emisí pro NOx, VOC a</w:t>
      </w:r>
      <w:r w:rsidR="005A1247">
        <w:rPr>
          <w:rFonts w:cs="Arial"/>
          <w:szCs w:val="22"/>
        </w:rPr>
        <w:t> </w:t>
      </w:r>
      <w:r w:rsidRPr="007E541C">
        <w:rPr>
          <w:rFonts w:cs="Arial"/>
          <w:szCs w:val="22"/>
        </w:rPr>
        <w:t>NH</w:t>
      </w:r>
      <w:r w:rsidRPr="007E541C">
        <w:rPr>
          <w:rFonts w:cs="Arial"/>
          <w:szCs w:val="22"/>
          <w:vertAlign w:val="subscript"/>
        </w:rPr>
        <w:t>3</w:t>
      </w:r>
      <w:r w:rsidRPr="007E541C">
        <w:rPr>
          <w:rFonts w:cs="Arial"/>
          <w:szCs w:val="22"/>
        </w:rPr>
        <w:t>. Z</w:t>
      </w:r>
      <w:r w:rsidR="005A1247">
        <w:rPr>
          <w:rFonts w:cs="Arial"/>
          <w:szCs w:val="22"/>
        </w:rPr>
        <w:t> </w:t>
      </w:r>
      <w:r w:rsidRPr="007E541C">
        <w:rPr>
          <w:rFonts w:cs="Arial"/>
          <w:szCs w:val="22"/>
        </w:rPr>
        <w:t>tohoto důvodu stanoví NPSE dodatečná opatření, která zajistí, že národní závazky budou splněny. V</w:t>
      </w:r>
      <w:r w:rsidR="005A1247">
        <w:rPr>
          <w:rFonts w:cs="Arial"/>
          <w:szCs w:val="22"/>
        </w:rPr>
        <w:t> </w:t>
      </w:r>
      <w:r w:rsidRPr="007E541C">
        <w:rPr>
          <w:rFonts w:cs="Arial"/>
          <w:szCs w:val="22"/>
        </w:rPr>
        <w:t>sektoru dopravy požaduje NPSE snížit k</w:t>
      </w:r>
      <w:r w:rsidR="005A1247">
        <w:rPr>
          <w:rFonts w:cs="Arial"/>
          <w:szCs w:val="22"/>
        </w:rPr>
        <w:t> </w:t>
      </w:r>
      <w:r w:rsidRPr="007E541C">
        <w:rPr>
          <w:rFonts w:cs="Arial"/>
          <w:szCs w:val="22"/>
        </w:rPr>
        <w:t>roku 2030 emise NOx o</w:t>
      </w:r>
      <w:r w:rsidR="005A1247">
        <w:rPr>
          <w:rFonts w:cs="Arial"/>
          <w:szCs w:val="22"/>
        </w:rPr>
        <w:t> </w:t>
      </w:r>
      <w:r w:rsidRPr="007E541C">
        <w:rPr>
          <w:rFonts w:cs="Arial"/>
          <w:szCs w:val="22"/>
        </w:rPr>
        <w:t>dodatečných 5kt v</w:t>
      </w:r>
      <w:r w:rsidR="005A1247">
        <w:rPr>
          <w:rFonts w:cs="Arial"/>
          <w:szCs w:val="22"/>
        </w:rPr>
        <w:t> </w:t>
      </w:r>
      <w:r w:rsidRPr="007E541C">
        <w:rPr>
          <w:rFonts w:cs="Arial"/>
          <w:szCs w:val="22"/>
        </w:rPr>
        <w:t>porovnání se scénářem NPSE WM. Opatření, která mají zajistit splnění tohoto cíle, mají být dle schváleného usnesení vlády č. 917/2019 k</w:t>
      </w:r>
      <w:r w:rsidR="005A1247">
        <w:rPr>
          <w:rFonts w:cs="Arial"/>
          <w:szCs w:val="22"/>
        </w:rPr>
        <w:t> </w:t>
      </w:r>
      <w:r w:rsidRPr="007E541C">
        <w:rPr>
          <w:rFonts w:cs="Arial"/>
          <w:szCs w:val="22"/>
        </w:rPr>
        <w:t>NPSE obsažena v</w:t>
      </w:r>
      <w:r w:rsidR="005A1247">
        <w:rPr>
          <w:rFonts w:cs="Arial"/>
          <w:szCs w:val="22"/>
        </w:rPr>
        <w:t> </w:t>
      </w:r>
      <w:r w:rsidRPr="007E541C">
        <w:rPr>
          <w:rFonts w:cs="Arial"/>
          <w:szCs w:val="22"/>
        </w:rPr>
        <w:t>Analýze zpoplatnění vozidel v</w:t>
      </w:r>
      <w:r w:rsidR="005A1247">
        <w:rPr>
          <w:rFonts w:cs="Arial"/>
          <w:szCs w:val="22"/>
        </w:rPr>
        <w:t> </w:t>
      </w:r>
      <w:r w:rsidRPr="007E541C">
        <w:rPr>
          <w:rFonts w:cs="Arial"/>
          <w:szCs w:val="22"/>
        </w:rPr>
        <w:t>České republice a</w:t>
      </w:r>
      <w:r w:rsidR="005A1247">
        <w:rPr>
          <w:rFonts w:cs="Arial"/>
          <w:szCs w:val="22"/>
        </w:rPr>
        <w:t> </w:t>
      </w:r>
      <w:r w:rsidRPr="007E541C">
        <w:rPr>
          <w:rFonts w:cs="Arial"/>
          <w:szCs w:val="22"/>
        </w:rPr>
        <w:t xml:space="preserve">v Aktualizaci Národního akčního plánu čisté mobility. </w:t>
      </w:r>
    </w:p>
    <w:p w14:paraId="5BB39610" w14:textId="77777777" w:rsidR="00264253" w:rsidRPr="007E541C" w:rsidRDefault="00264253" w:rsidP="00264253">
      <w:pPr>
        <w:jc w:val="both"/>
        <w:rPr>
          <w:rFonts w:cs="Arial"/>
          <w:szCs w:val="22"/>
        </w:rPr>
      </w:pPr>
      <w:r w:rsidRPr="007E541C">
        <w:rPr>
          <w:rFonts w:cs="Arial"/>
          <w:szCs w:val="22"/>
        </w:rPr>
        <w:t>Níže uvedená tabulka shrnuje přínos Aktualizace Národního akčního plánu čisté mobility ke splnění požadovaného snížení emisí NO</w:t>
      </w:r>
      <w:r w:rsidRPr="007E541C">
        <w:rPr>
          <w:rFonts w:cs="Arial"/>
          <w:szCs w:val="22"/>
          <w:vertAlign w:val="subscript"/>
        </w:rPr>
        <w:t>x</w:t>
      </w:r>
      <w:r w:rsidRPr="007E541C">
        <w:rPr>
          <w:rFonts w:cs="Arial"/>
          <w:szCs w:val="22"/>
        </w:rPr>
        <w:t xml:space="preserve">. </w:t>
      </w:r>
    </w:p>
    <w:p w14:paraId="3606DBA0" w14:textId="77777777" w:rsidR="00BA24BB" w:rsidRDefault="00BA24BB" w:rsidP="00BB2018"/>
    <w:p w14:paraId="2ED7E2C6" w14:textId="135230F5" w:rsidR="008617E6" w:rsidRPr="007E541C" w:rsidRDefault="008617E6" w:rsidP="007E541C">
      <w:pPr>
        <w:pStyle w:val="Titulek"/>
        <w:rPr>
          <w:rFonts w:cs="Arial"/>
          <w:b w:val="0"/>
          <w:szCs w:val="22"/>
        </w:rPr>
      </w:pPr>
      <w:bookmarkStart w:id="12" w:name="_Toc34298576"/>
      <w:r>
        <w:t xml:space="preserve">Tabulka </w:t>
      </w:r>
      <w:r w:rsidR="00D77CA4">
        <w:rPr>
          <w:noProof/>
        </w:rPr>
        <w:fldChar w:fldCharType="begin"/>
      </w:r>
      <w:r w:rsidR="00D77CA4">
        <w:rPr>
          <w:noProof/>
        </w:rPr>
        <w:instrText xml:space="preserve"> SEQ Tabulka \* ARABIC </w:instrText>
      </w:r>
      <w:r w:rsidR="00D77CA4">
        <w:rPr>
          <w:noProof/>
        </w:rPr>
        <w:fldChar w:fldCharType="separate"/>
      </w:r>
      <w:r w:rsidR="00D944E5">
        <w:rPr>
          <w:noProof/>
        </w:rPr>
        <w:t>2</w:t>
      </w:r>
      <w:r w:rsidR="00D77CA4">
        <w:rPr>
          <w:noProof/>
        </w:rPr>
        <w:fldChar w:fldCharType="end"/>
      </w:r>
      <w:r w:rsidR="00264253">
        <w:rPr>
          <w:rFonts w:ascii="Times New Roman" w:hAnsi="Times New Roman"/>
          <w:b w:val="0"/>
          <w:sz w:val="24"/>
        </w:rPr>
        <w:t xml:space="preserve"> </w:t>
      </w:r>
      <w:r w:rsidR="00264253" w:rsidRPr="007E541C">
        <w:rPr>
          <w:rFonts w:cs="Arial"/>
          <w:szCs w:val="22"/>
        </w:rPr>
        <w:t>Přínos NAP ČM k</w:t>
      </w:r>
      <w:r w:rsidR="005A1247">
        <w:rPr>
          <w:rFonts w:cs="Arial"/>
          <w:szCs w:val="22"/>
        </w:rPr>
        <w:t> </w:t>
      </w:r>
      <w:r w:rsidR="00264253" w:rsidRPr="007E541C">
        <w:rPr>
          <w:rFonts w:cs="Arial"/>
          <w:szCs w:val="22"/>
        </w:rPr>
        <w:t>dodatečnému snížení emisí NO</w:t>
      </w:r>
      <w:r w:rsidR="00264253" w:rsidRPr="007E541C">
        <w:rPr>
          <w:rFonts w:cs="Arial"/>
          <w:szCs w:val="22"/>
          <w:vertAlign w:val="subscript"/>
        </w:rPr>
        <w:t>x</w:t>
      </w:r>
      <w:r w:rsidR="00264253" w:rsidRPr="007E541C">
        <w:rPr>
          <w:rFonts w:cs="Arial"/>
          <w:szCs w:val="22"/>
        </w:rPr>
        <w:t xml:space="preserve"> požadovaného NPSE v</w:t>
      </w:r>
      <w:r w:rsidR="005A1247">
        <w:rPr>
          <w:rFonts w:cs="Arial"/>
          <w:szCs w:val="22"/>
        </w:rPr>
        <w:t> </w:t>
      </w:r>
      <w:r w:rsidR="00264253" w:rsidRPr="007E541C">
        <w:rPr>
          <w:rFonts w:cs="Arial"/>
          <w:szCs w:val="22"/>
        </w:rPr>
        <w:t>roce 2030</w:t>
      </w:r>
      <w:bookmarkEnd w:id="12"/>
    </w:p>
    <w:tbl>
      <w:tblPr>
        <w:tblW w:w="9340" w:type="dxa"/>
        <w:tblCellMar>
          <w:left w:w="70" w:type="dxa"/>
          <w:right w:w="70" w:type="dxa"/>
        </w:tblCellMar>
        <w:tblLook w:val="04A0" w:firstRow="1" w:lastRow="0" w:firstColumn="1" w:lastColumn="0" w:noHBand="0" w:noVBand="1"/>
      </w:tblPr>
      <w:tblGrid>
        <w:gridCol w:w="1696"/>
        <w:gridCol w:w="1724"/>
        <w:gridCol w:w="1540"/>
        <w:gridCol w:w="1360"/>
        <w:gridCol w:w="1540"/>
        <w:gridCol w:w="1480"/>
      </w:tblGrid>
      <w:tr w:rsidR="008617E6" w:rsidRPr="00AE64AA" w14:paraId="2B64B385" w14:textId="77777777" w:rsidTr="00FA66DA">
        <w:trPr>
          <w:trHeight w:val="300"/>
        </w:trPr>
        <w:tc>
          <w:tcPr>
            <w:tcW w:w="1696"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B239056"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Druh vozidla</w:t>
            </w:r>
          </w:p>
        </w:tc>
        <w:tc>
          <w:tcPr>
            <w:tcW w:w="1724"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14:paraId="0E64F4E2"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 xml:space="preserve">Počet vozidel dle </w:t>
            </w:r>
            <w:r>
              <w:rPr>
                <w:rFonts w:ascii="Times New Roman" w:hAnsi="Times New Roman"/>
                <w:color w:val="000000"/>
                <w:sz w:val="24"/>
              </w:rPr>
              <w:t xml:space="preserve">scénáře </w:t>
            </w:r>
            <w:r w:rsidRPr="00AE64AA">
              <w:rPr>
                <w:rFonts w:ascii="Times New Roman" w:hAnsi="Times New Roman"/>
                <w:color w:val="000000"/>
                <w:sz w:val="24"/>
              </w:rPr>
              <w:t>NPSE</w:t>
            </w:r>
            <w:r>
              <w:rPr>
                <w:rFonts w:ascii="Times New Roman" w:hAnsi="Times New Roman"/>
                <w:color w:val="000000"/>
                <w:sz w:val="24"/>
              </w:rPr>
              <w:t xml:space="preserve"> WM</w:t>
            </w:r>
          </w:p>
        </w:tc>
        <w:tc>
          <w:tcPr>
            <w:tcW w:w="2900" w:type="dxa"/>
            <w:gridSpan w:val="2"/>
            <w:tcBorders>
              <w:top w:val="single" w:sz="4" w:space="0" w:color="auto"/>
              <w:left w:val="nil"/>
              <w:bottom w:val="single" w:sz="4" w:space="0" w:color="auto"/>
              <w:right w:val="single" w:sz="4" w:space="0" w:color="auto"/>
            </w:tcBorders>
            <w:shd w:val="clear" w:color="auto" w:fill="auto"/>
            <w:vAlign w:val="center"/>
            <w:hideMark/>
          </w:tcPr>
          <w:p w14:paraId="52133A12"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Počet vozidel dle NAP ČM</w:t>
            </w:r>
          </w:p>
        </w:tc>
        <w:tc>
          <w:tcPr>
            <w:tcW w:w="3020" w:type="dxa"/>
            <w:gridSpan w:val="2"/>
            <w:tcBorders>
              <w:top w:val="single" w:sz="4" w:space="0" w:color="auto"/>
              <w:left w:val="nil"/>
              <w:bottom w:val="single" w:sz="4" w:space="0" w:color="auto"/>
              <w:right w:val="single" w:sz="4" w:space="0" w:color="auto"/>
            </w:tcBorders>
            <w:shd w:val="clear" w:color="auto" w:fill="auto"/>
            <w:vAlign w:val="center"/>
            <w:hideMark/>
          </w:tcPr>
          <w:p w14:paraId="46A7B8AE"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Úspora emisí</w:t>
            </w:r>
            <w:r>
              <w:rPr>
                <w:rFonts w:ascii="Times New Roman" w:hAnsi="Times New Roman"/>
                <w:color w:val="000000"/>
                <w:sz w:val="24"/>
              </w:rPr>
              <w:t xml:space="preserve"> NO</w:t>
            </w:r>
            <w:r w:rsidRPr="00AE64AA">
              <w:rPr>
                <w:rFonts w:ascii="Times New Roman" w:hAnsi="Times New Roman"/>
                <w:color w:val="000000"/>
                <w:sz w:val="24"/>
                <w:vertAlign w:val="subscript"/>
              </w:rPr>
              <w:t>x</w:t>
            </w:r>
            <w:r w:rsidRPr="00AE64AA">
              <w:rPr>
                <w:rFonts w:ascii="Times New Roman" w:hAnsi="Times New Roman"/>
                <w:color w:val="000000"/>
                <w:sz w:val="24"/>
              </w:rPr>
              <w:t xml:space="preserve"> </w:t>
            </w:r>
            <w:r w:rsidRPr="007E541C">
              <w:rPr>
                <w:rFonts w:ascii="Times New Roman" w:hAnsi="Times New Roman"/>
                <w:color w:val="000000"/>
                <w:sz w:val="24"/>
                <w:lang w:val="de-DE"/>
              </w:rPr>
              <w:t>[</w:t>
            </w:r>
            <w:r>
              <w:rPr>
                <w:rFonts w:ascii="Times New Roman" w:hAnsi="Times New Roman"/>
                <w:color w:val="000000"/>
                <w:sz w:val="24"/>
              </w:rPr>
              <w:t>t</w:t>
            </w:r>
            <w:r w:rsidRPr="00AE64AA">
              <w:rPr>
                <w:rFonts w:ascii="Times New Roman" w:hAnsi="Times New Roman"/>
                <w:color w:val="000000"/>
                <w:sz w:val="24"/>
              </w:rPr>
              <w:t>/rok</w:t>
            </w:r>
            <w:r>
              <w:rPr>
                <w:rFonts w:ascii="Times New Roman" w:hAnsi="Times New Roman"/>
                <w:color w:val="000000"/>
                <w:sz w:val="24"/>
              </w:rPr>
              <w:t>]*</w:t>
            </w:r>
          </w:p>
        </w:tc>
      </w:tr>
      <w:tr w:rsidR="008617E6" w:rsidRPr="00AE64AA" w14:paraId="6F75B45B" w14:textId="77777777" w:rsidTr="00FA66DA">
        <w:trPr>
          <w:trHeight w:val="615"/>
        </w:trPr>
        <w:tc>
          <w:tcPr>
            <w:tcW w:w="1696" w:type="dxa"/>
            <w:vMerge/>
            <w:tcBorders>
              <w:top w:val="single" w:sz="4" w:space="0" w:color="auto"/>
              <w:left w:val="single" w:sz="4" w:space="0" w:color="auto"/>
              <w:bottom w:val="double" w:sz="6" w:space="0" w:color="000000"/>
              <w:right w:val="single" w:sz="4" w:space="0" w:color="auto"/>
            </w:tcBorders>
            <w:vAlign w:val="center"/>
            <w:hideMark/>
          </w:tcPr>
          <w:p w14:paraId="5147B3A8" w14:textId="77777777" w:rsidR="008617E6" w:rsidRPr="00AE64AA" w:rsidRDefault="008617E6" w:rsidP="00FA66DA">
            <w:pPr>
              <w:spacing w:after="0"/>
              <w:jc w:val="center"/>
              <w:rPr>
                <w:rFonts w:ascii="Times New Roman" w:hAnsi="Times New Roman"/>
                <w:color w:val="000000"/>
                <w:sz w:val="24"/>
              </w:rPr>
            </w:pPr>
          </w:p>
        </w:tc>
        <w:tc>
          <w:tcPr>
            <w:tcW w:w="1724" w:type="dxa"/>
            <w:vMerge/>
            <w:tcBorders>
              <w:top w:val="single" w:sz="4" w:space="0" w:color="auto"/>
              <w:left w:val="single" w:sz="4" w:space="0" w:color="auto"/>
              <w:bottom w:val="double" w:sz="6" w:space="0" w:color="000000"/>
              <w:right w:val="single" w:sz="4" w:space="0" w:color="auto"/>
            </w:tcBorders>
            <w:vAlign w:val="center"/>
            <w:hideMark/>
          </w:tcPr>
          <w:p w14:paraId="46C412AA" w14:textId="77777777" w:rsidR="008617E6" w:rsidRPr="00AE64AA" w:rsidRDefault="008617E6" w:rsidP="00FA66DA">
            <w:pPr>
              <w:spacing w:after="0"/>
              <w:jc w:val="center"/>
              <w:rPr>
                <w:rFonts w:ascii="Times New Roman" w:hAnsi="Times New Roman"/>
                <w:color w:val="000000"/>
                <w:sz w:val="24"/>
              </w:rPr>
            </w:pPr>
          </w:p>
        </w:tc>
        <w:tc>
          <w:tcPr>
            <w:tcW w:w="1540" w:type="dxa"/>
            <w:tcBorders>
              <w:top w:val="nil"/>
              <w:left w:val="nil"/>
              <w:bottom w:val="double" w:sz="6" w:space="0" w:color="auto"/>
              <w:right w:val="single" w:sz="4" w:space="0" w:color="auto"/>
            </w:tcBorders>
            <w:shd w:val="clear" w:color="auto" w:fill="auto"/>
            <w:vAlign w:val="center"/>
            <w:hideMark/>
          </w:tcPr>
          <w:p w14:paraId="6B0CED68"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Minimální počet</w:t>
            </w:r>
          </w:p>
        </w:tc>
        <w:tc>
          <w:tcPr>
            <w:tcW w:w="1360" w:type="dxa"/>
            <w:tcBorders>
              <w:top w:val="nil"/>
              <w:left w:val="nil"/>
              <w:bottom w:val="double" w:sz="6" w:space="0" w:color="auto"/>
              <w:right w:val="single" w:sz="4" w:space="0" w:color="auto"/>
            </w:tcBorders>
            <w:shd w:val="clear" w:color="auto" w:fill="auto"/>
            <w:vAlign w:val="center"/>
            <w:hideMark/>
          </w:tcPr>
          <w:p w14:paraId="69FC8CF7"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Maximální počet</w:t>
            </w:r>
          </w:p>
        </w:tc>
        <w:tc>
          <w:tcPr>
            <w:tcW w:w="1540" w:type="dxa"/>
            <w:tcBorders>
              <w:top w:val="nil"/>
              <w:left w:val="nil"/>
              <w:bottom w:val="double" w:sz="6" w:space="0" w:color="auto"/>
              <w:right w:val="single" w:sz="4" w:space="0" w:color="auto"/>
            </w:tcBorders>
            <w:shd w:val="clear" w:color="auto" w:fill="auto"/>
            <w:vAlign w:val="center"/>
            <w:hideMark/>
          </w:tcPr>
          <w:p w14:paraId="18B8C603" w14:textId="77777777" w:rsidR="008617E6" w:rsidRPr="00AE64AA" w:rsidRDefault="008617E6" w:rsidP="00FA66DA">
            <w:pPr>
              <w:spacing w:after="0"/>
              <w:jc w:val="center"/>
              <w:rPr>
                <w:rFonts w:ascii="Times New Roman" w:hAnsi="Times New Roman"/>
                <w:color w:val="000000"/>
                <w:sz w:val="24"/>
              </w:rPr>
            </w:pPr>
            <w:r>
              <w:rPr>
                <w:rFonts w:ascii="Times New Roman" w:hAnsi="Times New Roman"/>
                <w:color w:val="000000"/>
                <w:sz w:val="24"/>
              </w:rPr>
              <w:t>při min</w:t>
            </w:r>
            <w:r w:rsidRPr="00AE64AA">
              <w:rPr>
                <w:rFonts w:ascii="Times New Roman" w:hAnsi="Times New Roman"/>
                <w:color w:val="000000"/>
                <w:sz w:val="24"/>
              </w:rPr>
              <w:t>. počtu vozidel</w:t>
            </w:r>
          </w:p>
        </w:tc>
        <w:tc>
          <w:tcPr>
            <w:tcW w:w="1480" w:type="dxa"/>
            <w:tcBorders>
              <w:top w:val="nil"/>
              <w:left w:val="nil"/>
              <w:bottom w:val="double" w:sz="6" w:space="0" w:color="auto"/>
              <w:right w:val="single" w:sz="4" w:space="0" w:color="auto"/>
            </w:tcBorders>
            <w:shd w:val="clear" w:color="auto" w:fill="auto"/>
            <w:vAlign w:val="center"/>
            <w:hideMark/>
          </w:tcPr>
          <w:p w14:paraId="0391123F" w14:textId="77777777" w:rsidR="008617E6" w:rsidRPr="00AE64AA" w:rsidRDefault="008617E6" w:rsidP="00FA66DA">
            <w:pPr>
              <w:spacing w:after="0"/>
              <w:jc w:val="center"/>
              <w:rPr>
                <w:rFonts w:ascii="Times New Roman" w:hAnsi="Times New Roman"/>
                <w:color w:val="000000"/>
                <w:sz w:val="24"/>
              </w:rPr>
            </w:pPr>
            <w:r w:rsidRPr="00AE64AA">
              <w:rPr>
                <w:rFonts w:ascii="Times New Roman" w:hAnsi="Times New Roman"/>
                <w:color w:val="000000"/>
                <w:sz w:val="24"/>
              </w:rPr>
              <w:t>při max. počtu vozidel</w:t>
            </w:r>
          </w:p>
        </w:tc>
      </w:tr>
      <w:tr w:rsidR="008617E6" w:rsidRPr="00AE64AA" w14:paraId="6898BDB2"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4ED1D" w14:textId="77777777" w:rsidR="008617E6" w:rsidRPr="00AE64AA" w:rsidRDefault="008617E6" w:rsidP="00FA66DA">
            <w:pPr>
              <w:spacing w:after="0"/>
              <w:rPr>
                <w:rFonts w:ascii="Times New Roman" w:hAnsi="Times New Roman"/>
                <w:color w:val="000000"/>
                <w:sz w:val="24"/>
              </w:rPr>
            </w:pPr>
            <w:r w:rsidRPr="00AE64AA">
              <w:rPr>
                <w:rFonts w:ascii="Times New Roman" w:hAnsi="Times New Roman"/>
                <w:color w:val="000000"/>
                <w:sz w:val="24"/>
              </w:rPr>
              <w:t>OA BEV</w:t>
            </w:r>
          </w:p>
        </w:tc>
        <w:tc>
          <w:tcPr>
            <w:tcW w:w="1724" w:type="dxa"/>
            <w:tcBorders>
              <w:top w:val="nil"/>
              <w:left w:val="nil"/>
              <w:bottom w:val="single" w:sz="4" w:space="0" w:color="auto"/>
              <w:right w:val="single" w:sz="4" w:space="0" w:color="auto"/>
            </w:tcBorders>
            <w:shd w:val="clear" w:color="auto" w:fill="auto"/>
            <w:noWrap/>
            <w:vAlign w:val="bottom"/>
            <w:hideMark/>
          </w:tcPr>
          <w:p w14:paraId="1959344D"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60 169</w:t>
            </w:r>
          </w:p>
        </w:tc>
        <w:tc>
          <w:tcPr>
            <w:tcW w:w="1540" w:type="dxa"/>
            <w:tcBorders>
              <w:top w:val="nil"/>
              <w:left w:val="nil"/>
              <w:bottom w:val="single" w:sz="4" w:space="0" w:color="auto"/>
              <w:right w:val="single" w:sz="4" w:space="0" w:color="auto"/>
            </w:tcBorders>
            <w:shd w:val="clear" w:color="auto" w:fill="auto"/>
            <w:noWrap/>
            <w:vAlign w:val="bottom"/>
            <w:hideMark/>
          </w:tcPr>
          <w:p w14:paraId="0E381B62"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220 000</w:t>
            </w:r>
          </w:p>
        </w:tc>
        <w:tc>
          <w:tcPr>
            <w:tcW w:w="1360" w:type="dxa"/>
            <w:tcBorders>
              <w:top w:val="nil"/>
              <w:left w:val="nil"/>
              <w:bottom w:val="single" w:sz="4" w:space="0" w:color="auto"/>
              <w:right w:val="single" w:sz="4" w:space="0" w:color="auto"/>
            </w:tcBorders>
            <w:shd w:val="clear" w:color="auto" w:fill="auto"/>
            <w:noWrap/>
            <w:vAlign w:val="bottom"/>
            <w:hideMark/>
          </w:tcPr>
          <w:p w14:paraId="197F34ED"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500 000</w:t>
            </w:r>
          </w:p>
        </w:tc>
        <w:tc>
          <w:tcPr>
            <w:tcW w:w="1540" w:type="dxa"/>
            <w:tcBorders>
              <w:top w:val="nil"/>
              <w:left w:val="nil"/>
              <w:bottom w:val="single" w:sz="4" w:space="0" w:color="auto"/>
              <w:right w:val="single" w:sz="4" w:space="0" w:color="auto"/>
            </w:tcBorders>
            <w:shd w:val="clear" w:color="auto" w:fill="auto"/>
            <w:noWrap/>
            <w:vAlign w:val="bottom"/>
            <w:hideMark/>
          </w:tcPr>
          <w:p w14:paraId="401E3606" w14:textId="77777777" w:rsidR="008617E6" w:rsidRPr="00AE64AA" w:rsidRDefault="008617E6" w:rsidP="007E541C">
            <w:pPr>
              <w:spacing w:after="0"/>
              <w:jc w:val="center"/>
              <w:rPr>
                <w:rFonts w:ascii="Times New Roman" w:hAnsi="Times New Roman"/>
                <w:color w:val="000000"/>
                <w:sz w:val="24"/>
              </w:rPr>
            </w:pPr>
            <w:r>
              <w:rPr>
                <w:rFonts w:ascii="Times New Roman" w:hAnsi="Times New Roman"/>
                <w:color w:val="000000"/>
                <w:sz w:val="24"/>
              </w:rPr>
              <w:t>189</w:t>
            </w:r>
          </w:p>
        </w:tc>
        <w:tc>
          <w:tcPr>
            <w:tcW w:w="1480" w:type="dxa"/>
            <w:tcBorders>
              <w:top w:val="nil"/>
              <w:left w:val="nil"/>
              <w:bottom w:val="single" w:sz="4" w:space="0" w:color="auto"/>
              <w:right w:val="single" w:sz="4" w:space="0" w:color="auto"/>
            </w:tcBorders>
            <w:shd w:val="clear" w:color="auto" w:fill="auto"/>
            <w:noWrap/>
            <w:vAlign w:val="bottom"/>
            <w:hideMark/>
          </w:tcPr>
          <w:p w14:paraId="620B5A6C" w14:textId="77777777" w:rsidR="008617E6" w:rsidRPr="00AE64AA" w:rsidRDefault="008617E6" w:rsidP="007E541C">
            <w:pPr>
              <w:spacing w:after="0"/>
              <w:jc w:val="center"/>
              <w:rPr>
                <w:rFonts w:ascii="Times New Roman" w:hAnsi="Times New Roman"/>
                <w:color w:val="000000"/>
                <w:sz w:val="24"/>
              </w:rPr>
            </w:pPr>
            <w:r>
              <w:rPr>
                <w:rFonts w:ascii="Times New Roman" w:hAnsi="Times New Roman"/>
                <w:color w:val="000000"/>
                <w:sz w:val="24"/>
              </w:rPr>
              <w:t>521</w:t>
            </w:r>
          </w:p>
        </w:tc>
      </w:tr>
      <w:tr w:rsidR="008617E6" w:rsidRPr="00AE64AA" w14:paraId="67D70745"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2350C" w14:textId="77777777" w:rsidR="008617E6" w:rsidRPr="00AE64AA" w:rsidRDefault="008617E6" w:rsidP="00FA66DA">
            <w:pPr>
              <w:spacing w:after="0"/>
              <w:rPr>
                <w:rFonts w:ascii="Times New Roman" w:hAnsi="Times New Roman"/>
                <w:color w:val="000000"/>
                <w:sz w:val="24"/>
              </w:rPr>
            </w:pPr>
            <w:r w:rsidRPr="00AE64AA">
              <w:rPr>
                <w:rFonts w:ascii="Times New Roman" w:hAnsi="Times New Roman"/>
                <w:color w:val="000000"/>
                <w:sz w:val="24"/>
              </w:rPr>
              <w:t>OA H</w:t>
            </w:r>
            <w:r w:rsidRPr="00765FC5">
              <w:rPr>
                <w:rFonts w:ascii="Times New Roman" w:hAnsi="Times New Roman"/>
                <w:color w:val="000000"/>
                <w:sz w:val="24"/>
                <w:vertAlign w:val="subscript"/>
              </w:rPr>
              <w:t>2</w:t>
            </w:r>
          </w:p>
        </w:tc>
        <w:tc>
          <w:tcPr>
            <w:tcW w:w="1724" w:type="dxa"/>
            <w:tcBorders>
              <w:top w:val="nil"/>
              <w:left w:val="nil"/>
              <w:bottom w:val="single" w:sz="4" w:space="0" w:color="auto"/>
              <w:right w:val="single" w:sz="4" w:space="0" w:color="auto"/>
            </w:tcBorders>
            <w:shd w:val="clear" w:color="auto" w:fill="auto"/>
            <w:noWrap/>
            <w:vAlign w:val="bottom"/>
            <w:hideMark/>
          </w:tcPr>
          <w:p w14:paraId="3DA9EFF7"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0</w:t>
            </w:r>
          </w:p>
        </w:tc>
        <w:tc>
          <w:tcPr>
            <w:tcW w:w="1540" w:type="dxa"/>
            <w:tcBorders>
              <w:top w:val="nil"/>
              <w:left w:val="nil"/>
              <w:bottom w:val="single" w:sz="4" w:space="0" w:color="auto"/>
              <w:right w:val="single" w:sz="4" w:space="0" w:color="auto"/>
            </w:tcBorders>
            <w:shd w:val="clear" w:color="auto" w:fill="auto"/>
            <w:noWrap/>
            <w:vAlign w:val="bottom"/>
            <w:hideMark/>
          </w:tcPr>
          <w:p w14:paraId="3B67B212"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40 000</w:t>
            </w:r>
          </w:p>
        </w:tc>
        <w:tc>
          <w:tcPr>
            <w:tcW w:w="1360" w:type="dxa"/>
            <w:tcBorders>
              <w:top w:val="nil"/>
              <w:left w:val="nil"/>
              <w:bottom w:val="single" w:sz="4" w:space="0" w:color="auto"/>
              <w:right w:val="single" w:sz="4" w:space="0" w:color="auto"/>
            </w:tcBorders>
            <w:shd w:val="clear" w:color="auto" w:fill="auto"/>
            <w:noWrap/>
            <w:vAlign w:val="bottom"/>
            <w:hideMark/>
          </w:tcPr>
          <w:p w14:paraId="14272021"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50 000</w:t>
            </w:r>
          </w:p>
        </w:tc>
        <w:tc>
          <w:tcPr>
            <w:tcW w:w="1540" w:type="dxa"/>
            <w:tcBorders>
              <w:top w:val="nil"/>
              <w:left w:val="nil"/>
              <w:bottom w:val="single" w:sz="4" w:space="0" w:color="auto"/>
              <w:right w:val="single" w:sz="4" w:space="0" w:color="auto"/>
            </w:tcBorders>
            <w:shd w:val="clear" w:color="auto" w:fill="auto"/>
            <w:noWrap/>
            <w:vAlign w:val="bottom"/>
            <w:hideMark/>
          </w:tcPr>
          <w:p w14:paraId="3C083F52" w14:textId="77777777" w:rsidR="008617E6" w:rsidRPr="00AE64AA" w:rsidRDefault="008617E6" w:rsidP="007E541C">
            <w:pPr>
              <w:spacing w:after="0"/>
              <w:jc w:val="center"/>
              <w:rPr>
                <w:rFonts w:ascii="Times New Roman" w:hAnsi="Times New Roman"/>
                <w:color w:val="000000"/>
                <w:sz w:val="24"/>
              </w:rPr>
            </w:pPr>
            <w:r>
              <w:rPr>
                <w:rFonts w:ascii="Times New Roman" w:hAnsi="Times New Roman"/>
                <w:color w:val="000000"/>
                <w:sz w:val="24"/>
              </w:rPr>
              <w:t>47</w:t>
            </w:r>
          </w:p>
        </w:tc>
        <w:tc>
          <w:tcPr>
            <w:tcW w:w="1480" w:type="dxa"/>
            <w:tcBorders>
              <w:top w:val="nil"/>
              <w:left w:val="nil"/>
              <w:bottom w:val="single" w:sz="4" w:space="0" w:color="auto"/>
              <w:right w:val="single" w:sz="4" w:space="0" w:color="auto"/>
            </w:tcBorders>
            <w:shd w:val="clear" w:color="auto" w:fill="auto"/>
            <w:noWrap/>
            <w:vAlign w:val="bottom"/>
            <w:hideMark/>
          </w:tcPr>
          <w:p w14:paraId="23720282" w14:textId="77777777" w:rsidR="008617E6" w:rsidRPr="00AE64AA" w:rsidRDefault="008617E6" w:rsidP="007E541C">
            <w:pPr>
              <w:spacing w:after="0"/>
              <w:jc w:val="center"/>
              <w:rPr>
                <w:rFonts w:ascii="Times New Roman" w:hAnsi="Times New Roman"/>
                <w:color w:val="000000"/>
                <w:sz w:val="24"/>
              </w:rPr>
            </w:pPr>
            <w:r>
              <w:rPr>
                <w:rFonts w:ascii="Times New Roman" w:hAnsi="Times New Roman"/>
                <w:color w:val="000000"/>
                <w:sz w:val="24"/>
              </w:rPr>
              <w:t>59</w:t>
            </w:r>
          </w:p>
        </w:tc>
      </w:tr>
      <w:tr w:rsidR="008617E6" w:rsidRPr="00AE64AA" w14:paraId="7F5C68CB"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EDE4C" w14:textId="77777777" w:rsidR="008617E6" w:rsidRPr="00AE64AA" w:rsidRDefault="008617E6" w:rsidP="00FA66DA">
            <w:pPr>
              <w:spacing w:after="0"/>
              <w:rPr>
                <w:rFonts w:ascii="Times New Roman" w:hAnsi="Times New Roman"/>
                <w:color w:val="000000"/>
                <w:sz w:val="24"/>
              </w:rPr>
            </w:pPr>
            <w:r w:rsidRPr="00AE64AA">
              <w:rPr>
                <w:rFonts w:ascii="Times New Roman" w:hAnsi="Times New Roman"/>
                <w:color w:val="000000"/>
                <w:sz w:val="24"/>
              </w:rPr>
              <w:t>BUS BEV</w:t>
            </w:r>
          </w:p>
        </w:tc>
        <w:tc>
          <w:tcPr>
            <w:tcW w:w="1724" w:type="dxa"/>
            <w:tcBorders>
              <w:top w:val="nil"/>
              <w:left w:val="nil"/>
              <w:bottom w:val="single" w:sz="4" w:space="0" w:color="auto"/>
              <w:right w:val="single" w:sz="4" w:space="0" w:color="auto"/>
            </w:tcBorders>
            <w:shd w:val="clear" w:color="auto" w:fill="auto"/>
            <w:noWrap/>
            <w:vAlign w:val="bottom"/>
            <w:hideMark/>
          </w:tcPr>
          <w:p w14:paraId="69E2E997"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409</w:t>
            </w:r>
          </w:p>
        </w:tc>
        <w:tc>
          <w:tcPr>
            <w:tcW w:w="1540" w:type="dxa"/>
            <w:tcBorders>
              <w:top w:val="nil"/>
              <w:left w:val="nil"/>
              <w:bottom w:val="single" w:sz="4" w:space="0" w:color="auto"/>
              <w:right w:val="single" w:sz="4" w:space="0" w:color="auto"/>
            </w:tcBorders>
            <w:shd w:val="clear" w:color="auto" w:fill="auto"/>
            <w:noWrap/>
            <w:vAlign w:val="bottom"/>
            <w:hideMark/>
          </w:tcPr>
          <w:p w14:paraId="412839D8"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800</w:t>
            </w:r>
          </w:p>
        </w:tc>
        <w:tc>
          <w:tcPr>
            <w:tcW w:w="1360" w:type="dxa"/>
            <w:tcBorders>
              <w:top w:val="nil"/>
              <w:left w:val="nil"/>
              <w:bottom w:val="single" w:sz="4" w:space="0" w:color="auto"/>
              <w:right w:val="single" w:sz="4" w:space="0" w:color="auto"/>
            </w:tcBorders>
            <w:shd w:val="clear" w:color="auto" w:fill="auto"/>
            <w:noWrap/>
            <w:vAlign w:val="bottom"/>
            <w:hideMark/>
          </w:tcPr>
          <w:p w14:paraId="3F3FF434"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1 200</w:t>
            </w:r>
          </w:p>
        </w:tc>
        <w:tc>
          <w:tcPr>
            <w:tcW w:w="1540" w:type="dxa"/>
            <w:tcBorders>
              <w:top w:val="nil"/>
              <w:left w:val="nil"/>
              <w:bottom w:val="single" w:sz="4" w:space="0" w:color="auto"/>
              <w:right w:val="single" w:sz="4" w:space="0" w:color="auto"/>
            </w:tcBorders>
            <w:shd w:val="clear" w:color="auto" w:fill="auto"/>
            <w:noWrap/>
            <w:vAlign w:val="bottom"/>
            <w:hideMark/>
          </w:tcPr>
          <w:p w14:paraId="1388357A"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7</w:t>
            </w:r>
          </w:p>
        </w:tc>
        <w:tc>
          <w:tcPr>
            <w:tcW w:w="1480" w:type="dxa"/>
            <w:tcBorders>
              <w:top w:val="nil"/>
              <w:left w:val="nil"/>
              <w:bottom w:val="single" w:sz="4" w:space="0" w:color="auto"/>
              <w:right w:val="single" w:sz="4" w:space="0" w:color="auto"/>
            </w:tcBorders>
            <w:shd w:val="clear" w:color="auto" w:fill="auto"/>
            <w:noWrap/>
            <w:vAlign w:val="bottom"/>
            <w:hideMark/>
          </w:tcPr>
          <w:p w14:paraId="6B7840D7"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14</w:t>
            </w:r>
          </w:p>
        </w:tc>
      </w:tr>
      <w:tr w:rsidR="008617E6" w:rsidRPr="00AE64AA" w14:paraId="3ADFDCC9"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D3B25" w14:textId="77777777" w:rsidR="008617E6" w:rsidRPr="00AE64AA" w:rsidRDefault="008617E6" w:rsidP="00FA66DA">
            <w:pPr>
              <w:spacing w:after="0"/>
              <w:rPr>
                <w:rFonts w:ascii="Times New Roman" w:hAnsi="Times New Roman"/>
                <w:color w:val="000000"/>
                <w:sz w:val="24"/>
              </w:rPr>
            </w:pPr>
            <w:r w:rsidRPr="00AE64AA">
              <w:rPr>
                <w:rFonts w:ascii="Times New Roman" w:hAnsi="Times New Roman"/>
                <w:color w:val="000000"/>
                <w:sz w:val="24"/>
              </w:rPr>
              <w:t>BUS H</w:t>
            </w:r>
            <w:r w:rsidRPr="00765FC5">
              <w:rPr>
                <w:rFonts w:ascii="Times New Roman" w:hAnsi="Times New Roman"/>
                <w:color w:val="000000"/>
                <w:sz w:val="24"/>
                <w:vertAlign w:val="subscript"/>
              </w:rPr>
              <w:t>2</w:t>
            </w:r>
          </w:p>
        </w:tc>
        <w:tc>
          <w:tcPr>
            <w:tcW w:w="1724" w:type="dxa"/>
            <w:tcBorders>
              <w:top w:val="nil"/>
              <w:left w:val="nil"/>
              <w:bottom w:val="single" w:sz="4" w:space="0" w:color="auto"/>
              <w:right w:val="single" w:sz="4" w:space="0" w:color="auto"/>
            </w:tcBorders>
            <w:shd w:val="clear" w:color="auto" w:fill="auto"/>
            <w:noWrap/>
            <w:vAlign w:val="bottom"/>
            <w:hideMark/>
          </w:tcPr>
          <w:p w14:paraId="3D42B69C"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0</w:t>
            </w:r>
          </w:p>
        </w:tc>
        <w:tc>
          <w:tcPr>
            <w:tcW w:w="1540" w:type="dxa"/>
            <w:tcBorders>
              <w:top w:val="nil"/>
              <w:left w:val="nil"/>
              <w:bottom w:val="single" w:sz="4" w:space="0" w:color="auto"/>
              <w:right w:val="single" w:sz="4" w:space="0" w:color="auto"/>
            </w:tcBorders>
            <w:shd w:val="clear" w:color="auto" w:fill="auto"/>
            <w:noWrap/>
            <w:vAlign w:val="bottom"/>
            <w:hideMark/>
          </w:tcPr>
          <w:p w14:paraId="4364530B"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870</w:t>
            </w:r>
          </w:p>
        </w:tc>
        <w:tc>
          <w:tcPr>
            <w:tcW w:w="1360" w:type="dxa"/>
            <w:tcBorders>
              <w:top w:val="nil"/>
              <w:left w:val="nil"/>
              <w:bottom w:val="single" w:sz="4" w:space="0" w:color="auto"/>
              <w:right w:val="single" w:sz="4" w:space="0" w:color="auto"/>
            </w:tcBorders>
            <w:shd w:val="clear" w:color="auto" w:fill="auto"/>
            <w:noWrap/>
            <w:vAlign w:val="bottom"/>
            <w:hideMark/>
          </w:tcPr>
          <w:p w14:paraId="7AD294B3"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870</w:t>
            </w:r>
          </w:p>
        </w:tc>
        <w:tc>
          <w:tcPr>
            <w:tcW w:w="1540" w:type="dxa"/>
            <w:tcBorders>
              <w:top w:val="nil"/>
              <w:left w:val="nil"/>
              <w:bottom w:val="single" w:sz="4" w:space="0" w:color="auto"/>
              <w:right w:val="single" w:sz="4" w:space="0" w:color="auto"/>
            </w:tcBorders>
            <w:shd w:val="clear" w:color="auto" w:fill="auto"/>
            <w:noWrap/>
            <w:vAlign w:val="bottom"/>
            <w:hideMark/>
          </w:tcPr>
          <w:p w14:paraId="7B9F90B5"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16</w:t>
            </w:r>
          </w:p>
        </w:tc>
        <w:tc>
          <w:tcPr>
            <w:tcW w:w="1480" w:type="dxa"/>
            <w:tcBorders>
              <w:top w:val="nil"/>
              <w:left w:val="nil"/>
              <w:bottom w:val="single" w:sz="4" w:space="0" w:color="auto"/>
              <w:right w:val="single" w:sz="4" w:space="0" w:color="auto"/>
            </w:tcBorders>
            <w:shd w:val="clear" w:color="auto" w:fill="auto"/>
            <w:noWrap/>
            <w:vAlign w:val="bottom"/>
            <w:hideMark/>
          </w:tcPr>
          <w:p w14:paraId="337F6F5C"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16</w:t>
            </w:r>
          </w:p>
        </w:tc>
      </w:tr>
      <w:tr w:rsidR="008617E6" w:rsidRPr="00AE64AA" w14:paraId="76FC640B"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5E5FC" w14:textId="77777777" w:rsidR="008617E6" w:rsidRPr="00AE64AA" w:rsidRDefault="008617E6" w:rsidP="00FA66DA">
            <w:pPr>
              <w:spacing w:after="0"/>
              <w:rPr>
                <w:rFonts w:ascii="Times New Roman" w:hAnsi="Times New Roman"/>
                <w:color w:val="000000"/>
                <w:sz w:val="24"/>
              </w:rPr>
            </w:pPr>
            <w:r w:rsidRPr="00AE64AA">
              <w:rPr>
                <w:rFonts w:ascii="Times New Roman" w:hAnsi="Times New Roman"/>
                <w:color w:val="000000"/>
                <w:sz w:val="24"/>
              </w:rPr>
              <w:t>BUS CNG</w:t>
            </w:r>
          </w:p>
        </w:tc>
        <w:tc>
          <w:tcPr>
            <w:tcW w:w="1724" w:type="dxa"/>
            <w:tcBorders>
              <w:top w:val="nil"/>
              <w:left w:val="nil"/>
              <w:bottom w:val="single" w:sz="4" w:space="0" w:color="auto"/>
              <w:right w:val="single" w:sz="4" w:space="0" w:color="auto"/>
            </w:tcBorders>
            <w:shd w:val="clear" w:color="auto" w:fill="auto"/>
            <w:noWrap/>
            <w:vAlign w:val="bottom"/>
            <w:hideMark/>
          </w:tcPr>
          <w:p w14:paraId="7DF4BBA6"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1 535</w:t>
            </w:r>
          </w:p>
        </w:tc>
        <w:tc>
          <w:tcPr>
            <w:tcW w:w="1540" w:type="dxa"/>
            <w:tcBorders>
              <w:top w:val="nil"/>
              <w:left w:val="nil"/>
              <w:bottom w:val="single" w:sz="4" w:space="0" w:color="auto"/>
              <w:right w:val="single" w:sz="4" w:space="0" w:color="auto"/>
            </w:tcBorders>
            <w:shd w:val="clear" w:color="auto" w:fill="auto"/>
            <w:noWrap/>
            <w:vAlign w:val="bottom"/>
            <w:hideMark/>
          </w:tcPr>
          <w:p w14:paraId="30CFDDF8"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1 740</w:t>
            </w:r>
          </w:p>
        </w:tc>
        <w:tc>
          <w:tcPr>
            <w:tcW w:w="1360" w:type="dxa"/>
            <w:tcBorders>
              <w:top w:val="nil"/>
              <w:left w:val="nil"/>
              <w:bottom w:val="single" w:sz="4" w:space="0" w:color="auto"/>
              <w:right w:val="single" w:sz="4" w:space="0" w:color="auto"/>
            </w:tcBorders>
            <w:shd w:val="clear" w:color="auto" w:fill="auto"/>
            <w:noWrap/>
            <w:vAlign w:val="bottom"/>
            <w:hideMark/>
          </w:tcPr>
          <w:p w14:paraId="318346F1"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2 600</w:t>
            </w:r>
          </w:p>
        </w:tc>
        <w:tc>
          <w:tcPr>
            <w:tcW w:w="1540" w:type="dxa"/>
            <w:tcBorders>
              <w:top w:val="nil"/>
              <w:left w:val="nil"/>
              <w:bottom w:val="single" w:sz="4" w:space="0" w:color="auto"/>
              <w:right w:val="single" w:sz="4" w:space="0" w:color="auto"/>
            </w:tcBorders>
            <w:shd w:val="clear" w:color="auto" w:fill="auto"/>
            <w:noWrap/>
            <w:vAlign w:val="bottom"/>
            <w:hideMark/>
          </w:tcPr>
          <w:p w14:paraId="144548D8"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3</w:t>
            </w:r>
          </w:p>
        </w:tc>
        <w:tc>
          <w:tcPr>
            <w:tcW w:w="1480" w:type="dxa"/>
            <w:tcBorders>
              <w:top w:val="nil"/>
              <w:left w:val="nil"/>
              <w:bottom w:val="single" w:sz="4" w:space="0" w:color="auto"/>
              <w:right w:val="single" w:sz="4" w:space="0" w:color="auto"/>
            </w:tcBorders>
            <w:shd w:val="clear" w:color="auto" w:fill="auto"/>
            <w:noWrap/>
            <w:vAlign w:val="bottom"/>
            <w:hideMark/>
          </w:tcPr>
          <w:p w14:paraId="41085046" w14:textId="77777777" w:rsidR="008617E6" w:rsidRPr="00AE64AA" w:rsidRDefault="008617E6" w:rsidP="007E541C">
            <w:pPr>
              <w:spacing w:after="0"/>
              <w:jc w:val="center"/>
              <w:rPr>
                <w:rFonts w:ascii="Times New Roman" w:hAnsi="Times New Roman"/>
                <w:color w:val="000000"/>
                <w:sz w:val="24"/>
              </w:rPr>
            </w:pPr>
            <w:r w:rsidRPr="00AE64AA">
              <w:rPr>
                <w:rFonts w:ascii="Times New Roman" w:hAnsi="Times New Roman"/>
                <w:color w:val="000000"/>
                <w:sz w:val="24"/>
              </w:rPr>
              <w:t>13</w:t>
            </w:r>
          </w:p>
        </w:tc>
      </w:tr>
      <w:tr w:rsidR="008617E6" w:rsidRPr="00AE64AA" w14:paraId="635FC8C2" w14:textId="77777777" w:rsidTr="00FA66DA">
        <w:trPr>
          <w:trHeight w:val="302"/>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6F94D" w14:textId="77777777" w:rsidR="008617E6" w:rsidRPr="00AE64AA" w:rsidRDefault="008617E6" w:rsidP="00FA66DA">
            <w:pPr>
              <w:spacing w:after="0"/>
              <w:rPr>
                <w:rFonts w:ascii="Times New Roman" w:hAnsi="Times New Roman"/>
                <w:sz w:val="24"/>
              </w:rPr>
            </w:pPr>
            <w:r w:rsidRPr="00AE64AA">
              <w:rPr>
                <w:rFonts w:ascii="Times New Roman" w:hAnsi="Times New Roman"/>
                <w:sz w:val="24"/>
              </w:rPr>
              <w:t>NA LNG</w:t>
            </w:r>
          </w:p>
        </w:tc>
        <w:tc>
          <w:tcPr>
            <w:tcW w:w="1724" w:type="dxa"/>
            <w:tcBorders>
              <w:top w:val="nil"/>
              <w:left w:val="nil"/>
              <w:bottom w:val="single" w:sz="4" w:space="0" w:color="auto"/>
              <w:right w:val="single" w:sz="4" w:space="0" w:color="auto"/>
            </w:tcBorders>
            <w:shd w:val="clear" w:color="auto" w:fill="auto"/>
            <w:noWrap/>
            <w:vAlign w:val="bottom"/>
            <w:hideMark/>
          </w:tcPr>
          <w:p w14:paraId="79E6C9D3" w14:textId="77777777" w:rsidR="008617E6" w:rsidRPr="00AE64AA" w:rsidRDefault="008617E6" w:rsidP="007E541C">
            <w:pPr>
              <w:spacing w:after="0"/>
              <w:jc w:val="center"/>
              <w:rPr>
                <w:rFonts w:ascii="Times New Roman" w:hAnsi="Times New Roman"/>
                <w:sz w:val="24"/>
              </w:rPr>
            </w:pPr>
            <w:r w:rsidRPr="00AE64AA">
              <w:rPr>
                <w:rFonts w:ascii="Times New Roman" w:hAnsi="Times New Roman"/>
                <w:sz w:val="24"/>
              </w:rPr>
              <w:t>6 634</w:t>
            </w:r>
          </w:p>
        </w:tc>
        <w:tc>
          <w:tcPr>
            <w:tcW w:w="1540" w:type="dxa"/>
            <w:tcBorders>
              <w:top w:val="nil"/>
              <w:left w:val="nil"/>
              <w:bottom w:val="single" w:sz="4" w:space="0" w:color="auto"/>
              <w:right w:val="single" w:sz="4" w:space="0" w:color="auto"/>
            </w:tcBorders>
            <w:shd w:val="clear" w:color="auto" w:fill="auto"/>
            <w:noWrap/>
            <w:vAlign w:val="bottom"/>
            <w:hideMark/>
          </w:tcPr>
          <w:p w14:paraId="25D98F1A" w14:textId="77777777" w:rsidR="008617E6" w:rsidRPr="00AE64AA" w:rsidRDefault="008617E6" w:rsidP="007E541C">
            <w:pPr>
              <w:spacing w:after="0"/>
              <w:jc w:val="center"/>
              <w:rPr>
                <w:rFonts w:ascii="Times New Roman" w:hAnsi="Times New Roman"/>
                <w:sz w:val="24"/>
              </w:rPr>
            </w:pPr>
            <w:r w:rsidRPr="00AE64AA">
              <w:rPr>
                <w:rFonts w:ascii="Times New Roman" w:hAnsi="Times New Roman"/>
                <w:sz w:val="24"/>
              </w:rPr>
              <w:t>3 500</w:t>
            </w:r>
          </w:p>
        </w:tc>
        <w:tc>
          <w:tcPr>
            <w:tcW w:w="1360" w:type="dxa"/>
            <w:tcBorders>
              <w:top w:val="nil"/>
              <w:left w:val="nil"/>
              <w:bottom w:val="single" w:sz="4" w:space="0" w:color="auto"/>
              <w:right w:val="single" w:sz="4" w:space="0" w:color="auto"/>
            </w:tcBorders>
            <w:shd w:val="clear" w:color="auto" w:fill="auto"/>
            <w:noWrap/>
            <w:vAlign w:val="bottom"/>
            <w:hideMark/>
          </w:tcPr>
          <w:p w14:paraId="26539E35" w14:textId="77777777" w:rsidR="008617E6" w:rsidRPr="00AE64AA" w:rsidRDefault="008617E6" w:rsidP="007E541C">
            <w:pPr>
              <w:spacing w:after="0"/>
              <w:jc w:val="center"/>
              <w:rPr>
                <w:rFonts w:ascii="Times New Roman" w:hAnsi="Times New Roman"/>
                <w:sz w:val="24"/>
              </w:rPr>
            </w:pPr>
            <w:r w:rsidRPr="00AE64AA">
              <w:rPr>
                <w:rFonts w:ascii="Times New Roman" w:hAnsi="Times New Roman"/>
                <w:sz w:val="24"/>
              </w:rPr>
              <w:t>6 900</w:t>
            </w:r>
          </w:p>
        </w:tc>
        <w:tc>
          <w:tcPr>
            <w:tcW w:w="1540" w:type="dxa"/>
            <w:tcBorders>
              <w:top w:val="nil"/>
              <w:left w:val="nil"/>
              <w:bottom w:val="single" w:sz="4" w:space="0" w:color="auto"/>
              <w:right w:val="single" w:sz="4" w:space="0" w:color="auto"/>
            </w:tcBorders>
            <w:shd w:val="clear" w:color="auto" w:fill="auto"/>
            <w:noWrap/>
            <w:vAlign w:val="bottom"/>
            <w:hideMark/>
          </w:tcPr>
          <w:p w14:paraId="70E90ED9" w14:textId="77777777" w:rsidR="008617E6" w:rsidRPr="00AE64AA" w:rsidRDefault="008617E6" w:rsidP="007E541C">
            <w:pPr>
              <w:spacing w:after="0"/>
              <w:jc w:val="center"/>
              <w:rPr>
                <w:rFonts w:ascii="Times New Roman" w:hAnsi="Times New Roman"/>
                <w:sz w:val="24"/>
              </w:rPr>
            </w:pPr>
            <w:r w:rsidRPr="00AE64AA">
              <w:rPr>
                <w:rFonts w:ascii="Times New Roman" w:hAnsi="Times New Roman"/>
                <w:sz w:val="24"/>
              </w:rPr>
              <w:t>-38</w:t>
            </w:r>
          </w:p>
        </w:tc>
        <w:tc>
          <w:tcPr>
            <w:tcW w:w="1480" w:type="dxa"/>
            <w:tcBorders>
              <w:top w:val="nil"/>
              <w:left w:val="nil"/>
              <w:bottom w:val="single" w:sz="4" w:space="0" w:color="auto"/>
              <w:right w:val="single" w:sz="4" w:space="0" w:color="auto"/>
            </w:tcBorders>
            <w:shd w:val="clear" w:color="auto" w:fill="auto"/>
            <w:noWrap/>
            <w:vAlign w:val="bottom"/>
            <w:hideMark/>
          </w:tcPr>
          <w:p w14:paraId="37EB927E" w14:textId="77777777" w:rsidR="008617E6" w:rsidRPr="00AE64AA" w:rsidRDefault="008617E6" w:rsidP="007E541C">
            <w:pPr>
              <w:spacing w:after="0"/>
              <w:jc w:val="center"/>
              <w:rPr>
                <w:rFonts w:ascii="Times New Roman" w:hAnsi="Times New Roman"/>
                <w:sz w:val="24"/>
              </w:rPr>
            </w:pPr>
            <w:r w:rsidRPr="00AE64AA">
              <w:rPr>
                <w:rFonts w:ascii="Times New Roman" w:hAnsi="Times New Roman"/>
                <w:sz w:val="24"/>
              </w:rPr>
              <w:t>3</w:t>
            </w:r>
          </w:p>
        </w:tc>
      </w:tr>
      <w:tr w:rsidR="008617E6" w:rsidRPr="00AE64AA" w14:paraId="2EE89751" w14:textId="77777777" w:rsidTr="00FA66D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5A446" w14:textId="77777777" w:rsidR="008617E6" w:rsidRPr="00AE64AA" w:rsidRDefault="008617E6" w:rsidP="00FA66DA">
            <w:pPr>
              <w:spacing w:after="0"/>
              <w:rPr>
                <w:rFonts w:ascii="Times New Roman" w:hAnsi="Times New Roman"/>
                <w:b/>
                <w:color w:val="000000"/>
                <w:sz w:val="24"/>
              </w:rPr>
            </w:pPr>
            <w:r w:rsidRPr="00AE64AA">
              <w:rPr>
                <w:rFonts w:ascii="Times New Roman" w:hAnsi="Times New Roman"/>
                <w:b/>
                <w:color w:val="000000"/>
                <w:sz w:val="24"/>
              </w:rPr>
              <w:t>Úspora celkem</w:t>
            </w:r>
          </w:p>
        </w:tc>
        <w:tc>
          <w:tcPr>
            <w:tcW w:w="462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9BFD8E" w14:textId="2CC89708" w:rsidR="008617E6" w:rsidRPr="00AE64AA" w:rsidRDefault="008617E6" w:rsidP="007E541C">
            <w:pPr>
              <w:spacing w:after="0"/>
              <w:jc w:val="center"/>
              <w:rPr>
                <w:rFonts w:ascii="Times New Roman" w:hAnsi="Times New Roman"/>
                <w:color w:val="000000"/>
                <w:sz w:val="24"/>
              </w:rPr>
            </w:pPr>
          </w:p>
        </w:tc>
        <w:tc>
          <w:tcPr>
            <w:tcW w:w="1540" w:type="dxa"/>
            <w:tcBorders>
              <w:top w:val="nil"/>
              <w:left w:val="nil"/>
              <w:bottom w:val="single" w:sz="4" w:space="0" w:color="auto"/>
              <w:right w:val="single" w:sz="4" w:space="0" w:color="auto"/>
            </w:tcBorders>
            <w:shd w:val="clear" w:color="auto" w:fill="auto"/>
            <w:noWrap/>
            <w:vAlign w:val="bottom"/>
            <w:hideMark/>
          </w:tcPr>
          <w:p w14:paraId="605AE842" w14:textId="77777777" w:rsidR="008617E6" w:rsidRPr="00AE64AA" w:rsidRDefault="008617E6" w:rsidP="007E541C">
            <w:pPr>
              <w:spacing w:after="0"/>
              <w:jc w:val="center"/>
              <w:rPr>
                <w:rFonts w:ascii="Times New Roman" w:hAnsi="Times New Roman"/>
                <w:b/>
                <w:bCs/>
                <w:color w:val="000000"/>
                <w:sz w:val="24"/>
              </w:rPr>
            </w:pPr>
            <w:r>
              <w:rPr>
                <w:rFonts w:ascii="Times New Roman" w:hAnsi="Times New Roman"/>
                <w:b/>
                <w:bCs/>
                <w:color w:val="000000"/>
                <w:sz w:val="24"/>
              </w:rPr>
              <w:t>224</w:t>
            </w:r>
          </w:p>
        </w:tc>
        <w:tc>
          <w:tcPr>
            <w:tcW w:w="1480" w:type="dxa"/>
            <w:tcBorders>
              <w:top w:val="nil"/>
              <w:left w:val="nil"/>
              <w:bottom w:val="single" w:sz="4" w:space="0" w:color="auto"/>
              <w:right w:val="single" w:sz="4" w:space="0" w:color="auto"/>
            </w:tcBorders>
            <w:shd w:val="clear" w:color="auto" w:fill="auto"/>
            <w:noWrap/>
            <w:vAlign w:val="bottom"/>
            <w:hideMark/>
          </w:tcPr>
          <w:p w14:paraId="1A8D043F" w14:textId="77777777" w:rsidR="008617E6" w:rsidRPr="00AE64AA" w:rsidRDefault="008617E6" w:rsidP="007E541C">
            <w:pPr>
              <w:spacing w:after="0"/>
              <w:jc w:val="center"/>
              <w:rPr>
                <w:rFonts w:ascii="Times New Roman" w:hAnsi="Times New Roman"/>
                <w:b/>
                <w:bCs/>
                <w:color w:val="000000"/>
                <w:sz w:val="24"/>
              </w:rPr>
            </w:pPr>
            <w:r>
              <w:rPr>
                <w:rFonts w:ascii="Times New Roman" w:hAnsi="Times New Roman"/>
                <w:b/>
                <w:bCs/>
                <w:color w:val="000000"/>
                <w:sz w:val="24"/>
              </w:rPr>
              <w:t>626</w:t>
            </w:r>
          </w:p>
        </w:tc>
      </w:tr>
    </w:tbl>
    <w:p w14:paraId="2A052495" w14:textId="47042376" w:rsidR="00264253" w:rsidRDefault="00264253" w:rsidP="00264253">
      <w:pPr>
        <w:jc w:val="both"/>
        <w:rPr>
          <w:rFonts w:ascii="Times New Roman" w:hAnsi="Times New Roman"/>
        </w:rPr>
      </w:pPr>
      <w:r w:rsidRPr="00826175">
        <w:rPr>
          <w:rFonts w:ascii="Times New Roman" w:hAnsi="Times New Roman"/>
        </w:rPr>
        <w:t xml:space="preserve">*Úspora emisí je vypočítána na základě emisní </w:t>
      </w:r>
      <w:r>
        <w:rPr>
          <w:rFonts w:ascii="Times New Roman" w:hAnsi="Times New Roman"/>
        </w:rPr>
        <w:t>projekce</w:t>
      </w:r>
      <w:r w:rsidRPr="00826175">
        <w:rPr>
          <w:rFonts w:ascii="Times New Roman" w:hAnsi="Times New Roman"/>
        </w:rPr>
        <w:t xml:space="preserve"> NPSE, která zohledňuje předpokládanou struktu</w:t>
      </w:r>
      <w:r>
        <w:rPr>
          <w:rFonts w:ascii="Times New Roman" w:hAnsi="Times New Roman"/>
        </w:rPr>
        <w:t>ru vozového parku v</w:t>
      </w:r>
      <w:r w:rsidR="005A1247">
        <w:rPr>
          <w:rFonts w:ascii="Times New Roman" w:hAnsi="Times New Roman"/>
        </w:rPr>
        <w:t> </w:t>
      </w:r>
      <w:r>
        <w:rPr>
          <w:rFonts w:ascii="Times New Roman" w:hAnsi="Times New Roman"/>
        </w:rPr>
        <w:t>roce 2030 (počet vozidel</w:t>
      </w:r>
      <w:r w:rsidRPr="00826175">
        <w:rPr>
          <w:rFonts w:ascii="Times New Roman" w:hAnsi="Times New Roman"/>
        </w:rPr>
        <w:t xml:space="preserve"> dle druhu používaného paliva a</w:t>
      </w:r>
      <w:r w:rsidR="005A1247">
        <w:rPr>
          <w:rFonts w:ascii="Times New Roman" w:hAnsi="Times New Roman"/>
        </w:rPr>
        <w:t> </w:t>
      </w:r>
      <w:r w:rsidRPr="00826175">
        <w:rPr>
          <w:rFonts w:ascii="Times New Roman" w:hAnsi="Times New Roman"/>
        </w:rPr>
        <w:t>plnění emisních norem EURO</w:t>
      </w:r>
      <w:r>
        <w:rPr>
          <w:rFonts w:ascii="Times New Roman" w:hAnsi="Times New Roman"/>
        </w:rPr>
        <w:t>),</w:t>
      </w:r>
      <w:r w:rsidRPr="00826175">
        <w:rPr>
          <w:rFonts w:ascii="Times New Roman" w:hAnsi="Times New Roman"/>
        </w:rPr>
        <w:t xml:space="preserve"> počet najetých kilometrů dle reálných projezdů vozidel z</w:t>
      </w:r>
      <w:r w:rsidR="005A1247">
        <w:rPr>
          <w:rFonts w:ascii="Times New Roman" w:hAnsi="Times New Roman"/>
        </w:rPr>
        <w:t> </w:t>
      </w:r>
      <w:r w:rsidRPr="00826175">
        <w:rPr>
          <w:rFonts w:ascii="Times New Roman" w:hAnsi="Times New Roman"/>
        </w:rPr>
        <w:t>CIS STK</w:t>
      </w:r>
      <w:r w:rsidRPr="00907CF5">
        <w:rPr>
          <w:rFonts w:ascii="Times New Roman" w:hAnsi="Times New Roman"/>
        </w:rPr>
        <w:t xml:space="preserve"> </w:t>
      </w:r>
      <w:r>
        <w:rPr>
          <w:rFonts w:ascii="Times New Roman" w:hAnsi="Times New Roman"/>
        </w:rPr>
        <w:t>a</w:t>
      </w:r>
      <w:r w:rsidR="005A1247">
        <w:rPr>
          <w:rFonts w:ascii="Times New Roman" w:hAnsi="Times New Roman"/>
        </w:rPr>
        <w:t> </w:t>
      </w:r>
      <w:r>
        <w:rPr>
          <w:rFonts w:ascii="Times New Roman" w:hAnsi="Times New Roman"/>
        </w:rPr>
        <w:t>emisní faktory dle modelu COPERT</w:t>
      </w:r>
      <w:r w:rsidRPr="00826175">
        <w:rPr>
          <w:rFonts w:ascii="Times New Roman" w:hAnsi="Times New Roman"/>
        </w:rPr>
        <w:t>.</w:t>
      </w:r>
      <w:r>
        <w:rPr>
          <w:rFonts w:ascii="Times New Roman" w:hAnsi="Times New Roman"/>
        </w:rPr>
        <w:t xml:space="preserve"> Předpokládá se, že </w:t>
      </w:r>
      <w:r w:rsidRPr="00765FC5">
        <w:rPr>
          <w:rFonts w:ascii="Times New Roman" w:hAnsi="Times New Roman"/>
        </w:rPr>
        <w:t>OA BEV</w:t>
      </w:r>
      <w:r w:rsidRPr="00765FC5">
        <w:t xml:space="preserve"> </w:t>
      </w:r>
      <w:r>
        <w:t>a</w:t>
      </w:r>
      <w:r w:rsidR="005A1247">
        <w:t> </w:t>
      </w:r>
      <w:r w:rsidRPr="00765FC5">
        <w:rPr>
          <w:rFonts w:ascii="Times New Roman" w:hAnsi="Times New Roman"/>
        </w:rPr>
        <w:t>OA H</w:t>
      </w:r>
      <w:r w:rsidRPr="00765FC5">
        <w:rPr>
          <w:rFonts w:ascii="Times New Roman" w:hAnsi="Times New Roman"/>
          <w:vertAlign w:val="subscript"/>
        </w:rPr>
        <w:t>2</w:t>
      </w:r>
      <w:r>
        <w:rPr>
          <w:rFonts w:ascii="Times New Roman" w:hAnsi="Times New Roman"/>
        </w:rPr>
        <w:t xml:space="preserve"> nahradí v</w:t>
      </w:r>
      <w:r w:rsidR="005A1247">
        <w:rPr>
          <w:rFonts w:ascii="Times New Roman" w:hAnsi="Times New Roman"/>
        </w:rPr>
        <w:t> </w:t>
      </w:r>
      <w:r>
        <w:rPr>
          <w:rFonts w:ascii="Times New Roman" w:hAnsi="Times New Roman"/>
        </w:rPr>
        <w:t>90 % případech vozidla EURO 6 a</w:t>
      </w:r>
      <w:r w:rsidR="005A1247">
        <w:rPr>
          <w:rFonts w:ascii="Times New Roman" w:hAnsi="Times New Roman"/>
        </w:rPr>
        <w:t> </w:t>
      </w:r>
      <w:r>
        <w:rPr>
          <w:rFonts w:ascii="Times New Roman" w:hAnsi="Times New Roman"/>
        </w:rPr>
        <w:t>v 10 % vozidla EURO 5, přičemž zastoupení naftových a</w:t>
      </w:r>
      <w:r w:rsidR="005A1247">
        <w:rPr>
          <w:rFonts w:ascii="Times New Roman" w:hAnsi="Times New Roman"/>
        </w:rPr>
        <w:t> </w:t>
      </w:r>
      <w:r>
        <w:rPr>
          <w:rFonts w:ascii="Times New Roman" w:hAnsi="Times New Roman"/>
        </w:rPr>
        <w:t>benzínových vozidel bude stejné. Emise z</w:t>
      </w:r>
      <w:r w:rsidR="005A1247">
        <w:rPr>
          <w:rFonts w:ascii="Times New Roman" w:hAnsi="Times New Roman"/>
        </w:rPr>
        <w:t> </w:t>
      </w:r>
      <w:r>
        <w:rPr>
          <w:rFonts w:ascii="Times New Roman" w:hAnsi="Times New Roman"/>
        </w:rPr>
        <w:t>osobních aut na CNG nejsou vyčísleny, protože se předpokládá, že v</w:t>
      </w:r>
      <w:r w:rsidR="005A1247">
        <w:rPr>
          <w:rFonts w:ascii="Times New Roman" w:hAnsi="Times New Roman"/>
        </w:rPr>
        <w:t> </w:t>
      </w:r>
      <w:r>
        <w:rPr>
          <w:rFonts w:ascii="Times New Roman" w:hAnsi="Times New Roman"/>
        </w:rPr>
        <w:t>případě emisí NO</w:t>
      </w:r>
      <w:r w:rsidRPr="00765FC5">
        <w:rPr>
          <w:rFonts w:ascii="Times New Roman" w:hAnsi="Times New Roman"/>
          <w:vertAlign w:val="subscript"/>
        </w:rPr>
        <w:t>x</w:t>
      </w:r>
      <w:r>
        <w:rPr>
          <w:rFonts w:ascii="Times New Roman" w:hAnsi="Times New Roman"/>
        </w:rPr>
        <w:t xml:space="preserve"> jsou emise CNG vozidel obdobné s</w:t>
      </w:r>
      <w:r w:rsidR="005A1247">
        <w:rPr>
          <w:rFonts w:ascii="Times New Roman" w:hAnsi="Times New Roman"/>
        </w:rPr>
        <w:t> </w:t>
      </w:r>
      <w:r>
        <w:rPr>
          <w:rFonts w:ascii="Times New Roman" w:hAnsi="Times New Roman"/>
        </w:rPr>
        <w:t>klasickými vozidly. Záporná úspora emisí v</w:t>
      </w:r>
      <w:r w:rsidR="005A1247">
        <w:rPr>
          <w:rFonts w:ascii="Times New Roman" w:hAnsi="Times New Roman"/>
        </w:rPr>
        <w:t> </w:t>
      </w:r>
      <w:r>
        <w:rPr>
          <w:rFonts w:ascii="Times New Roman" w:hAnsi="Times New Roman"/>
        </w:rPr>
        <w:t xml:space="preserve">případě nákladních vozidel na LNG je způsobena vyšším předpokládaných počtem provozovaných vozidel dle NPSE. </w:t>
      </w:r>
    </w:p>
    <w:p w14:paraId="4E1FF8EB" w14:textId="7C4D38E7" w:rsidR="00747849" w:rsidRPr="007E541C" w:rsidRDefault="00264253" w:rsidP="00264253">
      <w:pPr>
        <w:jc w:val="both"/>
        <w:rPr>
          <w:rFonts w:cs="Arial"/>
          <w:szCs w:val="22"/>
        </w:rPr>
      </w:pPr>
      <w:r w:rsidRPr="007E541C">
        <w:rPr>
          <w:rFonts w:cs="Arial"/>
          <w:szCs w:val="22"/>
        </w:rPr>
        <w:lastRenderedPageBreak/>
        <w:t>Z uvedené tabulky vyplývá, že při naplnění minimálního počtu vozidel s</w:t>
      </w:r>
      <w:r w:rsidR="005A1247">
        <w:rPr>
          <w:rFonts w:cs="Arial"/>
          <w:szCs w:val="22"/>
        </w:rPr>
        <w:t> </w:t>
      </w:r>
      <w:r w:rsidRPr="007E541C">
        <w:rPr>
          <w:rFonts w:cs="Arial"/>
          <w:szCs w:val="22"/>
        </w:rPr>
        <w:t>alternativním pohonem dle Aktualizace NAP ČM bude dosaženo úspory emisí NO</w:t>
      </w:r>
      <w:r w:rsidRPr="007E541C">
        <w:rPr>
          <w:rFonts w:cs="Arial"/>
          <w:szCs w:val="22"/>
          <w:vertAlign w:val="subscript"/>
        </w:rPr>
        <w:t>x</w:t>
      </w:r>
      <w:r w:rsidR="003721F3" w:rsidRPr="007E541C">
        <w:rPr>
          <w:rFonts w:cs="Arial"/>
          <w:szCs w:val="22"/>
        </w:rPr>
        <w:t xml:space="preserve"> pouze</w:t>
      </w:r>
      <w:r w:rsidRPr="007E541C">
        <w:rPr>
          <w:rFonts w:cs="Arial"/>
          <w:szCs w:val="22"/>
        </w:rPr>
        <w:t xml:space="preserve"> 224 tun ročně. V</w:t>
      </w:r>
      <w:r w:rsidR="005A1247">
        <w:rPr>
          <w:rFonts w:cs="Arial"/>
          <w:szCs w:val="22"/>
        </w:rPr>
        <w:t> </w:t>
      </w:r>
      <w:r w:rsidRPr="007E541C">
        <w:rPr>
          <w:rFonts w:cs="Arial"/>
          <w:szCs w:val="22"/>
        </w:rPr>
        <w:t>případě naplnění maximálního předpokládaného počtu vozidel bude dosaženo úspory emisí NO</w:t>
      </w:r>
      <w:r w:rsidRPr="007E541C">
        <w:rPr>
          <w:rFonts w:cs="Arial"/>
          <w:szCs w:val="22"/>
          <w:vertAlign w:val="subscript"/>
        </w:rPr>
        <w:t>x</w:t>
      </w:r>
      <w:r w:rsidR="003721F3" w:rsidRPr="007E541C">
        <w:rPr>
          <w:rFonts w:cs="Arial"/>
          <w:szCs w:val="22"/>
        </w:rPr>
        <w:t xml:space="preserve"> </w:t>
      </w:r>
      <w:r w:rsidRPr="007E541C">
        <w:rPr>
          <w:rFonts w:cs="Arial"/>
          <w:szCs w:val="22"/>
        </w:rPr>
        <w:t>cca 0,6 kt. Samotný NAP ČM tak nezajistí požadované snížení emisí NOx o</w:t>
      </w:r>
      <w:r w:rsidR="005A1247">
        <w:rPr>
          <w:rFonts w:cs="Arial"/>
          <w:szCs w:val="22"/>
        </w:rPr>
        <w:t> </w:t>
      </w:r>
      <w:r w:rsidRPr="007E541C">
        <w:rPr>
          <w:rFonts w:cs="Arial"/>
          <w:szCs w:val="22"/>
        </w:rPr>
        <w:t xml:space="preserve">5 kt. </w:t>
      </w:r>
      <w:r w:rsidR="003721F3" w:rsidRPr="007E541C">
        <w:rPr>
          <w:rFonts w:cs="Arial"/>
          <w:szCs w:val="22"/>
        </w:rPr>
        <w:t>Vzhledem k</w:t>
      </w:r>
      <w:r w:rsidR="005A1247">
        <w:rPr>
          <w:rFonts w:cs="Arial"/>
          <w:szCs w:val="22"/>
        </w:rPr>
        <w:t> </w:t>
      </w:r>
      <w:r w:rsidR="003721F3" w:rsidRPr="007E541C">
        <w:rPr>
          <w:rFonts w:cs="Arial"/>
          <w:szCs w:val="22"/>
        </w:rPr>
        <w:t>tomu, že ČR je tranzitní zemí, může ve skutečnosti hlavní cíl NAP CM, tj. zavedení infrastruktury pro alternativní paliva, snížit tyto emise ve větším měřítku</w:t>
      </w:r>
      <w:r w:rsidR="0011643B" w:rsidRPr="007E541C">
        <w:rPr>
          <w:rFonts w:cs="Arial"/>
          <w:szCs w:val="22"/>
        </w:rPr>
        <w:t>, protože zahraniční dopravci se podílí více jak 50 % na přepravních výkonech u</w:t>
      </w:r>
      <w:r w:rsidR="005A1247">
        <w:rPr>
          <w:rFonts w:cs="Arial"/>
          <w:szCs w:val="22"/>
        </w:rPr>
        <w:t> </w:t>
      </w:r>
      <w:r w:rsidR="0011643B" w:rsidRPr="007E541C">
        <w:rPr>
          <w:rFonts w:cs="Arial"/>
          <w:szCs w:val="22"/>
        </w:rPr>
        <w:t>nás. Vzhledem k</w:t>
      </w:r>
      <w:r w:rsidR="005A1247">
        <w:rPr>
          <w:rFonts w:cs="Arial"/>
          <w:szCs w:val="22"/>
        </w:rPr>
        <w:t> </w:t>
      </w:r>
      <w:r w:rsidR="0011643B" w:rsidRPr="007E541C">
        <w:rPr>
          <w:rFonts w:cs="Arial"/>
          <w:szCs w:val="22"/>
        </w:rPr>
        <w:t>nastaveným sazbám mýtného, které přispívají k</w:t>
      </w:r>
      <w:r w:rsidR="005A1247">
        <w:rPr>
          <w:rFonts w:cs="Arial"/>
          <w:szCs w:val="22"/>
        </w:rPr>
        <w:t> </w:t>
      </w:r>
      <w:r w:rsidR="0011643B" w:rsidRPr="007E541C">
        <w:rPr>
          <w:rFonts w:cs="Arial"/>
          <w:szCs w:val="22"/>
        </w:rPr>
        <w:t>navyšování počtu vozidel plnící nejnovější emisní normy EURO, lze očekávat výrazné zastoupení vozidel využívající LNG a</w:t>
      </w:r>
      <w:r w:rsidR="005A1247">
        <w:rPr>
          <w:rFonts w:cs="Arial"/>
          <w:szCs w:val="22"/>
        </w:rPr>
        <w:t> </w:t>
      </w:r>
      <w:r w:rsidR="0011643B" w:rsidRPr="007E541C">
        <w:rPr>
          <w:rFonts w:cs="Arial"/>
          <w:szCs w:val="22"/>
        </w:rPr>
        <w:t>výhledově vodík zejména u</w:t>
      </w:r>
      <w:r w:rsidR="005A1247">
        <w:rPr>
          <w:rFonts w:cs="Arial"/>
          <w:szCs w:val="22"/>
        </w:rPr>
        <w:t> </w:t>
      </w:r>
      <w:r w:rsidR="0011643B" w:rsidRPr="007E541C">
        <w:rPr>
          <w:rFonts w:cs="Arial"/>
          <w:szCs w:val="22"/>
        </w:rPr>
        <w:t>kamionové dopravy. To by mělo přispět ke snižování emisí NOx u</w:t>
      </w:r>
      <w:r w:rsidR="005A1247">
        <w:rPr>
          <w:rFonts w:cs="Arial"/>
          <w:szCs w:val="22"/>
        </w:rPr>
        <w:t> </w:t>
      </w:r>
      <w:r w:rsidR="0011643B" w:rsidRPr="007E541C">
        <w:rPr>
          <w:rFonts w:cs="Arial"/>
          <w:szCs w:val="22"/>
        </w:rPr>
        <w:t>nás. Pro rok 2030 je odhadováno pro EU, že bude v</w:t>
      </w:r>
      <w:r w:rsidR="005A1247">
        <w:rPr>
          <w:rFonts w:cs="Arial"/>
          <w:szCs w:val="22"/>
        </w:rPr>
        <w:t> </w:t>
      </w:r>
      <w:r w:rsidR="0011643B" w:rsidRPr="007E541C">
        <w:rPr>
          <w:rFonts w:cs="Arial"/>
          <w:szCs w:val="22"/>
        </w:rPr>
        <w:t>provozu až 280 tis. kamionů využívajících LNG. U</w:t>
      </w:r>
      <w:r w:rsidR="005A1247">
        <w:rPr>
          <w:rFonts w:cs="Arial"/>
          <w:szCs w:val="22"/>
        </w:rPr>
        <w:t> </w:t>
      </w:r>
      <w:r w:rsidR="0011643B" w:rsidRPr="007E541C">
        <w:rPr>
          <w:rFonts w:cs="Arial"/>
          <w:szCs w:val="22"/>
        </w:rPr>
        <w:t>vodíkových kamionů je odhad až 45 tis. těchto vozidel v</w:t>
      </w:r>
      <w:r w:rsidR="005A1247">
        <w:rPr>
          <w:rFonts w:cs="Arial"/>
          <w:szCs w:val="22"/>
        </w:rPr>
        <w:t> </w:t>
      </w:r>
      <w:r w:rsidR="0011643B" w:rsidRPr="007E541C">
        <w:rPr>
          <w:rFonts w:cs="Arial"/>
          <w:szCs w:val="22"/>
        </w:rPr>
        <w:t>provozu v</w:t>
      </w:r>
      <w:r w:rsidR="005A1247">
        <w:rPr>
          <w:rFonts w:cs="Arial"/>
          <w:szCs w:val="22"/>
        </w:rPr>
        <w:t> </w:t>
      </w:r>
      <w:r w:rsidR="0011643B" w:rsidRPr="007E541C">
        <w:rPr>
          <w:rFonts w:cs="Arial"/>
          <w:szCs w:val="22"/>
        </w:rPr>
        <w:t>roce 2030.</w:t>
      </w:r>
    </w:p>
    <w:p w14:paraId="775243EF" w14:textId="77777777" w:rsidR="00264253" w:rsidRDefault="00264253" w:rsidP="00BB2018"/>
    <w:p w14:paraId="304C95B8" w14:textId="77777777" w:rsidR="007E541C" w:rsidRDefault="007E541C" w:rsidP="00BB2018"/>
    <w:p w14:paraId="051892EF" w14:textId="77777777" w:rsidR="007E541C" w:rsidRDefault="007E541C" w:rsidP="00BB2018"/>
    <w:p w14:paraId="1AC97B32" w14:textId="77777777" w:rsidR="007E541C" w:rsidRDefault="007E541C" w:rsidP="00BB2018"/>
    <w:p w14:paraId="3E87F29F" w14:textId="77777777" w:rsidR="007E541C" w:rsidRDefault="007E541C" w:rsidP="00BB2018"/>
    <w:p w14:paraId="0073A637" w14:textId="77777777" w:rsidR="007E541C" w:rsidRDefault="007E541C" w:rsidP="00BB2018"/>
    <w:p w14:paraId="6FBC4765" w14:textId="77777777" w:rsidR="007E541C" w:rsidRDefault="007E541C" w:rsidP="00BB2018"/>
    <w:p w14:paraId="250BEF78" w14:textId="77777777" w:rsidR="007E541C" w:rsidRDefault="007E541C" w:rsidP="00BB2018"/>
    <w:p w14:paraId="55EEA4AF" w14:textId="77777777" w:rsidR="007E541C" w:rsidRDefault="007E541C" w:rsidP="00BB2018"/>
    <w:p w14:paraId="3F30C276" w14:textId="77777777" w:rsidR="007E541C" w:rsidRDefault="007E541C" w:rsidP="00BB2018"/>
    <w:p w14:paraId="4CA1107E" w14:textId="77777777" w:rsidR="007E541C" w:rsidRDefault="007E541C" w:rsidP="00BB2018"/>
    <w:p w14:paraId="5A0293A1" w14:textId="77777777" w:rsidR="007E541C" w:rsidRDefault="007E541C" w:rsidP="00BB2018"/>
    <w:p w14:paraId="2FE669DF" w14:textId="77777777" w:rsidR="007E541C" w:rsidRDefault="007E541C" w:rsidP="00BB2018"/>
    <w:p w14:paraId="35785672" w14:textId="77777777" w:rsidR="007E541C" w:rsidRDefault="007E541C" w:rsidP="00BB2018"/>
    <w:p w14:paraId="6499235C" w14:textId="77777777" w:rsidR="007E541C" w:rsidRDefault="007E541C" w:rsidP="00BB2018"/>
    <w:p w14:paraId="61EE795B" w14:textId="77777777" w:rsidR="007E541C" w:rsidRDefault="007E541C" w:rsidP="00BB2018"/>
    <w:p w14:paraId="14B27858" w14:textId="77777777" w:rsidR="007E541C" w:rsidRDefault="007E541C" w:rsidP="00BB2018"/>
    <w:p w14:paraId="1DBF8B1B" w14:textId="77777777" w:rsidR="007E541C" w:rsidRDefault="007E541C" w:rsidP="00BB2018"/>
    <w:p w14:paraId="58485B0E" w14:textId="77777777" w:rsidR="007E541C" w:rsidRDefault="007E541C" w:rsidP="00BB2018"/>
    <w:p w14:paraId="6ADA1687" w14:textId="77777777" w:rsidR="007E541C" w:rsidRDefault="007E541C" w:rsidP="00BB2018"/>
    <w:p w14:paraId="34E2C8F7" w14:textId="77777777" w:rsidR="007E541C" w:rsidRDefault="007E541C" w:rsidP="00BB2018"/>
    <w:p w14:paraId="3D481294" w14:textId="77777777" w:rsidR="00BA24BB" w:rsidRPr="00BB2018" w:rsidRDefault="00BA24BB" w:rsidP="00BB2018"/>
    <w:p w14:paraId="10FD81F3" w14:textId="6D10545B" w:rsidR="00A0449C" w:rsidRPr="00A0449C" w:rsidRDefault="00A0449C" w:rsidP="009A3B7E">
      <w:pPr>
        <w:pStyle w:val="Nadpis1"/>
        <w:jc w:val="both"/>
      </w:pPr>
      <w:bookmarkStart w:id="13" w:name="_Toc34387130"/>
      <w:r w:rsidRPr="00A0449C">
        <w:lastRenderedPageBreak/>
        <w:t>Elektromobilita</w:t>
      </w:r>
      <w:r w:rsidR="00236D49">
        <w:t xml:space="preserve"> v</w:t>
      </w:r>
      <w:r w:rsidR="005A1247">
        <w:t> </w:t>
      </w:r>
      <w:r w:rsidR="00236D49">
        <w:t>silniční dopravě</w:t>
      </w:r>
      <w:bookmarkEnd w:id="13"/>
    </w:p>
    <w:p w14:paraId="686EF402" w14:textId="77777777" w:rsidR="00A0449C" w:rsidRPr="00CA20DD" w:rsidRDefault="00A0449C" w:rsidP="009A3B7E">
      <w:pPr>
        <w:pStyle w:val="Nadpis2"/>
        <w:jc w:val="both"/>
      </w:pPr>
      <w:bookmarkStart w:id="14" w:name="_Toc34387131"/>
      <w:bookmarkEnd w:id="0"/>
      <w:bookmarkEnd w:id="1"/>
      <w:r w:rsidRPr="00CA20DD">
        <w:t>Východiska</w:t>
      </w:r>
      <w:bookmarkEnd w:id="14"/>
    </w:p>
    <w:p w14:paraId="0393DB6E" w14:textId="78305298" w:rsidR="00BD4010" w:rsidRDefault="00A0449C" w:rsidP="008A5BC8">
      <w:pPr>
        <w:jc w:val="both"/>
      </w:pPr>
      <w:r>
        <w:t>Východiskem kapitoly elektromobilita v</w:t>
      </w:r>
      <w:r w:rsidR="005A1247">
        <w:t> </w:t>
      </w:r>
      <w:r>
        <w:t>rámci aktualizovaného Národního akčního plánu je vyhodnocení aktuálního stavu rozvoje elektromobility v</w:t>
      </w:r>
      <w:r w:rsidR="005A1247">
        <w:t> </w:t>
      </w:r>
      <w:r>
        <w:t>ČR a</w:t>
      </w:r>
      <w:r w:rsidR="005A1247">
        <w:t> </w:t>
      </w:r>
      <w:r>
        <w:t>plnění cílů a</w:t>
      </w:r>
      <w:r w:rsidR="005A1247">
        <w:t> </w:t>
      </w:r>
      <w:r>
        <w:t>opatření předchozí verze NAP CM.</w:t>
      </w:r>
    </w:p>
    <w:p w14:paraId="5A55B13F" w14:textId="6D4888E7" w:rsidR="00BD4010" w:rsidRDefault="00BD4010" w:rsidP="008A5BC8">
      <w:pPr>
        <w:jc w:val="both"/>
      </w:pPr>
      <w:r>
        <w:t>Kromě informací uvedených v</w:t>
      </w:r>
      <w:r w:rsidR="005A1247">
        <w:t> </w:t>
      </w:r>
      <w:r>
        <w:t xml:space="preserve">této části </w:t>
      </w:r>
      <w:r w:rsidR="00F24F63">
        <w:t xml:space="preserve">dokumentu </w:t>
      </w:r>
      <w:r>
        <w:t>jsou podrobnější informace uvedeny v</w:t>
      </w:r>
      <w:r w:rsidR="005A1247">
        <w:t> </w:t>
      </w:r>
      <w:r>
        <w:t>rámci analytického materiálu</w:t>
      </w:r>
      <w:r w:rsidR="004E6087">
        <w:t>.</w:t>
      </w:r>
    </w:p>
    <w:p w14:paraId="247DB71F" w14:textId="1C17D00B" w:rsidR="00A0449C" w:rsidRDefault="00A0449C" w:rsidP="008A5BC8">
      <w:pPr>
        <w:jc w:val="both"/>
      </w:pPr>
      <w:r>
        <w:t>Aktuální prodeje vozidel a</w:t>
      </w:r>
      <w:r w:rsidR="005A1247">
        <w:t> </w:t>
      </w:r>
      <w:r>
        <w:t>stav vozového parku ukazují, že trh se oproti predikci z</w:t>
      </w:r>
      <w:r w:rsidR="005A1247">
        <w:t> </w:t>
      </w:r>
      <w:r>
        <w:t>NAP CM opožďuje, nicméně v</w:t>
      </w:r>
      <w:r w:rsidR="005A1247">
        <w:t> </w:t>
      </w:r>
      <w:r>
        <w:t>dlouhodob</w:t>
      </w:r>
      <w:r w:rsidR="001C1498">
        <w:t xml:space="preserve">ém </w:t>
      </w:r>
      <w:r>
        <w:t>horizontu lze předpokládat projevení efektu přísnějších emisních limitů pro výrobce vozidel, který by měl trajektorii růstu počtu vozidel výrazně ovlivnit. Kromě rozvoje elektromobility v</w:t>
      </w:r>
      <w:r w:rsidR="005A1247">
        <w:t> </w:t>
      </w:r>
      <w:r>
        <w:t xml:space="preserve">osobní </w:t>
      </w:r>
      <w:r w:rsidRPr="00D00D8D">
        <w:t xml:space="preserve">dopravě </w:t>
      </w:r>
      <w:r w:rsidR="00D00D8D" w:rsidRPr="00D00D8D">
        <w:t xml:space="preserve">(všech typů pohonů (mild-hybrid, full hybrid (FHEV), plug-in hybrid (PHEV), battery electric vehicle (BEV)) </w:t>
      </w:r>
      <w:r w:rsidRPr="00D00D8D">
        <w:t>roste i</w:t>
      </w:r>
      <w:r w:rsidR="005A1247">
        <w:t> </w:t>
      </w:r>
      <w:r w:rsidRPr="00D00D8D">
        <w:t>počet</w:t>
      </w:r>
      <w:r>
        <w:t xml:space="preserve"> provozovaných elektrobusů.</w:t>
      </w:r>
    </w:p>
    <w:p w14:paraId="46CDF3ED" w14:textId="308FBB99" w:rsidR="003F703A" w:rsidRPr="009368B7" w:rsidRDefault="003F703A" w:rsidP="003F703A">
      <w:pPr>
        <w:jc w:val="both"/>
      </w:pPr>
      <w:r>
        <w:t>Je třeba vzít v</w:t>
      </w:r>
      <w:r w:rsidR="005A1247">
        <w:t> </w:t>
      </w:r>
      <w:r>
        <w:t>potaz, že v</w:t>
      </w:r>
      <w:r w:rsidR="005A1247">
        <w:t> </w:t>
      </w:r>
      <w:r>
        <w:t>letech 2020-2025 bude hybridní technologie tou, která pro toto období bude zajišťovat stanovené cíle, a</w:t>
      </w:r>
      <w:r w:rsidR="005A1247">
        <w:t> </w:t>
      </w:r>
      <w:r>
        <w:t>to bez potřeby investic do infrastruktury. Vzhledem k</w:t>
      </w:r>
      <w:r w:rsidR="005A1247">
        <w:t> </w:t>
      </w:r>
      <w:r>
        <w:t>současným cenám FHEV tato kategorie vozidel i</w:t>
      </w:r>
      <w:r w:rsidR="005A1247">
        <w:t> </w:t>
      </w:r>
      <w:r>
        <w:t>bez dotačních či daňových podpor zaznamenává výrazný nárůst prodejů právě z</w:t>
      </w:r>
      <w:r w:rsidR="005A1247">
        <w:t> </w:t>
      </w:r>
      <w:r>
        <w:t>důvodu nezávislosti na dobíjecí infrastruktuře. V</w:t>
      </w:r>
      <w:r w:rsidR="005A1247">
        <w:t> </w:t>
      </w:r>
      <w:r>
        <w:t>návaznosti na Směrnici EP a</w:t>
      </w:r>
      <w:r w:rsidR="005A1247">
        <w:t> </w:t>
      </w:r>
      <w:r>
        <w:t>Rady</w:t>
      </w:r>
      <w:r w:rsidRPr="00F25B90">
        <w:t xml:space="preserve"> (EU) 2019/1161 ze dne 20. června 2019, kterou se mění směrnice 2009/33/ES o</w:t>
      </w:r>
      <w:r w:rsidR="005A1247">
        <w:t> </w:t>
      </w:r>
      <w:r w:rsidRPr="00F25B90">
        <w:t>podpoře čistých a</w:t>
      </w:r>
      <w:r w:rsidR="005A1247">
        <w:t> </w:t>
      </w:r>
      <w:r w:rsidRPr="00F25B90">
        <w:t>energeticky účinných silničních vozidel</w:t>
      </w:r>
      <w:r>
        <w:t>, která definuje požadavky na veřejné zadavatele při pořizování nových vozidel, jsou definována čistá vozidla určitým limitem CO</w:t>
      </w:r>
      <w:r>
        <w:rPr>
          <w:vertAlign w:val="subscript"/>
        </w:rPr>
        <w:t>2</w:t>
      </w:r>
      <w:r>
        <w:t>. Z</w:t>
      </w:r>
      <w:r w:rsidR="005A1247">
        <w:t> </w:t>
      </w:r>
      <w:r>
        <w:t>tohoto důvodu budou prioritně podporovány nákupy vozidel splňující požadavky této směrnice. Po přechodné obd</w:t>
      </w:r>
      <w:r w:rsidR="00037994">
        <w:t>obí uvažujeme i</w:t>
      </w:r>
      <w:r w:rsidR="005A1247">
        <w:t> </w:t>
      </w:r>
      <w:r w:rsidR="00037994">
        <w:t>o podpoře FHEV</w:t>
      </w:r>
      <w:r>
        <w:t xml:space="preserve"> zejména prostřednictvím NPŽP, který je zaměřen na podporu obcí a</w:t>
      </w:r>
      <w:r w:rsidR="005A1247">
        <w:t> </w:t>
      </w:r>
      <w:r>
        <w:t xml:space="preserve">krajů při pořizování nových vozidel. </w:t>
      </w:r>
    </w:p>
    <w:p w14:paraId="4202F3C6" w14:textId="2C4B4CEC" w:rsidR="003F703A" w:rsidRDefault="00A0449C" w:rsidP="003F703A">
      <w:pPr>
        <w:jc w:val="both"/>
      </w:pPr>
      <w:r>
        <w:t>V oblasti dobíjecí infrastruktury lze konstatovat, že v</w:t>
      </w:r>
      <w:r w:rsidR="005A1247">
        <w:t> </w:t>
      </w:r>
      <w:r>
        <w:t>ČR počet veřejných dobíjecích bodů narůstá zejména díky stimulaci veřejnou podporou</w:t>
      </w:r>
      <w:r w:rsidR="00186DE0">
        <w:t>.</w:t>
      </w:r>
      <w:r>
        <w:t xml:space="preserve"> Instalovány jsou ale i</w:t>
      </w:r>
      <w:r w:rsidR="005A1247">
        <w:t> </w:t>
      </w:r>
      <w:r>
        <w:t>dobíjecí stanice financované soukromými zdroji. Je nastaven mechanismus evidence dobíjecích stanic a</w:t>
      </w:r>
      <w:r w:rsidR="005A1247">
        <w:t> </w:t>
      </w:r>
      <w:r>
        <w:t>požadavky směrnice o</w:t>
      </w:r>
      <w:r w:rsidR="005A1247">
        <w:t> </w:t>
      </w:r>
      <w:r>
        <w:t>zavádění infrastruktury pro alternativní paliva byly implementovány do české legislativy. Rezervy lze identifikovat zejména v</w:t>
      </w:r>
      <w:r w:rsidR="005A1247">
        <w:t> </w:t>
      </w:r>
      <w:r>
        <w:t xml:space="preserve">oblasti </w:t>
      </w:r>
      <w:r w:rsidR="00FD5746">
        <w:t xml:space="preserve">analýzy </w:t>
      </w:r>
      <w:r>
        <w:t>sběru dat a</w:t>
      </w:r>
      <w:r w:rsidR="005A1247">
        <w:t> </w:t>
      </w:r>
      <w:r>
        <w:t>jejich sdílení</w:t>
      </w:r>
      <w:r w:rsidR="001C1498">
        <w:t>.</w:t>
      </w:r>
      <w:r w:rsidR="003F703A" w:rsidRPr="003F703A">
        <w:t xml:space="preserve"> </w:t>
      </w:r>
    </w:p>
    <w:p w14:paraId="05E6F60F" w14:textId="3163B359" w:rsidR="00A0449C" w:rsidRDefault="00A0449C" w:rsidP="008A5BC8">
      <w:pPr>
        <w:jc w:val="both"/>
      </w:pPr>
    </w:p>
    <w:p w14:paraId="087A501B" w14:textId="149ABBBE" w:rsidR="00A0449C" w:rsidRDefault="00A0449C" w:rsidP="008A5BC8">
      <w:pPr>
        <w:jc w:val="both"/>
      </w:pPr>
      <w:r>
        <w:t>Z pohledu regulatorního rámce jsou základní vztahy a</w:t>
      </w:r>
      <w:r w:rsidR="005A1247">
        <w:t> </w:t>
      </w:r>
      <w:r>
        <w:t>vazby v</w:t>
      </w:r>
      <w:r w:rsidR="005A1247">
        <w:t> </w:t>
      </w:r>
      <w:r>
        <w:t>české legislativě nastaveny zejména zákon o</w:t>
      </w:r>
      <w:r w:rsidR="005A1247">
        <w:t> </w:t>
      </w:r>
      <w:r w:rsidR="008341B9">
        <w:t>pohonných hmotách (PHM)</w:t>
      </w:r>
      <w:r w:rsidR="00C36257">
        <w:t xml:space="preserve"> nebo</w:t>
      </w:r>
      <w:r>
        <w:t xml:space="preserve"> energetický zákon, další legislativa s</w:t>
      </w:r>
      <w:r w:rsidR="005A1247">
        <w:t> </w:t>
      </w:r>
      <w:r>
        <w:t>rozvojem elektromobility velmi úzce souvisí, např.</w:t>
      </w:r>
      <w:r w:rsidR="00837979">
        <w:t xml:space="preserve"> </w:t>
      </w:r>
      <w:r w:rsidR="00646392">
        <w:t>stavební zákon</w:t>
      </w:r>
      <w:r w:rsidR="007E541C">
        <w:t xml:space="preserve"> </w:t>
      </w:r>
      <w:r w:rsidR="00646392">
        <w:t>a</w:t>
      </w:r>
      <w:r w:rsidR="005A1247">
        <w:t> </w:t>
      </w:r>
      <w:r w:rsidR="00FD5746">
        <w:t xml:space="preserve">zdlouhavé </w:t>
      </w:r>
      <w:r w:rsidR="00646392">
        <w:t>povolovací procesy a</w:t>
      </w:r>
      <w:r w:rsidR="005A1247">
        <w:t> </w:t>
      </w:r>
      <w:r w:rsidR="00646392">
        <w:t>jejich řetězení jsou jednou z</w:t>
      </w:r>
      <w:r w:rsidR="005A1247">
        <w:t> </w:t>
      </w:r>
      <w:r w:rsidR="00646392">
        <w:t>bariér rychlejšího rozvoje dobíjecí infrastruktury.</w:t>
      </w:r>
    </w:p>
    <w:p w14:paraId="575FC731" w14:textId="30F08117" w:rsidR="00A0449C" w:rsidRDefault="00A0449C" w:rsidP="008A5BC8">
      <w:pPr>
        <w:jc w:val="both"/>
      </w:pPr>
      <w:r>
        <w:t>Hlavními zdroji pro financování elektromobility jsou</w:t>
      </w:r>
      <w:r w:rsidR="00C36257">
        <w:t xml:space="preserve"> a</w:t>
      </w:r>
      <w:r w:rsidR="005A1247">
        <w:t> </w:t>
      </w:r>
      <w:r w:rsidR="00C36257">
        <w:t>nadále</w:t>
      </w:r>
      <w:r w:rsidR="005A6D54">
        <w:t xml:space="preserve"> </w:t>
      </w:r>
      <w:r w:rsidR="003C7D3E">
        <w:t>budou</w:t>
      </w:r>
      <w:r>
        <w:t xml:space="preserve"> </w:t>
      </w:r>
      <w:r w:rsidR="004B5BE8">
        <w:t xml:space="preserve">evropské fondy (viz </w:t>
      </w:r>
      <w:r>
        <w:t>OPD, OPPIK</w:t>
      </w:r>
      <w:r w:rsidR="003C7D3E">
        <w:t xml:space="preserve"> (po roce 2020 </w:t>
      </w:r>
      <w:r w:rsidR="00042582">
        <w:t>OP TAK)</w:t>
      </w:r>
      <w:r>
        <w:t>, IROP</w:t>
      </w:r>
      <w:r w:rsidR="004B5BE8">
        <w:t xml:space="preserve">, </w:t>
      </w:r>
      <w:r w:rsidR="0075174B">
        <w:t>N</w:t>
      </w:r>
      <w:r w:rsidR="004B5BE8">
        <w:t xml:space="preserve">árodní program </w:t>
      </w:r>
      <w:r w:rsidR="009B7A39">
        <w:t>Ž</w:t>
      </w:r>
      <w:r w:rsidR="004B5BE8">
        <w:t xml:space="preserve">ivotní prostředí </w:t>
      </w:r>
      <w:r>
        <w:t>a</w:t>
      </w:r>
      <w:r w:rsidR="005A1247">
        <w:t> </w:t>
      </w:r>
      <w:r w:rsidR="004B5BE8">
        <w:t xml:space="preserve">příslušné národní </w:t>
      </w:r>
      <w:r>
        <w:t>programy podporující výzkum a</w:t>
      </w:r>
      <w:r w:rsidR="005A1247">
        <w:t> </w:t>
      </w:r>
      <w:r>
        <w:t>vývoj (TA</w:t>
      </w:r>
      <w:r w:rsidR="00FA66DA">
        <w:t xml:space="preserve"> </w:t>
      </w:r>
      <w:r>
        <w:t>ČR, případně další).</w:t>
      </w:r>
    </w:p>
    <w:p w14:paraId="10698329" w14:textId="4A00AD01" w:rsidR="004341A1" w:rsidRPr="002D2178" w:rsidRDefault="004341A1" w:rsidP="009A3B7E">
      <w:pPr>
        <w:pStyle w:val="Nadpis2"/>
        <w:jc w:val="both"/>
      </w:pPr>
      <w:bookmarkStart w:id="15" w:name="_Toc12540110"/>
      <w:bookmarkStart w:id="16" w:name="_Toc19792302"/>
      <w:bookmarkStart w:id="17" w:name="_Toc34387132"/>
      <w:r w:rsidRPr="002D2178">
        <w:t>Provázání s</w:t>
      </w:r>
      <w:r w:rsidR="005A1247">
        <w:t> </w:t>
      </w:r>
      <w:r w:rsidRPr="002D2178">
        <w:t>jinými strategickými dokumenty a</w:t>
      </w:r>
      <w:r w:rsidR="005A1247">
        <w:t> </w:t>
      </w:r>
      <w:r w:rsidRPr="002D2178">
        <w:t>strategiemi specifickými pro oblast elektromobility</w:t>
      </w:r>
      <w:bookmarkEnd w:id="15"/>
      <w:bookmarkEnd w:id="16"/>
      <w:bookmarkEnd w:id="17"/>
    </w:p>
    <w:p w14:paraId="3AD98600" w14:textId="77777777" w:rsidR="004341A1" w:rsidRPr="0075371B" w:rsidRDefault="004341A1" w:rsidP="0075371B">
      <w:pPr>
        <w:pStyle w:val="Nadpis3"/>
      </w:pPr>
      <w:bookmarkStart w:id="18" w:name="_Toc12540111"/>
      <w:bookmarkStart w:id="19" w:name="_Toc19792303"/>
      <w:r w:rsidRPr="0075371B">
        <w:t>Národní akční plán pro chytré sítě (NAP SG</w:t>
      </w:r>
      <w:bookmarkEnd w:id="18"/>
      <w:r w:rsidRPr="0075371B">
        <w:t>)</w:t>
      </w:r>
      <w:bookmarkEnd w:id="19"/>
    </w:p>
    <w:p w14:paraId="45F67A21" w14:textId="65D39C9D" w:rsidR="004341A1" w:rsidRPr="002B4975" w:rsidRDefault="004341A1" w:rsidP="009A3B7E">
      <w:pPr>
        <w:jc w:val="both"/>
      </w:pPr>
      <w:r w:rsidRPr="002B4975">
        <w:t>NAP CM se v</w:t>
      </w:r>
      <w:r w:rsidR="005A1247">
        <w:t> </w:t>
      </w:r>
      <w:r w:rsidRPr="002B4975">
        <w:t>mnoha oblastech prolíná s</w:t>
      </w:r>
      <w:r w:rsidR="005A1247">
        <w:t> </w:t>
      </w:r>
      <w:r w:rsidRPr="00F27AF0">
        <w:t>agendou, kterou řeší NAP SG</w:t>
      </w:r>
      <w:r w:rsidRPr="002B4975">
        <w:t>, zejména v</w:t>
      </w:r>
      <w:r w:rsidR="005A1247">
        <w:t> </w:t>
      </w:r>
      <w:r w:rsidRPr="002B4975">
        <w:t>oblastech:</w:t>
      </w:r>
    </w:p>
    <w:p w14:paraId="1BB80C72" w14:textId="77777777" w:rsidR="004341A1" w:rsidRPr="002B4975" w:rsidRDefault="004341A1" w:rsidP="009A3B7E">
      <w:pPr>
        <w:pStyle w:val="Odrka1"/>
        <w:jc w:val="both"/>
      </w:pPr>
      <w:r w:rsidRPr="002B4975">
        <w:t xml:space="preserve">Připojení dobíjecích stanic do elektrizační soustavy </w:t>
      </w:r>
    </w:p>
    <w:p w14:paraId="7EC23DB0" w14:textId="77777777" w:rsidR="004341A1" w:rsidRDefault="004341A1" w:rsidP="009A3B7E">
      <w:pPr>
        <w:pStyle w:val="Odrka1"/>
        <w:jc w:val="both"/>
      </w:pPr>
      <w:r w:rsidRPr="002B4975">
        <w:lastRenderedPageBreak/>
        <w:t>Provozování dobíjecí stanice (vazba na pravidla provozo</w:t>
      </w:r>
      <w:r>
        <w:t>vání</w:t>
      </w:r>
      <w:r w:rsidRPr="002B4975">
        <w:t xml:space="preserve"> distribučních soustav)</w:t>
      </w:r>
    </w:p>
    <w:p w14:paraId="7CC585B1" w14:textId="4FD6F0FD" w:rsidR="004341A1" w:rsidRDefault="004341A1" w:rsidP="009A3B7E">
      <w:pPr>
        <w:pStyle w:val="Odrka1"/>
        <w:jc w:val="both"/>
      </w:pPr>
      <w:r>
        <w:t>Predikce provozu dobíjecí stanice (vazba na přípravu provozu a</w:t>
      </w:r>
      <w:r w:rsidR="005A1247">
        <w:t> </w:t>
      </w:r>
      <w:r>
        <w:t>provoz distribuční soustavy a</w:t>
      </w:r>
      <w:r w:rsidR="005A1247">
        <w:t> </w:t>
      </w:r>
      <w:r>
        <w:t>přenosové soustavy)</w:t>
      </w:r>
    </w:p>
    <w:p w14:paraId="40A6C1C6" w14:textId="47789AAF" w:rsidR="004341A1" w:rsidRDefault="004341A1" w:rsidP="009A3B7E">
      <w:pPr>
        <w:jc w:val="both"/>
      </w:pPr>
      <w:r w:rsidRPr="00313F79">
        <w:t>Elektromobilita je do NAP SG integrována formou</w:t>
      </w:r>
      <w:r>
        <w:t xml:space="preserve"> opatření</w:t>
      </w:r>
      <w:r w:rsidRPr="00313F79">
        <w:t xml:space="preserve"> </w:t>
      </w:r>
      <w:r>
        <w:t xml:space="preserve">A25 – Integrace elektromobilů do </w:t>
      </w:r>
      <w:r w:rsidR="008341B9">
        <w:t>distribučních sítí (</w:t>
      </w:r>
      <w:r>
        <w:t>DS</w:t>
      </w:r>
      <w:r w:rsidR="008341B9">
        <w:t>)</w:t>
      </w:r>
      <w:r>
        <w:t>. V</w:t>
      </w:r>
      <w:r w:rsidR="005A1247">
        <w:t> </w:t>
      </w:r>
      <w:r>
        <w:t>rámci tohoto opatření vznikly rovněž predikce vývoje elektromobility, ze kterých je čerpáno rovněž pro tuto aktualizaci NAP CM.</w:t>
      </w:r>
      <w:r w:rsidRPr="00313F79">
        <w:t xml:space="preserve"> Pro tyto predikce byla v</w:t>
      </w:r>
      <w:r w:rsidR="005A1247">
        <w:t> </w:t>
      </w:r>
      <w:r w:rsidRPr="00313F79">
        <w:t xml:space="preserve">lednu 2019 vydána studie </w:t>
      </w:r>
      <w:r>
        <w:t>„</w:t>
      </w:r>
      <w:r w:rsidRPr="00313F79">
        <w:t>Dopady elektromobility do DS ČR</w:t>
      </w:r>
      <w:r>
        <w:t>“, která</w:t>
      </w:r>
      <w:r w:rsidRPr="00313F79">
        <w:t xml:space="preserve"> definuje množství úprav ve všech DS ČR vyvolaných implementací elektromobility. Studie obsahuje také jejich předpokládanou finanční náročnost.</w:t>
      </w:r>
    </w:p>
    <w:p w14:paraId="5864A71D" w14:textId="4FDD23B3" w:rsidR="004341A1" w:rsidRDefault="004341A1" w:rsidP="009A3B7E">
      <w:pPr>
        <w:jc w:val="both"/>
      </w:pPr>
      <w:r>
        <w:t>V současnosti se připravuje její dopracování v</w:t>
      </w:r>
      <w:r w:rsidR="005A1247">
        <w:t> </w:t>
      </w:r>
      <w:r>
        <w:t xml:space="preserve">oblasti chytrého řízeného </w:t>
      </w:r>
      <w:r w:rsidR="00FD5746">
        <w:t>do</w:t>
      </w:r>
      <w:r>
        <w:t>bíjení.</w:t>
      </w:r>
    </w:p>
    <w:p w14:paraId="286BE9BD" w14:textId="77777777" w:rsidR="004341A1" w:rsidRPr="002B4975" w:rsidRDefault="004341A1" w:rsidP="009A3B7E">
      <w:pPr>
        <w:jc w:val="both"/>
      </w:pPr>
      <w:r>
        <w:t>Na úrovni relevantních pracovních skupin obou Národních akčních plánů byla navázána průběžná spolupráce nad jednotlivými tématy.</w:t>
      </w:r>
    </w:p>
    <w:p w14:paraId="4EF2C835" w14:textId="11168271" w:rsidR="004341A1" w:rsidRDefault="004341A1" w:rsidP="009A3B7E">
      <w:pPr>
        <w:pStyle w:val="Nadpis3"/>
        <w:jc w:val="both"/>
      </w:pPr>
      <w:bookmarkStart w:id="20" w:name="_Toc12540112"/>
      <w:bookmarkStart w:id="21" w:name="_Toc19792304"/>
      <w:r w:rsidRPr="008F47D3">
        <w:t>Memorand</w:t>
      </w:r>
      <w:r>
        <w:t>u</w:t>
      </w:r>
      <w:r w:rsidRPr="008F47D3">
        <w:t>m o</w:t>
      </w:r>
      <w:r w:rsidR="005A1247">
        <w:t> </w:t>
      </w:r>
      <w:r w:rsidRPr="008F47D3">
        <w:t xml:space="preserve">budoucnosti automobilového </w:t>
      </w:r>
      <w:r w:rsidRPr="002D2178">
        <w:t>průmyslu</w:t>
      </w:r>
      <w:r w:rsidRPr="008F47D3">
        <w:t xml:space="preserve"> v</w:t>
      </w:r>
      <w:r w:rsidR="005A1247">
        <w:t> </w:t>
      </w:r>
      <w:r w:rsidRPr="008F47D3">
        <w:t>ČR</w:t>
      </w:r>
      <w:bookmarkEnd w:id="20"/>
      <w:bookmarkEnd w:id="21"/>
    </w:p>
    <w:p w14:paraId="52F77D35" w14:textId="722148D5" w:rsidR="00605D3E" w:rsidRDefault="004341A1" w:rsidP="009A3B7E">
      <w:pPr>
        <w:jc w:val="both"/>
      </w:pPr>
      <w:r w:rsidRPr="00A50928">
        <w:t>Memorandum o</w:t>
      </w:r>
      <w:r w:rsidR="005A1247">
        <w:t> </w:t>
      </w:r>
      <w:r w:rsidRPr="00A50928">
        <w:t>budoucnosti automobilového průmyslu v</w:t>
      </w:r>
      <w:r w:rsidR="005A1247">
        <w:t> </w:t>
      </w:r>
      <w:r w:rsidRPr="00A50928">
        <w:t>ČR</w:t>
      </w:r>
      <w:r w:rsidRPr="00F27AF0">
        <w:t xml:space="preserve"> </w:t>
      </w:r>
      <w:r w:rsidRPr="00A50928">
        <w:t>a</w:t>
      </w:r>
      <w:r w:rsidR="005A1247">
        <w:t> </w:t>
      </w:r>
      <w:r w:rsidRPr="00A50928">
        <w:t>na něj navázaný Akční plán je sektorovým dokumentem, který řeší současné a</w:t>
      </w:r>
      <w:r w:rsidR="005A1247">
        <w:t> </w:t>
      </w:r>
      <w:r w:rsidRPr="00A50928">
        <w:t>nadcházející výzvy pro zajištění konkurenceschopnosti českého automobilového průmyslu.</w:t>
      </w:r>
      <w:r>
        <w:t xml:space="preserve"> </w:t>
      </w:r>
      <w:r w:rsidRPr="00A50928">
        <w:t>Kromě e</w:t>
      </w:r>
      <w:r w:rsidR="005A6D54">
        <w:t>lektro</w:t>
      </w:r>
      <w:r w:rsidRPr="00A50928">
        <w:t>mobility se zabývá také podporou rozvoje autonomního řízení, digitalizace a</w:t>
      </w:r>
      <w:r w:rsidR="005A1247">
        <w:t> </w:t>
      </w:r>
      <w:r w:rsidRPr="00A50928">
        <w:t>s</w:t>
      </w:r>
      <w:r w:rsidR="000F2439">
        <w:t> </w:t>
      </w:r>
      <w:r w:rsidRPr="00A50928">
        <w:t xml:space="preserve">tím souvisejících témat podpory </w:t>
      </w:r>
      <w:r w:rsidR="00FD5746">
        <w:t>v</w:t>
      </w:r>
      <w:r w:rsidRPr="00F27AF0">
        <w:t>ýzkumu, vývoje a</w:t>
      </w:r>
      <w:r w:rsidR="005A1247">
        <w:t> </w:t>
      </w:r>
      <w:r w:rsidRPr="00F27AF0">
        <w:t>inovací a</w:t>
      </w:r>
      <w:r w:rsidR="005A1247">
        <w:t> </w:t>
      </w:r>
      <w:r w:rsidRPr="00F27AF0">
        <w:t xml:space="preserve">vzdělávání. Ambicí Memoranda </w:t>
      </w:r>
      <w:r w:rsidR="00EA22F5" w:rsidRPr="00EA22F5">
        <w:t>o</w:t>
      </w:r>
      <w:r w:rsidR="005A1247">
        <w:t> </w:t>
      </w:r>
      <w:r w:rsidR="00EA22F5" w:rsidRPr="00EA22F5">
        <w:t>budoucnosti automobilového průmyslu v</w:t>
      </w:r>
      <w:r w:rsidR="005A1247">
        <w:t> </w:t>
      </w:r>
      <w:r w:rsidR="00EA22F5" w:rsidRPr="00EA22F5">
        <w:t xml:space="preserve">ČR </w:t>
      </w:r>
      <w:r w:rsidRPr="00F27AF0">
        <w:t>je vybraná opatření NAP CM</w:t>
      </w:r>
      <w:r>
        <w:t xml:space="preserve"> </w:t>
      </w:r>
      <w:r w:rsidRPr="00A50928">
        <w:t>dále rozpracovat. Oba dokumenty se tak v</w:t>
      </w:r>
      <w:r w:rsidR="005A1247">
        <w:t> </w:t>
      </w:r>
      <w:r w:rsidRPr="00A50928">
        <w:t>oblasti podpory rozvoje e</w:t>
      </w:r>
      <w:r w:rsidR="005A6D54">
        <w:t>lektro</w:t>
      </w:r>
      <w:r w:rsidRPr="00A50928">
        <w:t>mobility doplňují.</w:t>
      </w:r>
    </w:p>
    <w:p w14:paraId="7B8B3FEE" w14:textId="77777777" w:rsidR="00A0449C" w:rsidRPr="00CA20DD" w:rsidRDefault="00A0449C" w:rsidP="009A3B7E">
      <w:pPr>
        <w:pStyle w:val="Nadpis2"/>
        <w:jc w:val="both"/>
      </w:pPr>
      <w:bookmarkStart w:id="22" w:name="_Toc34387133"/>
      <w:r w:rsidRPr="00CA20DD">
        <w:t>Očekávaný vývoj</w:t>
      </w:r>
      <w:bookmarkEnd w:id="22"/>
    </w:p>
    <w:p w14:paraId="11F92E5E" w14:textId="54DB9CB5" w:rsidR="00B812DA" w:rsidRDefault="00A0449C" w:rsidP="007E541C">
      <w:pPr>
        <w:jc w:val="both"/>
      </w:pPr>
      <w:r>
        <w:t>Klíčovým ukazatelem rozvoje elektromobility je prodej vozidel, resp. počet vozidel v</w:t>
      </w:r>
      <w:r w:rsidR="005A1247">
        <w:t> </w:t>
      </w:r>
      <w:r>
        <w:t>ulicích. V</w:t>
      </w:r>
      <w:r w:rsidR="005A1247">
        <w:t> </w:t>
      </w:r>
      <w:r>
        <w:t>rámci aktualizace NAP CM byla využita projekce připravená v</w:t>
      </w:r>
      <w:r w:rsidR="005A1247">
        <w:t> </w:t>
      </w:r>
      <w:r>
        <w:t>rámci NAP SG, která v</w:t>
      </w:r>
      <w:r w:rsidR="005A1247">
        <w:t> </w:t>
      </w:r>
      <w:r>
        <w:t>několika scénářích předpovídá rozvoj počtu osobních vozidel k</w:t>
      </w:r>
      <w:r w:rsidR="005A1247">
        <w:t> </w:t>
      </w:r>
      <w:r>
        <w:t xml:space="preserve">roku 2030 </w:t>
      </w:r>
      <w:r w:rsidRPr="00FD7A23">
        <w:rPr>
          <w:b/>
        </w:rPr>
        <w:t>v</w:t>
      </w:r>
      <w:r w:rsidR="005A1247">
        <w:rPr>
          <w:b/>
        </w:rPr>
        <w:t> </w:t>
      </w:r>
      <w:r w:rsidRPr="00FD7A23">
        <w:rPr>
          <w:b/>
        </w:rPr>
        <w:t>rozsahu 74</w:t>
      </w:r>
      <w:r w:rsidR="00AD57F9">
        <w:rPr>
          <w:b/>
        </w:rPr>
        <w:t> </w:t>
      </w:r>
      <w:r w:rsidRPr="00FD7A23">
        <w:rPr>
          <w:b/>
        </w:rPr>
        <w:t>000 (nízký scénář) až 800 000 (vysoký scénář).</w:t>
      </w:r>
      <w:r>
        <w:t xml:space="preserve"> Velký rozptyl je dán množstvím faktorů, které mají vliv na konečný počet vozidel v</w:t>
      </w:r>
      <w:r w:rsidR="005A1247">
        <w:t> </w:t>
      </w:r>
      <w:r>
        <w:t>ulicích. V</w:t>
      </w:r>
      <w:r w:rsidR="005A1247">
        <w:t> </w:t>
      </w:r>
      <w:r>
        <w:t>případě autobusů bude významným stimulem povinnost vyplývající z</w:t>
      </w:r>
      <w:r w:rsidR="005A1247">
        <w:t> </w:t>
      </w:r>
      <w:r>
        <w:t>revidované směrnice o</w:t>
      </w:r>
      <w:r w:rsidR="005A1247">
        <w:t> </w:t>
      </w:r>
      <w:r>
        <w:t xml:space="preserve">čistých vozidlech, která vyžaduje rostoucí podíl nakupovaných </w:t>
      </w:r>
      <w:r w:rsidR="004B5BE8">
        <w:t xml:space="preserve">tzv. </w:t>
      </w:r>
      <w:r>
        <w:t>„čistých“ vozidel.</w:t>
      </w:r>
      <w:r w:rsidR="005A50D2">
        <w:t xml:space="preserve"> Těžko se dnes však na druhou stranu odhaduje, jakým způsobem se bateriová elektromobilita rozvine v</w:t>
      </w:r>
      <w:r w:rsidR="005A1247">
        <w:t> </w:t>
      </w:r>
      <w:r w:rsidR="005A50D2">
        <w:t>seg</w:t>
      </w:r>
      <w:r w:rsidR="007E541C">
        <w:t xml:space="preserve">mentu nákladní silniční dopravy. </w:t>
      </w:r>
      <w:r w:rsidR="005A50D2">
        <w:t>Predikci rozvoje elektromobility čistě v</w:t>
      </w:r>
      <w:r w:rsidR="005A1247">
        <w:t> </w:t>
      </w:r>
      <w:r w:rsidR="005A50D2">
        <w:t>individuální automobilové dopravě zpracoval Svaz dovozců vozidel (SDA). Zde je počet čistých elektromobilů (BEV) v</w:t>
      </w:r>
      <w:r w:rsidR="005A1247">
        <w:t> </w:t>
      </w:r>
      <w:r w:rsidR="005A50D2">
        <w:t>ulicích odhadován na úrovni 217 200 vozidel k</w:t>
      </w:r>
      <w:r w:rsidR="005A1247">
        <w:t> </w:t>
      </w:r>
      <w:r w:rsidR="005A50D2">
        <w:t>roku 2030, což představuje cca 3% vozového parku. Tento cíl současně odpovídá střednímu scénáři predikc</w:t>
      </w:r>
      <w:r w:rsidR="002A0818">
        <w:t>e připravené pro účely NAP SG.</w:t>
      </w:r>
    </w:p>
    <w:p w14:paraId="749231F6" w14:textId="77777777" w:rsidR="00B812DA" w:rsidRDefault="00B812DA" w:rsidP="002A0818">
      <w:pPr>
        <w:jc w:val="both"/>
      </w:pPr>
    </w:p>
    <w:p w14:paraId="00F38672" w14:textId="1F48968D" w:rsidR="002A0818" w:rsidRDefault="002A0818" w:rsidP="002A0818">
      <w:pPr>
        <w:jc w:val="both"/>
      </w:pPr>
      <w:r>
        <w:t xml:space="preserve"> </w:t>
      </w:r>
      <w:r w:rsidR="00920890" w:rsidRPr="00B62778">
        <w:rPr>
          <w:bCs/>
          <w:szCs w:val="22"/>
        </w:rPr>
        <w:t>V</w:t>
      </w:r>
      <w:r w:rsidR="005A1247">
        <w:rPr>
          <w:bCs/>
          <w:szCs w:val="22"/>
        </w:rPr>
        <w:t> </w:t>
      </w:r>
      <w:r w:rsidR="00920890" w:rsidRPr="00B62778">
        <w:rPr>
          <w:bCs/>
          <w:szCs w:val="22"/>
        </w:rPr>
        <w:t>současné době je 75 % nových vozidel pořizováno podnikateli (jak podnikateli, tak zejména PO). U</w:t>
      </w:r>
      <w:r w:rsidR="005A1247">
        <w:rPr>
          <w:bCs/>
          <w:szCs w:val="22"/>
        </w:rPr>
        <w:t> </w:t>
      </w:r>
      <w:r w:rsidR="00920890" w:rsidRPr="00B62778">
        <w:rPr>
          <w:bCs/>
          <w:szCs w:val="22"/>
        </w:rPr>
        <w:t>vozidel na alternativní pohon je tento podíl ještě vyšší, přes 95 %. Pokud bude podpořen nákup vozidel pro FO, předpokládáme nadále dominantní podíl na prodejích nových vozidel na alternativní pohon podnikateli a</w:t>
      </w:r>
      <w:r w:rsidR="005A1247">
        <w:rPr>
          <w:bCs/>
          <w:szCs w:val="22"/>
        </w:rPr>
        <w:t> </w:t>
      </w:r>
      <w:r w:rsidR="00920890" w:rsidRPr="00B62778">
        <w:rPr>
          <w:bCs/>
          <w:szCs w:val="22"/>
        </w:rPr>
        <w:t>FO. Ani dovo</w:t>
      </w:r>
      <w:r w:rsidR="007E541C">
        <w:rPr>
          <w:bCs/>
          <w:szCs w:val="22"/>
        </w:rPr>
        <w:t>z ojetých elektromobilů či plug-</w:t>
      </w:r>
      <w:r w:rsidR="00920890" w:rsidRPr="00B62778">
        <w:rPr>
          <w:bCs/>
          <w:szCs w:val="22"/>
        </w:rPr>
        <w:t>in hybridů nebude znamenat výrazné navýšení podílu fyzických osob.</w:t>
      </w:r>
    </w:p>
    <w:p w14:paraId="1979801C" w14:textId="02787C65" w:rsidR="009526AB" w:rsidRDefault="009526AB" w:rsidP="009526AB">
      <w:pPr>
        <w:pStyle w:val="Titulek"/>
        <w:keepNext/>
      </w:pPr>
      <w:bookmarkStart w:id="23" w:name="_Toc34298577"/>
      <w:r>
        <w:lastRenderedPageBreak/>
        <w:t xml:space="preserve">Tabulka </w:t>
      </w:r>
      <w:r w:rsidR="003A4842">
        <w:rPr>
          <w:noProof/>
        </w:rPr>
        <w:fldChar w:fldCharType="begin"/>
      </w:r>
      <w:r w:rsidR="003A4842">
        <w:rPr>
          <w:noProof/>
        </w:rPr>
        <w:instrText xml:space="preserve"> SEQ Tabulka \* ARABIC </w:instrText>
      </w:r>
      <w:r w:rsidR="003A4842">
        <w:rPr>
          <w:noProof/>
        </w:rPr>
        <w:fldChar w:fldCharType="separate"/>
      </w:r>
      <w:r w:rsidR="00D944E5">
        <w:rPr>
          <w:noProof/>
        </w:rPr>
        <w:t>3</w:t>
      </w:r>
      <w:r w:rsidR="003A4842">
        <w:rPr>
          <w:noProof/>
        </w:rPr>
        <w:fldChar w:fldCharType="end"/>
      </w:r>
      <w:r w:rsidRPr="009526AB">
        <w:t xml:space="preserve"> Predikce vývoje počtu BEV dle SDA</w:t>
      </w:r>
      <w:bookmarkEnd w:id="23"/>
    </w:p>
    <w:tbl>
      <w:tblPr>
        <w:tblW w:w="90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85"/>
        <w:gridCol w:w="1861"/>
        <w:gridCol w:w="1861"/>
        <w:gridCol w:w="4174"/>
      </w:tblGrid>
      <w:tr w:rsidR="009526AB" w:rsidRPr="009B0055" w14:paraId="25577DD5" w14:textId="77777777" w:rsidTr="003A4842">
        <w:trPr>
          <w:trHeight w:val="778"/>
          <w:tblHeader/>
        </w:trPr>
        <w:tc>
          <w:tcPr>
            <w:tcW w:w="1185" w:type="dxa"/>
            <w:tcBorders>
              <w:bottom w:val="single" w:sz="12" w:space="0" w:color="auto"/>
            </w:tcBorders>
            <w:shd w:val="clear" w:color="auto" w:fill="548DD4"/>
            <w:vAlign w:val="center"/>
          </w:tcPr>
          <w:p w14:paraId="65346A98" w14:textId="77777777" w:rsidR="009526AB" w:rsidRPr="008318A8" w:rsidRDefault="009526AB" w:rsidP="003A4842">
            <w:pPr>
              <w:jc w:val="both"/>
              <w:rPr>
                <w:rFonts w:cstheme="minorHAnsi"/>
                <w:b/>
                <w:color w:val="FFFFFF" w:themeColor="background1"/>
              </w:rPr>
            </w:pPr>
            <w:r>
              <w:rPr>
                <w:rFonts w:cstheme="minorHAnsi"/>
                <w:b/>
                <w:color w:val="FFFFFF" w:themeColor="background1"/>
              </w:rPr>
              <w:t>Rok</w:t>
            </w:r>
          </w:p>
        </w:tc>
        <w:tc>
          <w:tcPr>
            <w:tcW w:w="1861" w:type="dxa"/>
            <w:tcBorders>
              <w:bottom w:val="single" w:sz="12" w:space="0" w:color="auto"/>
            </w:tcBorders>
            <w:shd w:val="clear" w:color="auto" w:fill="548DD4"/>
            <w:vAlign w:val="center"/>
          </w:tcPr>
          <w:p w14:paraId="26EA25F2" w14:textId="77777777" w:rsidR="009526AB" w:rsidRPr="008318A8" w:rsidRDefault="009526AB" w:rsidP="003A4842">
            <w:pPr>
              <w:jc w:val="both"/>
              <w:rPr>
                <w:rFonts w:cstheme="minorHAnsi"/>
                <w:b/>
                <w:color w:val="FFFFFF" w:themeColor="background1"/>
              </w:rPr>
            </w:pPr>
            <w:r>
              <w:rPr>
                <w:rFonts w:cstheme="minorHAnsi"/>
                <w:b/>
                <w:color w:val="FFFFFF" w:themeColor="background1"/>
              </w:rPr>
              <w:t>Počet el. vozidel za rok</w:t>
            </w:r>
          </w:p>
        </w:tc>
        <w:tc>
          <w:tcPr>
            <w:tcW w:w="1861" w:type="dxa"/>
            <w:tcBorders>
              <w:bottom w:val="single" w:sz="12" w:space="0" w:color="auto"/>
            </w:tcBorders>
            <w:shd w:val="clear" w:color="auto" w:fill="548DD4"/>
            <w:vAlign w:val="center"/>
          </w:tcPr>
          <w:p w14:paraId="7FBE731A" w14:textId="77777777" w:rsidR="009526AB" w:rsidRPr="008318A8" w:rsidRDefault="009526AB" w:rsidP="003A4842">
            <w:pPr>
              <w:jc w:val="both"/>
              <w:rPr>
                <w:rFonts w:cstheme="minorHAnsi"/>
                <w:b/>
                <w:color w:val="FFFFFF" w:themeColor="background1"/>
              </w:rPr>
            </w:pPr>
            <w:r>
              <w:rPr>
                <w:rFonts w:cstheme="minorHAnsi"/>
                <w:b/>
                <w:color w:val="FFFFFF" w:themeColor="background1"/>
              </w:rPr>
              <w:t>Počet el. vozidel celkem</w:t>
            </w:r>
          </w:p>
        </w:tc>
        <w:tc>
          <w:tcPr>
            <w:tcW w:w="4174" w:type="dxa"/>
            <w:tcBorders>
              <w:bottom w:val="single" w:sz="12" w:space="0" w:color="auto"/>
            </w:tcBorders>
            <w:shd w:val="clear" w:color="auto" w:fill="548DD4"/>
            <w:vAlign w:val="center"/>
          </w:tcPr>
          <w:p w14:paraId="4852A382" w14:textId="77777777" w:rsidR="009526AB" w:rsidRPr="008318A8" w:rsidRDefault="009526AB" w:rsidP="003A4842">
            <w:pPr>
              <w:jc w:val="both"/>
              <w:rPr>
                <w:rFonts w:cstheme="minorHAnsi"/>
                <w:b/>
                <w:color w:val="FFFFFF" w:themeColor="background1"/>
              </w:rPr>
            </w:pPr>
            <w:r>
              <w:rPr>
                <w:rFonts w:cstheme="minorHAnsi"/>
                <w:b/>
                <w:color w:val="FFFFFF" w:themeColor="background1"/>
              </w:rPr>
              <w:t>Poznámka</w:t>
            </w:r>
          </w:p>
        </w:tc>
      </w:tr>
      <w:tr w:rsidR="009526AB" w:rsidRPr="009B0055" w14:paraId="02ED7486" w14:textId="77777777" w:rsidTr="003A4842">
        <w:trPr>
          <w:trHeight w:hRule="exact" w:val="412"/>
        </w:trPr>
        <w:tc>
          <w:tcPr>
            <w:tcW w:w="1185" w:type="dxa"/>
            <w:tcBorders>
              <w:top w:val="single" w:sz="12" w:space="0" w:color="auto"/>
            </w:tcBorders>
            <w:vAlign w:val="center"/>
          </w:tcPr>
          <w:p w14:paraId="2883126C" w14:textId="77777777" w:rsidR="009526AB" w:rsidRPr="009B0055" w:rsidRDefault="009526AB" w:rsidP="003A4842">
            <w:pPr>
              <w:spacing w:before="0" w:after="0"/>
              <w:jc w:val="both"/>
              <w:rPr>
                <w:rFonts w:cstheme="minorHAnsi"/>
              </w:rPr>
            </w:pPr>
            <w:r>
              <w:rPr>
                <w:rFonts w:cstheme="minorHAnsi"/>
              </w:rPr>
              <w:t>2013</w:t>
            </w:r>
          </w:p>
        </w:tc>
        <w:tc>
          <w:tcPr>
            <w:tcW w:w="1861" w:type="dxa"/>
            <w:tcBorders>
              <w:top w:val="single" w:sz="12" w:space="0" w:color="auto"/>
            </w:tcBorders>
            <w:vAlign w:val="center"/>
          </w:tcPr>
          <w:p w14:paraId="47667BFF" w14:textId="77777777" w:rsidR="009526AB" w:rsidRPr="009B0055" w:rsidRDefault="009526AB" w:rsidP="003A4842">
            <w:pPr>
              <w:spacing w:before="0" w:after="0"/>
              <w:jc w:val="both"/>
              <w:rPr>
                <w:rFonts w:cstheme="minorHAnsi"/>
              </w:rPr>
            </w:pPr>
            <w:r>
              <w:rPr>
                <w:rFonts w:cstheme="minorHAnsi"/>
              </w:rPr>
              <w:t>70</w:t>
            </w:r>
          </w:p>
        </w:tc>
        <w:tc>
          <w:tcPr>
            <w:tcW w:w="1861" w:type="dxa"/>
            <w:tcBorders>
              <w:top w:val="single" w:sz="12" w:space="0" w:color="auto"/>
            </w:tcBorders>
            <w:vAlign w:val="center"/>
          </w:tcPr>
          <w:p w14:paraId="41AFB968" w14:textId="77777777" w:rsidR="009526AB" w:rsidRPr="009B0055" w:rsidRDefault="009526AB" w:rsidP="003A4842">
            <w:pPr>
              <w:spacing w:before="0" w:after="0"/>
              <w:jc w:val="both"/>
              <w:rPr>
                <w:rFonts w:cstheme="minorHAnsi"/>
              </w:rPr>
            </w:pPr>
            <w:r>
              <w:rPr>
                <w:rFonts w:cstheme="minorHAnsi"/>
              </w:rPr>
              <w:t>70</w:t>
            </w:r>
          </w:p>
        </w:tc>
        <w:tc>
          <w:tcPr>
            <w:tcW w:w="4174" w:type="dxa"/>
            <w:vMerge w:val="restart"/>
            <w:tcBorders>
              <w:top w:val="single" w:sz="12" w:space="0" w:color="auto"/>
            </w:tcBorders>
            <w:vAlign w:val="center"/>
          </w:tcPr>
          <w:p w14:paraId="0D68A779" w14:textId="77777777" w:rsidR="009526AB" w:rsidRPr="009B0055" w:rsidRDefault="009526AB" w:rsidP="003A4842">
            <w:pPr>
              <w:spacing w:before="0" w:after="0"/>
              <w:jc w:val="both"/>
              <w:rPr>
                <w:rFonts w:cstheme="minorHAnsi"/>
              </w:rPr>
            </w:pPr>
          </w:p>
        </w:tc>
      </w:tr>
      <w:tr w:rsidR="009526AB" w:rsidRPr="009B0055" w14:paraId="3EECCE27" w14:textId="77777777" w:rsidTr="003A4842">
        <w:trPr>
          <w:trHeight w:hRule="exact" w:val="412"/>
        </w:trPr>
        <w:tc>
          <w:tcPr>
            <w:tcW w:w="1185" w:type="dxa"/>
            <w:vAlign w:val="center"/>
          </w:tcPr>
          <w:p w14:paraId="6A9BE88E" w14:textId="77777777" w:rsidR="009526AB" w:rsidRPr="009B0055" w:rsidRDefault="009526AB" w:rsidP="003A4842">
            <w:pPr>
              <w:spacing w:before="0" w:after="0"/>
              <w:jc w:val="both"/>
              <w:rPr>
                <w:rFonts w:cstheme="minorHAnsi"/>
              </w:rPr>
            </w:pPr>
            <w:r>
              <w:rPr>
                <w:rFonts w:cstheme="minorHAnsi"/>
              </w:rPr>
              <w:t>2014</w:t>
            </w:r>
          </w:p>
        </w:tc>
        <w:tc>
          <w:tcPr>
            <w:tcW w:w="1861" w:type="dxa"/>
            <w:vAlign w:val="center"/>
          </w:tcPr>
          <w:p w14:paraId="7A359269" w14:textId="77777777" w:rsidR="009526AB" w:rsidRPr="009B0055" w:rsidRDefault="009526AB" w:rsidP="003A4842">
            <w:pPr>
              <w:spacing w:before="0" w:after="0"/>
              <w:jc w:val="both"/>
              <w:rPr>
                <w:rFonts w:cstheme="minorHAnsi"/>
              </w:rPr>
            </w:pPr>
            <w:r>
              <w:rPr>
                <w:rFonts w:cstheme="minorHAnsi"/>
              </w:rPr>
              <w:t>230</w:t>
            </w:r>
          </w:p>
        </w:tc>
        <w:tc>
          <w:tcPr>
            <w:tcW w:w="1861" w:type="dxa"/>
            <w:vAlign w:val="center"/>
          </w:tcPr>
          <w:p w14:paraId="743EBC87" w14:textId="77777777" w:rsidR="009526AB" w:rsidRPr="009B0055" w:rsidRDefault="009526AB" w:rsidP="003A4842">
            <w:pPr>
              <w:spacing w:before="0" w:after="0"/>
              <w:jc w:val="both"/>
              <w:rPr>
                <w:rFonts w:cstheme="minorHAnsi"/>
              </w:rPr>
            </w:pPr>
            <w:r>
              <w:rPr>
                <w:rFonts w:cstheme="minorHAnsi"/>
              </w:rPr>
              <w:t>300</w:t>
            </w:r>
          </w:p>
        </w:tc>
        <w:tc>
          <w:tcPr>
            <w:tcW w:w="4174" w:type="dxa"/>
            <w:vMerge/>
          </w:tcPr>
          <w:p w14:paraId="25D386F3" w14:textId="77777777" w:rsidR="009526AB" w:rsidRPr="009B0055" w:rsidRDefault="009526AB" w:rsidP="003A4842">
            <w:pPr>
              <w:spacing w:before="0" w:after="0"/>
              <w:jc w:val="both"/>
              <w:rPr>
                <w:rFonts w:cstheme="minorHAnsi"/>
              </w:rPr>
            </w:pPr>
          </w:p>
        </w:tc>
      </w:tr>
      <w:tr w:rsidR="009526AB" w:rsidRPr="009B0055" w14:paraId="0F2CAFC4" w14:textId="77777777" w:rsidTr="003A4842">
        <w:trPr>
          <w:trHeight w:hRule="exact" w:val="412"/>
        </w:trPr>
        <w:tc>
          <w:tcPr>
            <w:tcW w:w="1185" w:type="dxa"/>
            <w:vAlign w:val="center"/>
          </w:tcPr>
          <w:p w14:paraId="1DAD78A6" w14:textId="77777777" w:rsidR="009526AB" w:rsidRPr="009B0055" w:rsidRDefault="009526AB" w:rsidP="003A4842">
            <w:pPr>
              <w:spacing w:before="0" w:after="0"/>
              <w:jc w:val="both"/>
              <w:rPr>
                <w:rFonts w:cstheme="minorHAnsi"/>
              </w:rPr>
            </w:pPr>
            <w:r>
              <w:rPr>
                <w:rFonts w:cstheme="minorHAnsi"/>
              </w:rPr>
              <w:t>2015</w:t>
            </w:r>
          </w:p>
        </w:tc>
        <w:tc>
          <w:tcPr>
            <w:tcW w:w="1861" w:type="dxa"/>
            <w:vAlign w:val="center"/>
          </w:tcPr>
          <w:p w14:paraId="22FA40EA" w14:textId="77777777" w:rsidR="009526AB" w:rsidRPr="009B0055" w:rsidRDefault="009526AB" w:rsidP="003A4842">
            <w:pPr>
              <w:spacing w:before="0" w:after="0"/>
              <w:jc w:val="both"/>
              <w:rPr>
                <w:rFonts w:cstheme="minorHAnsi"/>
              </w:rPr>
            </w:pPr>
            <w:r>
              <w:rPr>
                <w:rFonts w:cstheme="minorHAnsi"/>
              </w:rPr>
              <w:t>350</w:t>
            </w:r>
          </w:p>
        </w:tc>
        <w:tc>
          <w:tcPr>
            <w:tcW w:w="1861" w:type="dxa"/>
            <w:vAlign w:val="center"/>
          </w:tcPr>
          <w:p w14:paraId="759904DB" w14:textId="77777777" w:rsidR="009526AB" w:rsidRPr="009B0055" w:rsidRDefault="009526AB" w:rsidP="003A4842">
            <w:pPr>
              <w:spacing w:before="0" w:after="0"/>
              <w:jc w:val="both"/>
              <w:rPr>
                <w:rFonts w:cstheme="minorHAnsi"/>
              </w:rPr>
            </w:pPr>
            <w:r>
              <w:rPr>
                <w:rFonts w:cstheme="minorHAnsi"/>
              </w:rPr>
              <w:t>650</w:t>
            </w:r>
          </w:p>
        </w:tc>
        <w:tc>
          <w:tcPr>
            <w:tcW w:w="4174" w:type="dxa"/>
            <w:vMerge/>
          </w:tcPr>
          <w:p w14:paraId="0A5C3A13" w14:textId="77777777" w:rsidR="009526AB" w:rsidRPr="009B0055" w:rsidRDefault="009526AB" w:rsidP="003A4842">
            <w:pPr>
              <w:spacing w:before="0" w:after="0"/>
              <w:jc w:val="both"/>
              <w:rPr>
                <w:rFonts w:cstheme="minorHAnsi"/>
              </w:rPr>
            </w:pPr>
          </w:p>
        </w:tc>
      </w:tr>
      <w:tr w:rsidR="009526AB" w:rsidRPr="009B0055" w14:paraId="1194731A" w14:textId="77777777" w:rsidTr="003A4842">
        <w:trPr>
          <w:trHeight w:hRule="exact" w:val="412"/>
        </w:trPr>
        <w:tc>
          <w:tcPr>
            <w:tcW w:w="1185" w:type="dxa"/>
            <w:vAlign w:val="center"/>
          </w:tcPr>
          <w:p w14:paraId="405FA2E8" w14:textId="77777777" w:rsidR="009526AB" w:rsidRPr="009B0055" w:rsidRDefault="009526AB" w:rsidP="003A4842">
            <w:pPr>
              <w:spacing w:before="0" w:after="0"/>
              <w:jc w:val="both"/>
              <w:rPr>
                <w:rFonts w:cstheme="minorHAnsi"/>
              </w:rPr>
            </w:pPr>
            <w:r>
              <w:rPr>
                <w:rFonts w:cstheme="minorHAnsi"/>
              </w:rPr>
              <w:t>2016</w:t>
            </w:r>
          </w:p>
        </w:tc>
        <w:tc>
          <w:tcPr>
            <w:tcW w:w="1861" w:type="dxa"/>
            <w:vAlign w:val="center"/>
          </w:tcPr>
          <w:p w14:paraId="2FF97AAB" w14:textId="77777777" w:rsidR="009526AB" w:rsidRPr="009B0055" w:rsidRDefault="009526AB" w:rsidP="003A4842">
            <w:pPr>
              <w:spacing w:before="0" w:after="0"/>
              <w:jc w:val="both"/>
              <w:rPr>
                <w:rFonts w:cstheme="minorHAnsi"/>
              </w:rPr>
            </w:pPr>
            <w:r>
              <w:rPr>
                <w:rFonts w:cstheme="minorHAnsi"/>
              </w:rPr>
              <w:t>350</w:t>
            </w:r>
          </w:p>
        </w:tc>
        <w:tc>
          <w:tcPr>
            <w:tcW w:w="1861" w:type="dxa"/>
            <w:vAlign w:val="center"/>
          </w:tcPr>
          <w:p w14:paraId="10E3CA8A" w14:textId="77777777" w:rsidR="009526AB" w:rsidRPr="009B0055" w:rsidRDefault="009526AB" w:rsidP="003A4842">
            <w:pPr>
              <w:spacing w:before="0" w:after="0"/>
              <w:jc w:val="both"/>
              <w:rPr>
                <w:rFonts w:cstheme="minorHAnsi"/>
              </w:rPr>
            </w:pPr>
            <w:r>
              <w:rPr>
                <w:rFonts w:cstheme="minorHAnsi"/>
              </w:rPr>
              <w:t>1 000</w:t>
            </w:r>
          </w:p>
        </w:tc>
        <w:tc>
          <w:tcPr>
            <w:tcW w:w="4174" w:type="dxa"/>
            <w:vMerge/>
          </w:tcPr>
          <w:p w14:paraId="0DDDD080" w14:textId="77777777" w:rsidR="009526AB" w:rsidRPr="009B0055" w:rsidRDefault="009526AB" w:rsidP="003A4842">
            <w:pPr>
              <w:spacing w:before="0" w:after="0"/>
              <w:jc w:val="both"/>
              <w:rPr>
                <w:rFonts w:cstheme="minorHAnsi"/>
              </w:rPr>
            </w:pPr>
          </w:p>
        </w:tc>
      </w:tr>
      <w:tr w:rsidR="009526AB" w:rsidRPr="009B0055" w14:paraId="5766FD0C" w14:textId="77777777" w:rsidTr="003A4842">
        <w:trPr>
          <w:trHeight w:hRule="exact" w:val="412"/>
        </w:trPr>
        <w:tc>
          <w:tcPr>
            <w:tcW w:w="1185" w:type="dxa"/>
            <w:vAlign w:val="center"/>
          </w:tcPr>
          <w:p w14:paraId="0710738E" w14:textId="77777777" w:rsidR="009526AB" w:rsidRPr="009B0055" w:rsidRDefault="009526AB" w:rsidP="003A4842">
            <w:pPr>
              <w:spacing w:before="0" w:after="0"/>
              <w:jc w:val="both"/>
              <w:rPr>
                <w:rFonts w:cstheme="minorHAnsi"/>
              </w:rPr>
            </w:pPr>
            <w:r>
              <w:rPr>
                <w:rFonts w:cstheme="minorHAnsi"/>
              </w:rPr>
              <w:t>2017</w:t>
            </w:r>
          </w:p>
        </w:tc>
        <w:tc>
          <w:tcPr>
            <w:tcW w:w="1861" w:type="dxa"/>
            <w:vAlign w:val="center"/>
          </w:tcPr>
          <w:p w14:paraId="1D2DD086" w14:textId="77777777" w:rsidR="009526AB" w:rsidRPr="009B0055" w:rsidRDefault="009526AB" w:rsidP="003A4842">
            <w:pPr>
              <w:spacing w:before="0" w:after="0"/>
              <w:jc w:val="both"/>
              <w:rPr>
                <w:rFonts w:cstheme="minorHAnsi"/>
              </w:rPr>
            </w:pPr>
            <w:r>
              <w:rPr>
                <w:rFonts w:cstheme="minorHAnsi"/>
              </w:rPr>
              <w:t>400</w:t>
            </w:r>
          </w:p>
        </w:tc>
        <w:tc>
          <w:tcPr>
            <w:tcW w:w="1861" w:type="dxa"/>
            <w:vAlign w:val="center"/>
          </w:tcPr>
          <w:p w14:paraId="01A57887" w14:textId="77777777" w:rsidR="009526AB" w:rsidRPr="009B0055" w:rsidRDefault="009526AB" w:rsidP="003A4842">
            <w:pPr>
              <w:spacing w:before="0" w:after="0"/>
              <w:jc w:val="both"/>
              <w:rPr>
                <w:rFonts w:cstheme="minorHAnsi"/>
              </w:rPr>
            </w:pPr>
            <w:r>
              <w:rPr>
                <w:rFonts w:cstheme="minorHAnsi"/>
              </w:rPr>
              <w:t>1 400</w:t>
            </w:r>
          </w:p>
        </w:tc>
        <w:tc>
          <w:tcPr>
            <w:tcW w:w="4174" w:type="dxa"/>
            <w:vMerge/>
          </w:tcPr>
          <w:p w14:paraId="440D9056" w14:textId="77777777" w:rsidR="009526AB" w:rsidRPr="009B0055" w:rsidRDefault="009526AB" w:rsidP="003A4842">
            <w:pPr>
              <w:spacing w:before="0" w:after="0"/>
              <w:jc w:val="both"/>
              <w:rPr>
                <w:rFonts w:cstheme="minorHAnsi"/>
              </w:rPr>
            </w:pPr>
          </w:p>
        </w:tc>
      </w:tr>
      <w:tr w:rsidR="009526AB" w:rsidRPr="009B0055" w14:paraId="1F494714" w14:textId="77777777" w:rsidTr="003A4842">
        <w:trPr>
          <w:trHeight w:hRule="exact" w:val="412"/>
        </w:trPr>
        <w:tc>
          <w:tcPr>
            <w:tcW w:w="1185" w:type="dxa"/>
            <w:vAlign w:val="center"/>
          </w:tcPr>
          <w:p w14:paraId="25069771" w14:textId="77777777" w:rsidR="009526AB" w:rsidRPr="009B0055" w:rsidRDefault="009526AB" w:rsidP="003A4842">
            <w:pPr>
              <w:spacing w:before="0" w:after="0"/>
              <w:jc w:val="both"/>
              <w:rPr>
                <w:rFonts w:cstheme="minorHAnsi"/>
              </w:rPr>
            </w:pPr>
            <w:r>
              <w:rPr>
                <w:rFonts w:cstheme="minorHAnsi"/>
              </w:rPr>
              <w:t>2018</w:t>
            </w:r>
          </w:p>
        </w:tc>
        <w:tc>
          <w:tcPr>
            <w:tcW w:w="1861" w:type="dxa"/>
            <w:vAlign w:val="center"/>
          </w:tcPr>
          <w:p w14:paraId="08EC9AFA" w14:textId="77777777" w:rsidR="009526AB" w:rsidRPr="009B0055" w:rsidRDefault="009526AB" w:rsidP="003A4842">
            <w:pPr>
              <w:spacing w:before="0" w:after="0"/>
              <w:jc w:val="both"/>
              <w:rPr>
                <w:rFonts w:cstheme="minorHAnsi"/>
              </w:rPr>
            </w:pPr>
            <w:r>
              <w:rPr>
                <w:rFonts w:cstheme="minorHAnsi"/>
              </w:rPr>
              <w:t>700</w:t>
            </w:r>
          </w:p>
        </w:tc>
        <w:tc>
          <w:tcPr>
            <w:tcW w:w="1861" w:type="dxa"/>
            <w:vAlign w:val="center"/>
          </w:tcPr>
          <w:p w14:paraId="780222E3" w14:textId="77777777" w:rsidR="009526AB" w:rsidRPr="009B0055" w:rsidRDefault="009526AB" w:rsidP="003A4842">
            <w:pPr>
              <w:spacing w:before="0" w:after="0"/>
              <w:jc w:val="both"/>
              <w:rPr>
                <w:rFonts w:cstheme="minorHAnsi"/>
              </w:rPr>
            </w:pPr>
            <w:r>
              <w:rPr>
                <w:rFonts w:cstheme="minorHAnsi"/>
              </w:rPr>
              <w:t>2 100</w:t>
            </w:r>
          </w:p>
        </w:tc>
        <w:tc>
          <w:tcPr>
            <w:tcW w:w="4174" w:type="dxa"/>
            <w:vAlign w:val="center"/>
          </w:tcPr>
          <w:p w14:paraId="050155E8" w14:textId="77777777" w:rsidR="009526AB" w:rsidRPr="009B0055" w:rsidRDefault="009526AB" w:rsidP="003A4842">
            <w:pPr>
              <w:spacing w:before="0" w:after="0"/>
              <w:jc w:val="both"/>
              <w:rPr>
                <w:rFonts w:cstheme="minorHAnsi"/>
              </w:rPr>
            </w:pPr>
            <w:r w:rsidRPr="00F97C42">
              <w:rPr>
                <w:rFonts w:cstheme="minorHAnsi"/>
                <w:sz w:val="18"/>
              </w:rPr>
              <w:t>cca 0,035% vozového parku, cca 0,25 % přírůstku ročních registrací</w:t>
            </w:r>
          </w:p>
        </w:tc>
      </w:tr>
      <w:tr w:rsidR="009526AB" w:rsidRPr="009B0055" w14:paraId="0907EAC4" w14:textId="77777777" w:rsidTr="003A4842">
        <w:trPr>
          <w:trHeight w:hRule="exact" w:val="412"/>
        </w:trPr>
        <w:tc>
          <w:tcPr>
            <w:tcW w:w="1185" w:type="dxa"/>
            <w:vAlign w:val="center"/>
          </w:tcPr>
          <w:p w14:paraId="59387AAB" w14:textId="77777777" w:rsidR="009526AB" w:rsidRPr="009B0055" w:rsidRDefault="009526AB" w:rsidP="003A4842">
            <w:pPr>
              <w:spacing w:before="0" w:after="0"/>
              <w:jc w:val="both"/>
              <w:rPr>
                <w:rFonts w:cstheme="minorHAnsi"/>
              </w:rPr>
            </w:pPr>
            <w:r>
              <w:rPr>
                <w:rFonts w:cstheme="minorHAnsi"/>
              </w:rPr>
              <w:t>2019</w:t>
            </w:r>
          </w:p>
        </w:tc>
        <w:tc>
          <w:tcPr>
            <w:tcW w:w="1861" w:type="dxa"/>
            <w:vAlign w:val="center"/>
          </w:tcPr>
          <w:p w14:paraId="66C6D8FF" w14:textId="77777777" w:rsidR="009526AB" w:rsidRPr="009B0055" w:rsidRDefault="009526AB" w:rsidP="003A4842">
            <w:pPr>
              <w:spacing w:before="0" w:after="0"/>
              <w:jc w:val="both"/>
              <w:rPr>
                <w:rFonts w:cstheme="minorHAnsi"/>
              </w:rPr>
            </w:pPr>
            <w:r>
              <w:rPr>
                <w:rFonts w:cstheme="minorHAnsi"/>
              </w:rPr>
              <w:t>1 100</w:t>
            </w:r>
          </w:p>
        </w:tc>
        <w:tc>
          <w:tcPr>
            <w:tcW w:w="1861" w:type="dxa"/>
            <w:vAlign w:val="center"/>
          </w:tcPr>
          <w:p w14:paraId="757F9789" w14:textId="77777777" w:rsidR="009526AB" w:rsidRPr="009B0055" w:rsidRDefault="009526AB" w:rsidP="003A4842">
            <w:pPr>
              <w:spacing w:before="0" w:after="0"/>
              <w:jc w:val="both"/>
              <w:rPr>
                <w:rFonts w:cstheme="minorHAnsi"/>
              </w:rPr>
            </w:pPr>
            <w:r>
              <w:rPr>
                <w:rFonts w:cstheme="minorHAnsi"/>
              </w:rPr>
              <w:t>3 200</w:t>
            </w:r>
          </w:p>
        </w:tc>
        <w:tc>
          <w:tcPr>
            <w:tcW w:w="4174" w:type="dxa"/>
            <w:vMerge w:val="restart"/>
            <w:vAlign w:val="center"/>
          </w:tcPr>
          <w:p w14:paraId="3AE54800" w14:textId="77777777" w:rsidR="009526AB" w:rsidRPr="009B0055" w:rsidRDefault="009526AB" w:rsidP="003A4842">
            <w:pPr>
              <w:spacing w:before="0" w:after="0"/>
              <w:jc w:val="both"/>
              <w:rPr>
                <w:rFonts w:cstheme="minorHAnsi"/>
              </w:rPr>
            </w:pPr>
          </w:p>
        </w:tc>
      </w:tr>
      <w:tr w:rsidR="009526AB" w:rsidRPr="009B0055" w14:paraId="57390DDD" w14:textId="77777777" w:rsidTr="003A4842">
        <w:trPr>
          <w:trHeight w:hRule="exact" w:val="412"/>
        </w:trPr>
        <w:tc>
          <w:tcPr>
            <w:tcW w:w="1185" w:type="dxa"/>
            <w:vAlign w:val="center"/>
          </w:tcPr>
          <w:p w14:paraId="0FC60E9D" w14:textId="77777777" w:rsidR="009526AB" w:rsidRPr="009B0055" w:rsidRDefault="009526AB" w:rsidP="003A4842">
            <w:pPr>
              <w:spacing w:before="0" w:after="0"/>
              <w:jc w:val="both"/>
              <w:rPr>
                <w:rFonts w:cstheme="minorHAnsi"/>
              </w:rPr>
            </w:pPr>
            <w:r>
              <w:rPr>
                <w:rFonts w:cstheme="minorHAnsi"/>
              </w:rPr>
              <w:t>2020</w:t>
            </w:r>
          </w:p>
        </w:tc>
        <w:tc>
          <w:tcPr>
            <w:tcW w:w="1861" w:type="dxa"/>
            <w:vAlign w:val="center"/>
          </w:tcPr>
          <w:p w14:paraId="3C2B535C" w14:textId="77777777" w:rsidR="009526AB" w:rsidRPr="009B0055" w:rsidRDefault="009526AB" w:rsidP="003A4842">
            <w:pPr>
              <w:spacing w:before="0" w:after="0"/>
              <w:jc w:val="both"/>
              <w:rPr>
                <w:rFonts w:cstheme="minorHAnsi"/>
              </w:rPr>
            </w:pPr>
            <w:r>
              <w:rPr>
                <w:rFonts w:cstheme="minorHAnsi"/>
              </w:rPr>
              <w:t>2 000</w:t>
            </w:r>
          </w:p>
        </w:tc>
        <w:tc>
          <w:tcPr>
            <w:tcW w:w="1861" w:type="dxa"/>
            <w:vAlign w:val="center"/>
          </w:tcPr>
          <w:p w14:paraId="6529BE58" w14:textId="77777777" w:rsidR="009526AB" w:rsidRPr="009B0055" w:rsidRDefault="009526AB" w:rsidP="003A4842">
            <w:pPr>
              <w:spacing w:before="0" w:after="0"/>
              <w:jc w:val="both"/>
              <w:rPr>
                <w:rFonts w:cstheme="minorHAnsi"/>
              </w:rPr>
            </w:pPr>
            <w:r>
              <w:rPr>
                <w:rFonts w:cstheme="minorHAnsi"/>
              </w:rPr>
              <w:t>5 200</w:t>
            </w:r>
          </w:p>
        </w:tc>
        <w:tc>
          <w:tcPr>
            <w:tcW w:w="4174" w:type="dxa"/>
            <w:vMerge/>
          </w:tcPr>
          <w:p w14:paraId="0D783294" w14:textId="77777777" w:rsidR="009526AB" w:rsidRPr="009B0055" w:rsidRDefault="009526AB" w:rsidP="003A4842">
            <w:pPr>
              <w:spacing w:before="0" w:after="0"/>
              <w:jc w:val="both"/>
              <w:rPr>
                <w:rFonts w:cstheme="minorHAnsi"/>
              </w:rPr>
            </w:pPr>
          </w:p>
        </w:tc>
      </w:tr>
      <w:tr w:rsidR="009526AB" w:rsidRPr="009B0055" w14:paraId="498C0B21" w14:textId="77777777" w:rsidTr="003A4842">
        <w:trPr>
          <w:trHeight w:hRule="exact" w:val="412"/>
        </w:trPr>
        <w:tc>
          <w:tcPr>
            <w:tcW w:w="1185" w:type="dxa"/>
            <w:vAlign w:val="center"/>
          </w:tcPr>
          <w:p w14:paraId="42D5B6AB" w14:textId="77777777" w:rsidR="009526AB" w:rsidRPr="009B0055" w:rsidRDefault="009526AB" w:rsidP="003A4842">
            <w:pPr>
              <w:spacing w:before="0" w:after="0"/>
              <w:jc w:val="both"/>
              <w:rPr>
                <w:rFonts w:cstheme="minorHAnsi"/>
              </w:rPr>
            </w:pPr>
            <w:r>
              <w:rPr>
                <w:rFonts w:cstheme="minorHAnsi"/>
              </w:rPr>
              <w:t>2021</w:t>
            </w:r>
          </w:p>
        </w:tc>
        <w:tc>
          <w:tcPr>
            <w:tcW w:w="1861" w:type="dxa"/>
            <w:vAlign w:val="center"/>
          </w:tcPr>
          <w:p w14:paraId="1BCDA0BB" w14:textId="77777777" w:rsidR="009526AB" w:rsidRPr="009B0055" w:rsidRDefault="009526AB" w:rsidP="003A4842">
            <w:pPr>
              <w:spacing w:before="0" w:after="0"/>
              <w:jc w:val="both"/>
              <w:rPr>
                <w:rFonts w:cstheme="minorHAnsi"/>
              </w:rPr>
            </w:pPr>
            <w:r>
              <w:rPr>
                <w:rFonts w:cstheme="minorHAnsi"/>
              </w:rPr>
              <w:t>4 000</w:t>
            </w:r>
          </w:p>
        </w:tc>
        <w:tc>
          <w:tcPr>
            <w:tcW w:w="1861" w:type="dxa"/>
            <w:vAlign w:val="center"/>
          </w:tcPr>
          <w:p w14:paraId="3A9BDAE9" w14:textId="77777777" w:rsidR="009526AB" w:rsidRPr="009B0055" w:rsidRDefault="009526AB" w:rsidP="003A4842">
            <w:pPr>
              <w:spacing w:before="0" w:after="0"/>
              <w:jc w:val="both"/>
              <w:rPr>
                <w:rFonts w:cstheme="minorHAnsi"/>
              </w:rPr>
            </w:pPr>
            <w:r>
              <w:rPr>
                <w:rFonts w:cstheme="minorHAnsi"/>
              </w:rPr>
              <w:t>9 200</w:t>
            </w:r>
          </w:p>
        </w:tc>
        <w:tc>
          <w:tcPr>
            <w:tcW w:w="4174" w:type="dxa"/>
            <w:vMerge/>
          </w:tcPr>
          <w:p w14:paraId="0829E03C" w14:textId="77777777" w:rsidR="009526AB" w:rsidRPr="009B0055" w:rsidRDefault="009526AB" w:rsidP="003A4842">
            <w:pPr>
              <w:spacing w:before="0" w:after="0"/>
              <w:jc w:val="both"/>
              <w:rPr>
                <w:rFonts w:cstheme="minorHAnsi"/>
              </w:rPr>
            </w:pPr>
          </w:p>
        </w:tc>
      </w:tr>
      <w:tr w:rsidR="009526AB" w:rsidRPr="009B0055" w14:paraId="238FAC39" w14:textId="77777777" w:rsidTr="003A4842">
        <w:trPr>
          <w:trHeight w:hRule="exact" w:val="412"/>
        </w:trPr>
        <w:tc>
          <w:tcPr>
            <w:tcW w:w="1185" w:type="dxa"/>
            <w:vAlign w:val="center"/>
          </w:tcPr>
          <w:p w14:paraId="1C93C6B5" w14:textId="77777777" w:rsidR="009526AB" w:rsidRPr="009B0055" w:rsidRDefault="009526AB" w:rsidP="003A4842">
            <w:pPr>
              <w:spacing w:before="0" w:after="0"/>
              <w:jc w:val="both"/>
              <w:rPr>
                <w:rFonts w:cstheme="minorHAnsi"/>
              </w:rPr>
            </w:pPr>
            <w:r>
              <w:rPr>
                <w:rFonts w:cstheme="minorHAnsi"/>
              </w:rPr>
              <w:t>2022</w:t>
            </w:r>
          </w:p>
        </w:tc>
        <w:tc>
          <w:tcPr>
            <w:tcW w:w="1861" w:type="dxa"/>
            <w:vAlign w:val="center"/>
          </w:tcPr>
          <w:p w14:paraId="6C3ADFCC" w14:textId="77777777" w:rsidR="009526AB" w:rsidRPr="009B0055" w:rsidRDefault="009526AB" w:rsidP="003A4842">
            <w:pPr>
              <w:spacing w:before="0" w:after="0"/>
              <w:jc w:val="both"/>
              <w:rPr>
                <w:rFonts w:cstheme="minorHAnsi"/>
              </w:rPr>
            </w:pPr>
            <w:r>
              <w:rPr>
                <w:rFonts w:cstheme="minorHAnsi"/>
              </w:rPr>
              <w:t>8 000</w:t>
            </w:r>
          </w:p>
        </w:tc>
        <w:tc>
          <w:tcPr>
            <w:tcW w:w="1861" w:type="dxa"/>
            <w:vAlign w:val="center"/>
          </w:tcPr>
          <w:p w14:paraId="29A89158" w14:textId="77777777" w:rsidR="009526AB" w:rsidRPr="009B0055" w:rsidRDefault="009526AB" w:rsidP="003A4842">
            <w:pPr>
              <w:spacing w:before="0" w:after="0"/>
              <w:jc w:val="both"/>
              <w:rPr>
                <w:rFonts w:cstheme="minorHAnsi"/>
              </w:rPr>
            </w:pPr>
            <w:r>
              <w:rPr>
                <w:rFonts w:cstheme="minorHAnsi"/>
              </w:rPr>
              <w:t>17 200</w:t>
            </w:r>
          </w:p>
        </w:tc>
        <w:tc>
          <w:tcPr>
            <w:tcW w:w="4174" w:type="dxa"/>
            <w:vMerge/>
          </w:tcPr>
          <w:p w14:paraId="42DC96BD" w14:textId="77777777" w:rsidR="009526AB" w:rsidRPr="009B0055" w:rsidRDefault="009526AB" w:rsidP="003A4842">
            <w:pPr>
              <w:spacing w:before="0" w:after="0"/>
              <w:jc w:val="both"/>
              <w:rPr>
                <w:rFonts w:cstheme="minorHAnsi"/>
              </w:rPr>
            </w:pPr>
          </w:p>
        </w:tc>
      </w:tr>
      <w:tr w:rsidR="009526AB" w:rsidRPr="009B0055" w14:paraId="2EC5B03A" w14:textId="77777777" w:rsidTr="003A4842">
        <w:trPr>
          <w:trHeight w:hRule="exact" w:val="412"/>
        </w:trPr>
        <w:tc>
          <w:tcPr>
            <w:tcW w:w="1185" w:type="dxa"/>
            <w:vAlign w:val="center"/>
          </w:tcPr>
          <w:p w14:paraId="59CEDF32" w14:textId="77777777" w:rsidR="009526AB" w:rsidRPr="009B0055" w:rsidRDefault="009526AB" w:rsidP="003A4842">
            <w:pPr>
              <w:spacing w:before="0" w:after="0"/>
              <w:jc w:val="both"/>
              <w:rPr>
                <w:rFonts w:cstheme="minorHAnsi"/>
              </w:rPr>
            </w:pPr>
            <w:r>
              <w:rPr>
                <w:rFonts w:cstheme="minorHAnsi"/>
              </w:rPr>
              <w:t>2023</w:t>
            </w:r>
          </w:p>
        </w:tc>
        <w:tc>
          <w:tcPr>
            <w:tcW w:w="1861" w:type="dxa"/>
            <w:vAlign w:val="center"/>
          </w:tcPr>
          <w:p w14:paraId="70556EDB" w14:textId="77777777" w:rsidR="009526AB" w:rsidRPr="009B0055" w:rsidRDefault="009526AB" w:rsidP="003A4842">
            <w:pPr>
              <w:spacing w:before="0" w:after="0"/>
              <w:jc w:val="both"/>
              <w:rPr>
                <w:rFonts w:cstheme="minorHAnsi"/>
              </w:rPr>
            </w:pPr>
            <w:r>
              <w:rPr>
                <w:rFonts w:cstheme="minorHAnsi"/>
              </w:rPr>
              <w:t>13 000</w:t>
            </w:r>
          </w:p>
        </w:tc>
        <w:tc>
          <w:tcPr>
            <w:tcW w:w="1861" w:type="dxa"/>
            <w:vAlign w:val="center"/>
          </w:tcPr>
          <w:p w14:paraId="188AC4C4" w14:textId="77777777" w:rsidR="009526AB" w:rsidRPr="009B0055" w:rsidRDefault="009526AB" w:rsidP="003A4842">
            <w:pPr>
              <w:spacing w:before="0" w:after="0"/>
              <w:jc w:val="both"/>
              <w:rPr>
                <w:rFonts w:cstheme="minorHAnsi"/>
              </w:rPr>
            </w:pPr>
            <w:r>
              <w:rPr>
                <w:rFonts w:cstheme="minorHAnsi"/>
              </w:rPr>
              <w:t>30 200</w:t>
            </w:r>
          </w:p>
        </w:tc>
        <w:tc>
          <w:tcPr>
            <w:tcW w:w="4174" w:type="dxa"/>
            <w:vMerge/>
          </w:tcPr>
          <w:p w14:paraId="1EAB5AC3" w14:textId="77777777" w:rsidR="009526AB" w:rsidRPr="009B0055" w:rsidRDefault="009526AB" w:rsidP="003A4842">
            <w:pPr>
              <w:spacing w:before="0" w:after="0"/>
              <w:jc w:val="both"/>
              <w:rPr>
                <w:rFonts w:cstheme="minorHAnsi"/>
              </w:rPr>
            </w:pPr>
          </w:p>
        </w:tc>
      </w:tr>
      <w:tr w:rsidR="009526AB" w:rsidRPr="009B0055" w14:paraId="0E1978A3" w14:textId="77777777" w:rsidTr="003A4842">
        <w:trPr>
          <w:trHeight w:hRule="exact" w:val="412"/>
        </w:trPr>
        <w:tc>
          <w:tcPr>
            <w:tcW w:w="1185" w:type="dxa"/>
            <w:vAlign w:val="center"/>
          </w:tcPr>
          <w:p w14:paraId="71065C30" w14:textId="77777777" w:rsidR="009526AB" w:rsidRPr="009B0055" w:rsidRDefault="009526AB" w:rsidP="003A4842">
            <w:pPr>
              <w:spacing w:before="0" w:after="0"/>
              <w:jc w:val="both"/>
              <w:rPr>
                <w:rFonts w:cstheme="minorHAnsi"/>
              </w:rPr>
            </w:pPr>
            <w:r>
              <w:rPr>
                <w:rFonts w:cstheme="minorHAnsi"/>
              </w:rPr>
              <w:t>2024</w:t>
            </w:r>
          </w:p>
        </w:tc>
        <w:tc>
          <w:tcPr>
            <w:tcW w:w="1861" w:type="dxa"/>
            <w:vAlign w:val="center"/>
          </w:tcPr>
          <w:p w14:paraId="1C0B8358" w14:textId="77777777" w:rsidR="009526AB" w:rsidRPr="009B0055" w:rsidRDefault="009526AB" w:rsidP="003A4842">
            <w:pPr>
              <w:spacing w:before="0" w:after="0"/>
              <w:jc w:val="both"/>
              <w:rPr>
                <w:rFonts w:cstheme="minorHAnsi"/>
              </w:rPr>
            </w:pPr>
            <w:r>
              <w:rPr>
                <w:rFonts w:cstheme="minorHAnsi"/>
              </w:rPr>
              <w:t>17 000</w:t>
            </w:r>
          </w:p>
        </w:tc>
        <w:tc>
          <w:tcPr>
            <w:tcW w:w="1861" w:type="dxa"/>
            <w:vAlign w:val="center"/>
          </w:tcPr>
          <w:p w14:paraId="00BA7BA6" w14:textId="77777777" w:rsidR="009526AB" w:rsidRPr="009B0055" w:rsidRDefault="009526AB" w:rsidP="003A4842">
            <w:pPr>
              <w:spacing w:before="0" w:after="0"/>
              <w:jc w:val="both"/>
              <w:rPr>
                <w:rFonts w:cstheme="minorHAnsi"/>
              </w:rPr>
            </w:pPr>
            <w:r>
              <w:rPr>
                <w:rFonts w:cstheme="minorHAnsi"/>
              </w:rPr>
              <w:t>47 200</w:t>
            </w:r>
          </w:p>
        </w:tc>
        <w:tc>
          <w:tcPr>
            <w:tcW w:w="4174" w:type="dxa"/>
            <w:vMerge/>
          </w:tcPr>
          <w:p w14:paraId="0D263705" w14:textId="77777777" w:rsidR="009526AB" w:rsidRPr="009B0055" w:rsidRDefault="009526AB" w:rsidP="003A4842">
            <w:pPr>
              <w:spacing w:before="0" w:after="0"/>
              <w:jc w:val="both"/>
              <w:rPr>
                <w:rFonts w:cstheme="minorHAnsi"/>
              </w:rPr>
            </w:pPr>
          </w:p>
        </w:tc>
      </w:tr>
      <w:tr w:rsidR="009526AB" w:rsidRPr="009B0055" w14:paraId="1DE26108" w14:textId="77777777" w:rsidTr="003A4842">
        <w:trPr>
          <w:trHeight w:hRule="exact" w:val="412"/>
        </w:trPr>
        <w:tc>
          <w:tcPr>
            <w:tcW w:w="1185" w:type="dxa"/>
            <w:vAlign w:val="center"/>
          </w:tcPr>
          <w:p w14:paraId="0235BE94" w14:textId="77777777" w:rsidR="009526AB" w:rsidRPr="009B0055" w:rsidRDefault="009526AB" w:rsidP="003A4842">
            <w:pPr>
              <w:spacing w:before="0" w:after="0"/>
              <w:jc w:val="both"/>
              <w:rPr>
                <w:rFonts w:cstheme="minorHAnsi"/>
              </w:rPr>
            </w:pPr>
            <w:r>
              <w:rPr>
                <w:rFonts w:cstheme="minorHAnsi"/>
              </w:rPr>
              <w:t>2025</w:t>
            </w:r>
          </w:p>
        </w:tc>
        <w:tc>
          <w:tcPr>
            <w:tcW w:w="1861" w:type="dxa"/>
            <w:vAlign w:val="center"/>
          </w:tcPr>
          <w:p w14:paraId="62DCD5D2" w14:textId="77777777" w:rsidR="009526AB" w:rsidRPr="009B0055" w:rsidRDefault="009526AB" w:rsidP="003A4842">
            <w:pPr>
              <w:spacing w:before="0" w:after="0"/>
              <w:jc w:val="both"/>
              <w:rPr>
                <w:rFonts w:cstheme="minorHAnsi"/>
              </w:rPr>
            </w:pPr>
            <w:r>
              <w:rPr>
                <w:rFonts w:cstheme="minorHAnsi"/>
              </w:rPr>
              <w:t>21 000</w:t>
            </w:r>
          </w:p>
        </w:tc>
        <w:tc>
          <w:tcPr>
            <w:tcW w:w="1861" w:type="dxa"/>
            <w:vAlign w:val="center"/>
          </w:tcPr>
          <w:p w14:paraId="4D03B544" w14:textId="77777777" w:rsidR="009526AB" w:rsidRPr="009B0055" w:rsidRDefault="009526AB" w:rsidP="003A4842">
            <w:pPr>
              <w:spacing w:before="0" w:after="0"/>
              <w:jc w:val="both"/>
              <w:rPr>
                <w:rFonts w:cstheme="minorHAnsi"/>
              </w:rPr>
            </w:pPr>
            <w:r>
              <w:rPr>
                <w:rFonts w:cstheme="minorHAnsi"/>
              </w:rPr>
              <w:t>68 200</w:t>
            </w:r>
          </w:p>
        </w:tc>
        <w:tc>
          <w:tcPr>
            <w:tcW w:w="4174" w:type="dxa"/>
          </w:tcPr>
          <w:p w14:paraId="224DCDF1" w14:textId="77777777" w:rsidR="009526AB" w:rsidRPr="009B0055" w:rsidRDefault="009526AB" w:rsidP="003A4842">
            <w:pPr>
              <w:spacing w:before="0" w:after="0"/>
              <w:jc w:val="both"/>
              <w:rPr>
                <w:rFonts w:cstheme="minorHAnsi"/>
              </w:rPr>
            </w:pPr>
            <w:r w:rsidRPr="00F97C42">
              <w:rPr>
                <w:rFonts w:cstheme="minorHAnsi"/>
                <w:sz w:val="18"/>
              </w:rPr>
              <w:t>cca 1,1 % vozového parku, do 10 % přírůstku ročních registrací</w:t>
            </w:r>
          </w:p>
        </w:tc>
      </w:tr>
      <w:tr w:rsidR="009526AB" w:rsidRPr="009B0055" w14:paraId="209EBDA3" w14:textId="77777777" w:rsidTr="003A4842">
        <w:trPr>
          <w:trHeight w:hRule="exact" w:val="412"/>
        </w:trPr>
        <w:tc>
          <w:tcPr>
            <w:tcW w:w="1185" w:type="dxa"/>
            <w:vAlign w:val="center"/>
          </w:tcPr>
          <w:p w14:paraId="10B13884" w14:textId="77777777" w:rsidR="009526AB" w:rsidRPr="009B0055" w:rsidRDefault="009526AB" w:rsidP="003A4842">
            <w:pPr>
              <w:spacing w:before="0" w:after="0"/>
              <w:jc w:val="both"/>
              <w:rPr>
                <w:rFonts w:cstheme="minorHAnsi"/>
              </w:rPr>
            </w:pPr>
            <w:r>
              <w:rPr>
                <w:rFonts w:cstheme="minorHAnsi"/>
              </w:rPr>
              <w:t>2026</w:t>
            </w:r>
          </w:p>
        </w:tc>
        <w:tc>
          <w:tcPr>
            <w:tcW w:w="1861" w:type="dxa"/>
            <w:vAlign w:val="center"/>
          </w:tcPr>
          <w:p w14:paraId="79D1D3CD" w14:textId="77777777" w:rsidR="009526AB" w:rsidRPr="009B0055" w:rsidRDefault="009526AB" w:rsidP="003A4842">
            <w:pPr>
              <w:spacing w:before="0" w:after="0"/>
              <w:jc w:val="both"/>
              <w:rPr>
                <w:rFonts w:cstheme="minorHAnsi"/>
              </w:rPr>
            </w:pPr>
            <w:r>
              <w:rPr>
                <w:rFonts w:cstheme="minorHAnsi"/>
              </w:rPr>
              <w:t>24 000</w:t>
            </w:r>
          </w:p>
        </w:tc>
        <w:tc>
          <w:tcPr>
            <w:tcW w:w="1861" w:type="dxa"/>
            <w:vAlign w:val="center"/>
          </w:tcPr>
          <w:p w14:paraId="01B753FE" w14:textId="77777777" w:rsidR="009526AB" w:rsidRPr="009B0055" w:rsidRDefault="009526AB" w:rsidP="003A4842">
            <w:pPr>
              <w:spacing w:before="0" w:after="0"/>
              <w:jc w:val="both"/>
              <w:rPr>
                <w:rFonts w:cstheme="minorHAnsi"/>
              </w:rPr>
            </w:pPr>
            <w:r>
              <w:rPr>
                <w:rFonts w:cstheme="minorHAnsi"/>
              </w:rPr>
              <w:t>92 200</w:t>
            </w:r>
          </w:p>
        </w:tc>
        <w:tc>
          <w:tcPr>
            <w:tcW w:w="4174" w:type="dxa"/>
            <w:vMerge w:val="restart"/>
            <w:vAlign w:val="center"/>
          </w:tcPr>
          <w:p w14:paraId="711DD5C4" w14:textId="77777777" w:rsidR="009526AB" w:rsidRPr="009B0055" w:rsidRDefault="009526AB" w:rsidP="003A4842">
            <w:pPr>
              <w:spacing w:before="0" w:after="0"/>
              <w:jc w:val="both"/>
              <w:rPr>
                <w:rFonts w:cstheme="minorHAnsi"/>
              </w:rPr>
            </w:pPr>
          </w:p>
        </w:tc>
      </w:tr>
      <w:tr w:rsidR="009526AB" w:rsidRPr="009B0055" w14:paraId="570BE766" w14:textId="77777777" w:rsidTr="003A4842">
        <w:trPr>
          <w:trHeight w:hRule="exact" w:val="412"/>
        </w:trPr>
        <w:tc>
          <w:tcPr>
            <w:tcW w:w="1185" w:type="dxa"/>
            <w:vAlign w:val="center"/>
          </w:tcPr>
          <w:p w14:paraId="04DDE352" w14:textId="77777777" w:rsidR="009526AB" w:rsidRPr="009B0055" w:rsidRDefault="009526AB" w:rsidP="003A4842">
            <w:pPr>
              <w:spacing w:before="0" w:after="0"/>
              <w:jc w:val="both"/>
              <w:rPr>
                <w:rFonts w:cstheme="minorHAnsi"/>
              </w:rPr>
            </w:pPr>
            <w:r>
              <w:rPr>
                <w:rFonts w:cstheme="minorHAnsi"/>
              </w:rPr>
              <w:t>2027</w:t>
            </w:r>
          </w:p>
        </w:tc>
        <w:tc>
          <w:tcPr>
            <w:tcW w:w="1861" w:type="dxa"/>
            <w:vAlign w:val="center"/>
          </w:tcPr>
          <w:p w14:paraId="4F6670BE" w14:textId="77777777" w:rsidR="009526AB" w:rsidRPr="009B0055" w:rsidRDefault="009526AB" w:rsidP="003A4842">
            <w:pPr>
              <w:spacing w:before="0" w:after="0"/>
              <w:jc w:val="both"/>
              <w:rPr>
                <w:rFonts w:cstheme="minorHAnsi"/>
              </w:rPr>
            </w:pPr>
            <w:r>
              <w:rPr>
                <w:rFonts w:cstheme="minorHAnsi"/>
              </w:rPr>
              <w:t>27 000</w:t>
            </w:r>
          </w:p>
        </w:tc>
        <w:tc>
          <w:tcPr>
            <w:tcW w:w="1861" w:type="dxa"/>
            <w:vAlign w:val="center"/>
          </w:tcPr>
          <w:p w14:paraId="28000C74" w14:textId="77777777" w:rsidR="009526AB" w:rsidRPr="009B0055" w:rsidRDefault="009526AB" w:rsidP="003A4842">
            <w:pPr>
              <w:spacing w:before="0" w:after="0"/>
              <w:jc w:val="both"/>
              <w:rPr>
                <w:rFonts w:cstheme="minorHAnsi"/>
              </w:rPr>
            </w:pPr>
            <w:r>
              <w:rPr>
                <w:rFonts w:cstheme="minorHAnsi"/>
              </w:rPr>
              <w:t>119 200</w:t>
            </w:r>
          </w:p>
        </w:tc>
        <w:tc>
          <w:tcPr>
            <w:tcW w:w="4174" w:type="dxa"/>
            <w:vMerge/>
          </w:tcPr>
          <w:p w14:paraId="24EA9968" w14:textId="77777777" w:rsidR="009526AB" w:rsidRPr="009B0055" w:rsidRDefault="009526AB" w:rsidP="003A4842">
            <w:pPr>
              <w:spacing w:before="0" w:after="0"/>
              <w:jc w:val="both"/>
              <w:rPr>
                <w:rFonts w:cstheme="minorHAnsi"/>
              </w:rPr>
            </w:pPr>
          </w:p>
        </w:tc>
      </w:tr>
      <w:tr w:rsidR="009526AB" w:rsidRPr="009B0055" w14:paraId="6C6F7C95" w14:textId="77777777" w:rsidTr="003A4842">
        <w:trPr>
          <w:trHeight w:hRule="exact" w:val="412"/>
        </w:trPr>
        <w:tc>
          <w:tcPr>
            <w:tcW w:w="1185" w:type="dxa"/>
            <w:vAlign w:val="center"/>
          </w:tcPr>
          <w:p w14:paraId="7EB90BDE" w14:textId="77777777" w:rsidR="009526AB" w:rsidRDefault="009526AB" w:rsidP="003A4842">
            <w:pPr>
              <w:spacing w:before="0" w:after="0"/>
              <w:jc w:val="both"/>
              <w:rPr>
                <w:rFonts w:cstheme="minorHAnsi"/>
              </w:rPr>
            </w:pPr>
            <w:r>
              <w:rPr>
                <w:rFonts w:cstheme="minorHAnsi"/>
              </w:rPr>
              <w:t>2028</w:t>
            </w:r>
          </w:p>
        </w:tc>
        <w:tc>
          <w:tcPr>
            <w:tcW w:w="1861" w:type="dxa"/>
            <w:vAlign w:val="center"/>
          </w:tcPr>
          <w:p w14:paraId="1C093F5C" w14:textId="77777777" w:rsidR="009526AB" w:rsidRPr="009B0055" w:rsidRDefault="009526AB" w:rsidP="003A4842">
            <w:pPr>
              <w:spacing w:before="0" w:after="0"/>
              <w:jc w:val="both"/>
              <w:rPr>
                <w:rFonts w:cstheme="minorHAnsi"/>
              </w:rPr>
            </w:pPr>
            <w:r>
              <w:rPr>
                <w:rFonts w:cstheme="minorHAnsi"/>
              </w:rPr>
              <w:t>30 000</w:t>
            </w:r>
          </w:p>
        </w:tc>
        <w:tc>
          <w:tcPr>
            <w:tcW w:w="1861" w:type="dxa"/>
            <w:vAlign w:val="center"/>
          </w:tcPr>
          <w:p w14:paraId="29D05BB4" w14:textId="77777777" w:rsidR="009526AB" w:rsidRPr="009B0055" w:rsidRDefault="009526AB" w:rsidP="003A4842">
            <w:pPr>
              <w:spacing w:before="0" w:after="0"/>
              <w:jc w:val="both"/>
              <w:rPr>
                <w:rFonts w:cstheme="minorHAnsi"/>
              </w:rPr>
            </w:pPr>
            <w:r>
              <w:rPr>
                <w:rFonts w:cstheme="minorHAnsi"/>
              </w:rPr>
              <w:t>149 200</w:t>
            </w:r>
          </w:p>
        </w:tc>
        <w:tc>
          <w:tcPr>
            <w:tcW w:w="4174" w:type="dxa"/>
            <w:vMerge/>
          </w:tcPr>
          <w:p w14:paraId="395AD378" w14:textId="77777777" w:rsidR="009526AB" w:rsidRPr="009B0055" w:rsidRDefault="009526AB" w:rsidP="003A4842">
            <w:pPr>
              <w:spacing w:before="0" w:after="0"/>
              <w:jc w:val="both"/>
              <w:rPr>
                <w:rFonts w:cstheme="minorHAnsi"/>
              </w:rPr>
            </w:pPr>
          </w:p>
        </w:tc>
      </w:tr>
      <w:tr w:rsidR="009526AB" w:rsidRPr="009B0055" w14:paraId="73323194" w14:textId="77777777" w:rsidTr="003A4842">
        <w:trPr>
          <w:trHeight w:hRule="exact" w:val="412"/>
        </w:trPr>
        <w:tc>
          <w:tcPr>
            <w:tcW w:w="1185" w:type="dxa"/>
            <w:vAlign w:val="center"/>
          </w:tcPr>
          <w:p w14:paraId="0C0B3FBE" w14:textId="77777777" w:rsidR="009526AB" w:rsidRDefault="009526AB" w:rsidP="003A4842">
            <w:pPr>
              <w:spacing w:before="0" w:after="0"/>
              <w:jc w:val="both"/>
              <w:rPr>
                <w:rFonts w:cstheme="minorHAnsi"/>
              </w:rPr>
            </w:pPr>
            <w:r>
              <w:rPr>
                <w:rFonts w:cstheme="minorHAnsi"/>
              </w:rPr>
              <w:t>2029</w:t>
            </w:r>
          </w:p>
        </w:tc>
        <w:tc>
          <w:tcPr>
            <w:tcW w:w="1861" w:type="dxa"/>
            <w:vAlign w:val="center"/>
          </w:tcPr>
          <w:p w14:paraId="269906CF" w14:textId="77777777" w:rsidR="009526AB" w:rsidRPr="009B0055" w:rsidRDefault="009526AB" w:rsidP="003A4842">
            <w:pPr>
              <w:spacing w:before="0" w:after="0"/>
              <w:jc w:val="both"/>
              <w:rPr>
                <w:rFonts w:cstheme="minorHAnsi"/>
              </w:rPr>
            </w:pPr>
            <w:r>
              <w:rPr>
                <w:rFonts w:cstheme="minorHAnsi"/>
              </w:rPr>
              <w:t>33 000</w:t>
            </w:r>
          </w:p>
        </w:tc>
        <w:tc>
          <w:tcPr>
            <w:tcW w:w="1861" w:type="dxa"/>
            <w:vAlign w:val="center"/>
          </w:tcPr>
          <w:p w14:paraId="57A7022C" w14:textId="77777777" w:rsidR="009526AB" w:rsidRPr="009B0055" w:rsidRDefault="009526AB" w:rsidP="003A4842">
            <w:pPr>
              <w:spacing w:before="0" w:after="0"/>
              <w:jc w:val="both"/>
              <w:rPr>
                <w:rFonts w:cstheme="minorHAnsi"/>
              </w:rPr>
            </w:pPr>
            <w:r>
              <w:rPr>
                <w:rFonts w:cstheme="minorHAnsi"/>
              </w:rPr>
              <w:t>182 200</w:t>
            </w:r>
          </w:p>
        </w:tc>
        <w:tc>
          <w:tcPr>
            <w:tcW w:w="4174" w:type="dxa"/>
            <w:vMerge/>
          </w:tcPr>
          <w:p w14:paraId="3D0B3D0F" w14:textId="77777777" w:rsidR="009526AB" w:rsidRPr="009B0055" w:rsidRDefault="009526AB" w:rsidP="003A4842">
            <w:pPr>
              <w:spacing w:before="0" w:after="0"/>
              <w:jc w:val="both"/>
              <w:rPr>
                <w:rFonts w:cstheme="minorHAnsi"/>
              </w:rPr>
            </w:pPr>
          </w:p>
        </w:tc>
      </w:tr>
      <w:tr w:rsidR="009526AB" w:rsidRPr="009B0055" w14:paraId="3615B394" w14:textId="77777777" w:rsidTr="003A4842">
        <w:trPr>
          <w:trHeight w:hRule="exact" w:val="412"/>
        </w:trPr>
        <w:tc>
          <w:tcPr>
            <w:tcW w:w="1185" w:type="dxa"/>
            <w:vAlign w:val="center"/>
          </w:tcPr>
          <w:p w14:paraId="67A4DF64" w14:textId="77777777" w:rsidR="009526AB" w:rsidRDefault="009526AB" w:rsidP="003A4842">
            <w:pPr>
              <w:spacing w:before="0" w:after="0"/>
              <w:jc w:val="both"/>
              <w:rPr>
                <w:rFonts w:cstheme="minorHAnsi"/>
              </w:rPr>
            </w:pPr>
            <w:r>
              <w:rPr>
                <w:rFonts w:cstheme="minorHAnsi"/>
              </w:rPr>
              <w:t>2030</w:t>
            </w:r>
          </w:p>
        </w:tc>
        <w:tc>
          <w:tcPr>
            <w:tcW w:w="1861" w:type="dxa"/>
            <w:vAlign w:val="center"/>
          </w:tcPr>
          <w:p w14:paraId="3B1AFD6F" w14:textId="77777777" w:rsidR="009526AB" w:rsidRPr="009B0055" w:rsidRDefault="009526AB" w:rsidP="003A4842">
            <w:pPr>
              <w:spacing w:before="0" w:after="0"/>
              <w:jc w:val="both"/>
              <w:rPr>
                <w:rFonts w:cstheme="minorHAnsi"/>
              </w:rPr>
            </w:pPr>
            <w:r>
              <w:rPr>
                <w:rFonts w:cstheme="minorHAnsi"/>
              </w:rPr>
              <w:t>35 000</w:t>
            </w:r>
          </w:p>
        </w:tc>
        <w:tc>
          <w:tcPr>
            <w:tcW w:w="1861" w:type="dxa"/>
            <w:vAlign w:val="center"/>
          </w:tcPr>
          <w:p w14:paraId="157959B4" w14:textId="77777777" w:rsidR="009526AB" w:rsidRPr="009B0055" w:rsidRDefault="009526AB" w:rsidP="003A4842">
            <w:pPr>
              <w:spacing w:before="0" w:after="0"/>
              <w:jc w:val="both"/>
              <w:rPr>
                <w:rFonts w:cstheme="minorHAnsi"/>
              </w:rPr>
            </w:pPr>
            <w:r>
              <w:rPr>
                <w:rFonts w:cstheme="minorHAnsi"/>
              </w:rPr>
              <w:t>217 200</w:t>
            </w:r>
          </w:p>
        </w:tc>
        <w:tc>
          <w:tcPr>
            <w:tcW w:w="4174" w:type="dxa"/>
          </w:tcPr>
          <w:p w14:paraId="6B7301B7" w14:textId="77777777" w:rsidR="009526AB" w:rsidRPr="009B0055" w:rsidRDefault="009526AB" w:rsidP="003A4842">
            <w:pPr>
              <w:spacing w:before="0" w:after="0"/>
              <w:jc w:val="both"/>
              <w:rPr>
                <w:rFonts w:cstheme="minorHAnsi"/>
              </w:rPr>
            </w:pPr>
            <w:r w:rsidRPr="00F97C42">
              <w:rPr>
                <w:rFonts w:cstheme="minorHAnsi"/>
                <w:sz w:val="18"/>
              </w:rPr>
              <w:t>cca 3 % vozového parku, do 15 % přírůstku ročních registrací</w:t>
            </w:r>
          </w:p>
        </w:tc>
      </w:tr>
    </w:tbl>
    <w:p w14:paraId="79971665" w14:textId="77777777" w:rsidR="005A50D2" w:rsidRPr="002A0818" w:rsidRDefault="005A50D2" w:rsidP="009A3B7E">
      <w:pPr>
        <w:jc w:val="both"/>
        <w:rPr>
          <w:sz w:val="18"/>
          <w:szCs w:val="18"/>
        </w:rPr>
      </w:pPr>
      <w:r w:rsidRPr="002A0818">
        <w:rPr>
          <w:sz w:val="18"/>
          <w:szCs w:val="18"/>
        </w:rPr>
        <w:t>Zdroj: SDA, 2018</w:t>
      </w:r>
    </w:p>
    <w:p w14:paraId="34431488" w14:textId="0DC201E6" w:rsidR="00A0449C" w:rsidRDefault="00A0449C" w:rsidP="009A3B7E">
      <w:pPr>
        <w:jc w:val="both"/>
      </w:pPr>
      <w:r>
        <w:t>Rostoucí podíl vozidel bude vyžadovat odpovídající dobíjecí infrastrukturu, kdy podobně jako v</w:t>
      </w:r>
      <w:r w:rsidR="005A1247">
        <w:t> </w:t>
      </w:r>
      <w:r>
        <w:t xml:space="preserve">případě vozidel predikce odhadují </w:t>
      </w:r>
      <w:r w:rsidR="005A50D2">
        <w:t xml:space="preserve">pro NAP SG </w:t>
      </w:r>
      <w:r>
        <w:t>6 500 (nízký</w:t>
      </w:r>
      <w:r w:rsidR="005A50D2">
        <w:t xml:space="preserve"> scénář</w:t>
      </w:r>
      <w:r>
        <w:t>) až 60 000 (vysoký) veřejných dobíjecích stanic</w:t>
      </w:r>
      <w:r w:rsidR="00646392">
        <w:t xml:space="preserve"> do roku 2030</w:t>
      </w:r>
      <w:r>
        <w:t>.</w:t>
      </w:r>
      <w:r w:rsidR="005A50D2">
        <w:t xml:space="preserve"> </w:t>
      </w:r>
    </w:p>
    <w:p w14:paraId="0C77785B" w14:textId="4C104E07" w:rsidR="00A0449C" w:rsidRDefault="00A0449C" w:rsidP="009A3B7E">
      <w:pPr>
        <w:jc w:val="both"/>
      </w:pPr>
      <w:r>
        <w:t>V případě provozu veřejné dobíjecí infrastruktury se předpokládá postupný rozvoj interoperability a</w:t>
      </w:r>
      <w:r w:rsidR="005A1247">
        <w:t> </w:t>
      </w:r>
      <w:r>
        <w:t>roamingu mezi provozovateli veřejných dobíjecích stanic a</w:t>
      </w:r>
      <w:r w:rsidR="005A1247">
        <w:t> </w:t>
      </w:r>
      <w:r>
        <w:t>postupné oddělování rolí provozovatele dobíjecí infrastruktury a</w:t>
      </w:r>
      <w:r w:rsidR="005A1247">
        <w:t> </w:t>
      </w:r>
      <w:r>
        <w:t>poskytovatele služby dobíjení s</w:t>
      </w:r>
      <w:r w:rsidR="005A1247">
        <w:t> </w:t>
      </w:r>
      <w:r>
        <w:t>tím, jak bude trh nabírat potřebnou hloubku. S</w:t>
      </w:r>
      <w:r w:rsidR="005A1247">
        <w:t> </w:t>
      </w:r>
      <w:r>
        <w:t>rostoucí kapacitou akumulátorů ve vozidlech se bude rozvíjet i</w:t>
      </w:r>
      <w:r w:rsidR="005A1247">
        <w:t> </w:t>
      </w:r>
      <w:r>
        <w:t>výkonnější infrastruktura s</w:t>
      </w:r>
      <w:r w:rsidR="005A1247">
        <w:t> </w:t>
      </w:r>
      <w:r>
        <w:t>výkony nad 100 kW a</w:t>
      </w:r>
      <w:r w:rsidR="005A1247">
        <w:t> </w:t>
      </w:r>
      <w:r>
        <w:t>poroste i</w:t>
      </w:r>
      <w:r w:rsidR="005A1247">
        <w:t> </w:t>
      </w:r>
      <w:r>
        <w:t>význam neveřejné (firemní, domácí) a</w:t>
      </w:r>
      <w:r w:rsidR="005A1247">
        <w:t> </w:t>
      </w:r>
      <w:r>
        <w:t>poloveřejné</w:t>
      </w:r>
      <w:r w:rsidR="001F7AA2">
        <w:rPr>
          <w:rStyle w:val="Znakapoznpodarou"/>
        </w:rPr>
        <w:footnoteReference w:id="3"/>
      </w:r>
      <w:r>
        <w:t xml:space="preserve"> </w:t>
      </w:r>
      <w:r w:rsidR="00D639DF">
        <w:t>(stanice</w:t>
      </w:r>
      <w:r w:rsidR="00AB771C">
        <w:t xml:space="preserve"> s</w:t>
      </w:r>
      <w:r w:rsidR="005A1247">
        <w:t> </w:t>
      </w:r>
      <w:r w:rsidR="00AB771C">
        <w:t>vymezeným přístupem</w:t>
      </w:r>
      <w:r w:rsidR="00D639DF">
        <w:t xml:space="preserve">) </w:t>
      </w:r>
      <w:r>
        <w:t>dobíjecí infrastruktury, což se projeví i</w:t>
      </w:r>
      <w:r w:rsidR="005A1247">
        <w:t> </w:t>
      </w:r>
      <w:r>
        <w:t>v</w:t>
      </w:r>
      <w:r w:rsidR="000F2439">
        <w:t> </w:t>
      </w:r>
      <w:r>
        <w:t>potřebě větší míry flexibility při nastavování mechanismů podpory.</w:t>
      </w:r>
    </w:p>
    <w:p w14:paraId="5E50F174" w14:textId="2B4BD80C" w:rsidR="00A0449C" w:rsidRDefault="00A0449C" w:rsidP="009A3B7E">
      <w:pPr>
        <w:jc w:val="both"/>
      </w:pPr>
      <w:r>
        <w:lastRenderedPageBreak/>
        <w:t>Vzhledem k</w:t>
      </w:r>
      <w:r w:rsidR="005A1247">
        <w:t> </w:t>
      </w:r>
      <w:r>
        <w:t>rostoucímu počtu dobíjecích stanic a</w:t>
      </w:r>
      <w:r w:rsidR="005A1247">
        <w:t> </w:t>
      </w:r>
      <w:r>
        <w:t>odběru elektřiny pro dobíjení bude důležité sladit plány rozvoje elektromobility s</w:t>
      </w:r>
      <w:r w:rsidR="005A1247">
        <w:t> </w:t>
      </w:r>
      <w:r>
        <w:t xml:space="preserve">plány rozvoje distribučních sítí, </w:t>
      </w:r>
      <w:r w:rsidR="00D639DF">
        <w:t xml:space="preserve">formou </w:t>
      </w:r>
      <w:r>
        <w:t>propojení</w:t>
      </w:r>
      <w:r w:rsidR="00D639DF">
        <w:t xml:space="preserve"> </w:t>
      </w:r>
      <w:r>
        <w:t>NAP</w:t>
      </w:r>
      <w:r w:rsidR="00D639DF">
        <w:t> </w:t>
      </w:r>
      <w:r>
        <w:t>CM a</w:t>
      </w:r>
      <w:r w:rsidR="005A1247">
        <w:t> </w:t>
      </w:r>
      <w:r>
        <w:t>NAP SG.</w:t>
      </w:r>
    </w:p>
    <w:p w14:paraId="624BEA65" w14:textId="52F39978" w:rsidR="00782889" w:rsidRDefault="00782889" w:rsidP="009A3B7E">
      <w:pPr>
        <w:jc w:val="both"/>
      </w:pPr>
      <w:r>
        <w:t xml:space="preserve">Elektrifikace dopravy je současně jedním </w:t>
      </w:r>
      <w:r w:rsidR="000B7293">
        <w:t>z</w:t>
      </w:r>
      <w:r w:rsidR="005A1247">
        <w:t> </w:t>
      </w:r>
      <w:r>
        <w:t>příspěvků k</w:t>
      </w:r>
      <w:r w:rsidR="005A1247">
        <w:t> </w:t>
      </w:r>
      <w:r w:rsidR="00BF5310">
        <w:t>plnění cílů</w:t>
      </w:r>
      <w:r>
        <w:t xml:space="preserve"> </w:t>
      </w:r>
      <w:r w:rsidR="00F67E6B" w:rsidRPr="00F67E6B">
        <w:t>Vnitrostátního plánu České republiky v</w:t>
      </w:r>
      <w:r w:rsidR="005A1247">
        <w:t> </w:t>
      </w:r>
      <w:r w:rsidR="00F67E6B" w:rsidRPr="00F67E6B">
        <w:t>oblasti energetiky a</w:t>
      </w:r>
      <w:r w:rsidR="005A1247">
        <w:t> </w:t>
      </w:r>
      <w:r w:rsidR="00BF5310">
        <w:t>klimatu, jehož smyslem je mimo jiné nastavit příspěvek ČR k</w:t>
      </w:r>
      <w:r w:rsidR="005A1247">
        <w:t> </w:t>
      </w:r>
      <w:r w:rsidR="00BF5310">
        <w:t xml:space="preserve">tzv. </w:t>
      </w:r>
      <w:r w:rsidR="00BF5310" w:rsidRPr="008D593B">
        <w:t>evropským klimaticko-energetickým cílům EU v</w:t>
      </w:r>
      <w:r w:rsidR="005A1247">
        <w:t> </w:t>
      </w:r>
      <w:r w:rsidR="00BF5310" w:rsidRPr="008D593B">
        <w:t>oblasti snižování emisí, zvyšování podílu obnovitelných zdrojů energie a</w:t>
      </w:r>
      <w:r w:rsidR="005A1247">
        <w:t> </w:t>
      </w:r>
      <w:r w:rsidR="00BF5310" w:rsidRPr="008D593B">
        <w:t>zvyšování energetické účinnosti</w:t>
      </w:r>
      <w:r w:rsidR="00BF5310">
        <w:t>.</w:t>
      </w:r>
      <w:r>
        <w:t xml:space="preserve"> V</w:t>
      </w:r>
      <w:r w:rsidR="005A1247">
        <w:t> </w:t>
      </w:r>
      <w:r>
        <w:t>jeho rámci byla provedena analýza a</w:t>
      </w:r>
      <w:r w:rsidR="005A1247">
        <w:t> </w:t>
      </w:r>
      <w:r>
        <w:t>následný odhad spotřeby energie z</w:t>
      </w:r>
      <w:r w:rsidR="005A1247">
        <w:t> </w:t>
      </w:r>
      <w:r>
        <w:t>OZE v</w:t>
      </w:r>
      <w:r w:rsidR="005A1247">
        <w:t> </w:t>
      </w:r>
      <w:r>
        <w:t xml:space="preserve">dopravě, ze kterého lze odvodit potřebný příspěvek formou elektrifikace silniční dopravy. </w:t>
      </w:r>
    </w:p>
    <w:p w14:paraId="156C1D2E" w14:textId="4047801A" w:rsidR="00782889" w:rsidRDefault="00782889" w:rsidP="009A3B7E">
      <w:pPr>
        <w:jc w:val="both"/>
      </w:pPr>
      <w:r w:rsidRPr="001F7AA2">
        <w:t>Na základě analýz provedených v</w:t>
      </w:r>
      <w:r w:rsidR="005A1247">
        <w:t> </w:t>
      </w:r>
      <w:r w:rsidRPr="001F7AA2">
        <w:t xml:space="preserve">rámci </w:t>
      </w:r>
      <w:r w:rsidR="00FB3866">
        <w:t>Vnitrostátního plánu</w:t>
      </w:r>
      <w:r w:rsidR="001F7AA2">
        <w:t xml:space="preserve"> </w:t>
      </w:r>
      <w:r w:rsidRPr="001F7AA2">
        <w:t>se v</w:t>
      </w:r>
      <w:r w:rsidR="005A1247">
        <w:t> </w:t>
      </w:r>
      <w:r w:rsidRPr="001F7AA2">
        <w:t>ČR předpokládá příspěvek spotřeby elektřiny v</w:t>
      </w:r>
      <w:r w:rsidR="005A1247">
        <w:t> </w:t>
      </w:r>
      <w:r w:rsidRPr="001F7AA2">
        <w:t>dopravě v</w:t>
      </w:r>
      <w:r w:rsidR="005A1247">
        <w:t> </w:t>
      </w:r>
      <w:r w:rsidR="00BF5310">
        <w:t>roce 2030 na úrovni 0,8</w:t>
      </w:r>
      <w:r w:rsidRPr="001F7AA2">
        <w:t xml:space="preserve"> %. Tato úroveň odpovídá celkové spotřebě OZE v</w:t>
      </w:r>
      <w:r w:rsidR="005A1247">
        <w:t> </w:t>
      </w:r>
      <w:r w:rsidRPr="001F7AA2">
        <w:t xml:space="preserve">silniční </w:t>
      </w:r>
      <w:r w:rsidR="00BF5310">
        <w:t>dopravě na úrovni přibližně 42</w:t>
      </w:r>
      <w:r w:rsidRPr="001F7AA2">
        <w:t>0 GWh (vč. tramvajové dopravy)</w:t>
      </w:r>
      <w:r w:rsidR="00BF5310">
        <w:t xml:space="preserve">, </w:t>
      </w:r>
      <w:r w:rsidR="00BF5310" w:rsidRPr="00FF31CC">
        <w:t xml:space="preserve">kdy </w:t>
      </w:r>
      <w:r w:rsidR="00BF5310">
        <w:t>zhruba</w:t>
      </w:r>
      <w:r w:rsidR="00BF5310" w:rsidRPr="00FF31CC">
        <w:t xml:space="preserve"> 67,5 GWh odpovídá podílu</w:t>
      </w:r>
      <w:r w:rsidR="00BF5310">
        <w:t xml:space="preserve"> OZE</w:t>
      </w:r>
      <w:r w:rsidRPr="001F7AA2">
        <w:t>. V</w:t>
      </w:r>
      <w:r w:rsidR="005A1247">
        <w:t> </w:t>
      </w:r>
      <w:r w:rsidRPr="001F7AA2">
        <w:t>rámci provedených analýz je však uvažováno, že by mohlo dojít k</w:t>
      </w:r>
      <w:r w:rsidR="005A1247">
        <w:t> </w:t>
      </w:r>
      <w:r w:rsidRPr="001F7AA2">
        <w:t>rozvoji až na úrovni 640 GWh (vč. tramvajové dopravy), což odpovídá energii z</w:t>
      </w:r>
      <w:r w:rsidR="005A1247">
        <w:t> </w:t>
      </w:r>
      <w:r w:rsidRPr="001F7AA2">
        <w:t>OZE na úrovni 100 GWh. Tento vývoj by neznamenal příspěvek elektřiny z</w:t>
      </w:r>
      <w:r w:rsidR="005A1247">
        <w:t> </w:t>
      </w:r>
      <w:r w:rsidRPr="001F7AA2">
        <w:t>OZE v</w:t>
      </w:r>
      <w:r w:rsidR="005A1247">
        <w:t> </w:t>
      </w:r>
      <w:r w:rsidR="00BF5310">
        <w:t>dopravě na úrovni 0,8</w:t>
      </w:r>
      <w:r w:rsidRPr="001F7AA2">
        <w:t xml:space="preserve"> %, ale přibližně 1 %, což vytváří určitou rezervu pro případ, kdy by nedošlo k</w:t>
      </w:r>
      <w:r w:rsidR="005A1247">
        <w:t> </w:t>
      </w:r>
      <w:r w:rsidRPr="001F7AA2">
        <w:t>naplnění ostatních dílčích cílů v</w:t>
      </w:r>
      <w:r w:rsidR="005A1247">
        <w:t> </w:t>
      </w:r>
      <w:r w:rsidRPr="001F7AA2">
        <w:t>dopravě, které je předpokládáno.</w:t>
      </w:r>
    </w:p>
    <w:p w14:paraId="6FA8242E" w14:textId="2ADAAB58" w:rsidR="00782889" w:rsidRDefault="00782889" w:rsidP="009A3B7E">
      <w:pPr>
        <w:jc w:val="both"/>
      </w:pPr>
      <w:r>
        <w:t>Tento rozvoj elektromobility představuje úroveň spotřeby elektřiny (po očištění o</w:t>
      </w:r>
      <w:r w:rsidR="005A1247">
        <w:t> </w:t>
      </w:r>
      <w:r>
        <w:t>tramvajovou dopravu) 430 GWh, což odpovídá spotřebě zhruba 250 000 elektromobilů. Tato hodnota zhruba odpovídá dolní hranici intervalu</w:t>
      </w:r>
      <w:r w:rsidR="009432A9">
        <w:t xml:space="preserve"> cíle počtu vozidel NAP CM (viz tabulka 1)</w:t>
      </w:r>
      <w:r>
        <w:t>.</w:t>
      </w:r>
    </w:p>
    <w:p w14:paraId="2080FAF0" w14:textId="77777777" w:rsidR="00A0449C" w:rsidRPr="00CA20DD" w:rsidRDefault="00A0449C" w:rsidP="009A3B7E">
      <w:pPr>
        <w:pStyle w:val="Nadpis2"/>
        <w:jc w:val="both"/>
      </w:pPr>
      <w:bookmarkStart w:id="24" w:name="_Toc34387134"/>
      <w:r w:rsidRPr="00CA20DD">
        <w:t>Strategické cíle</w:t>
      </w:r>
      <w:bookmarkEnd w:id="24"/>
    </w:p>
    <w:p w14:paraId="0F279757" w14:textId="77777777" w:rsidR="00A0449C" w:rsidRDefault="00A0449C" w:rsidP="009A3B7E">
      <w:pPr>
        <w:jc w:val="both"/>
      </w:pPr>
      <w:r>
        <w:t>Pro období do roku 2030 byly zvoleny následující strategické cíle:</w:t>
      </w:r>
    </w:p>
    <w:p w14:paraId="7CE5A963" w14:textId="77777777" w:rsidR="00A0449C" w:rsidRPr="00CA20DD" w:rsidRDefault="00432262" w:rsidP="009A3B7E">
      <w:pPr>
        <w:pStyle w:val="Nadpis3"/>
        <w:jc w:val="both"/>
      </w:pPr>
      <w:r>
        <w:t>Rozvoj trhu e</w:t>
      </w:r>
      <w:r w:rsidR="001B2476">
        <w:t>lektrick</w:t>
      </w:r>
      <w:r>
        <w:t xml:space="preserve">ých </w:t>
      </w:r>
      <w:r w:rsidR="001B2476">
        <w:t>v</w:t>
      </w:r>
      <w:r w:rsidR="00A0449C" w:rsidRPr="00CA20DD">
        <w:t>ozid</w:t>
      </w:r>
      <w:r>
        <w:t>e</w:t>
      </w:r>
      <w:r w:rsidR="00A0449C" w:rsidRPr="00CA20DD">
        <w:t>l</w:t>
      </w:r>
    </w:p>
    <w:p w14:paraId="11A0316E" w14:textId="3BA3E4D3" w:rsidR="00590307" w:rsidRDefault="00590307" w:rsidP="009A3B7E">
      <w:pPr>
        <w:jc w:val="both"/>
      </w:pPr>
      <w:r>
        <w:t>S přihlédnutím k</w:t>
      </w:r>
      <w:r w:rsidR="005A1247">
        <w:t> </w:t>
      </w:r>
      <w:r>
        <w:t>očekávanému rozvoji elektromobility v</w:t>
      </w:r>
      <w:r w:rsidR="005A1247">
        <w:t> </w:t>
      </w:r>
      <w:r w:rsidR="00847432">
        <w:t xml:space="preserve">jednotlivých segmentech silniční dopravy </w:t>
      </w:r>
      <w:r>
        <w:t>v</w:t>
      </w:r>
      <w:r w:rsidR="005A1247">
        <w:t> </w:t>
      </w:r>
      <w:r>
        <w:t xml:space="preserve">ČR </w:t>
      </w:r>
      <w:r w:rsidR="00815526">
        <w:t>(osobní automobily, nákladní vozidla a</w:t>
      </w:r>
      <w:r w:rsidR="005A1247">
        <w:t> </w:t>
      </w:r>
      <w:r w:rsidR="00815526">
        <w:t xml:space="preserve">autobusy) </w:t>
      </w:r>
      <w:r w:rsidR="00847432">
        <w:t xml:space="preserve">se považuje za žádoucí stanovit </w:t>
      </w:r>
      <w:r>
        <w:t xml:space="preserve">cíl počtu </w:t>
      </w:r>
      <w:r w:rsidR="00847432">
        <w:t xml:space="preserve">elektrických </w:t>
      </w:r>
      <w:r>
        <w:t xml:space="preserve">vozidel </w:t>
      </w:r>
      <w:r w:rsidRPr="00957F69">
        <w:t xml:space="preserve">jako </w:t>
      </w:r>
      <w:r w:rsidR="00673038">
        <w:t xml:space="preserve">určitý </w:t>
      </w:r>
      <w:r w:rsidRPr="00957F69">
        <w:t>interval. Důvodem je to, že v</w:t>
      </w:r>
      <w:r w:rsidR="005A1247">
        <w:t> </w:t>
      </w:r>
      <w:r w:rsidRPr="00957F69">
        <w:t>této chvíli nelze určit jednu „správnou“ metodiku pro odhad potenciálu, resp. budoucího vývoje a</w:t>
      </w:r>
      <w:r w:rsidR="005A1247">
        <w:t> </w:t>
      </w:r>
      <w:r w:rsidRPr="00957F69">
        <w:t>počty vozidel mohou být ovlivněny i</w:t>
      </w:r>
      <w:r w:rsidR="005A1247">
        <w:t> </w:t>
      </w:r>
      <w:r w:rsidRPr="00957F69">
        <w:t>strategií prodeje automobilek, kdy plnění cílů probíhá na evropské, nikoliv národní úrovni.</w:t>
      </w:r>
      <w:r w:rsidR="00673038">
        <w:t xml:space="preserve"> Chybí zatím i</w:t>
      </w:r>
      <w:r w:rsidR="005A1247">
        <w:t> </w:t>
      </w:r>
      <w:r w:rsidR="00673038">
        <w:t>bližší odhad potenciálu bateriové elektromobility v</w:t>
      </w:r>
      <w:r w:rsidR="005A1247">
        <w:t> </w:t>
      </w:r>
      <w:r w:rsidR="00673038">
        <w:t>nákladní dopravě</w:t>
      </w:r>
      <w:r w:rsidR="008341B9">
        <w:t>.</w:t>
      </w:r>
      <w:r w:rsidR="00673038">
        <w:t xml:space="preserve"> </w:t>
      </w:r>
    </w:p>
    <w:p w14:paraId="74A7DAB8" w14:textId="463A2688" w:rsidR="00474B32" w:rsidRDefault="00590307" w:rsidP="006F0254">
      <w:pPr>
        <w:jc w:val="both"/>
        <w:rPr>
          <w:sz w:val="20"/>
          <w:szCs w:val="20"/>
        </w:rPr>
      </w:pPr>
      <w:r>
        <w:t xml:space="preserve">Nižší hranice intervalu </w:t>
      </w:r>
      <w:r w:rsidR="00815526" w:rsidRPr="004627A2">
        <w:rPr>
          <w:b/>
        </w:rPr>
        <w:t xml:space="preserve">220 </w:t>
      </w:r>
      <w:r w:rsidR="009A1DF0" w:rsidRPr="004627A2">
        <w:rPr>
          <w:b/>
        </w:rPr>
        <w:t>000</w:t>
      </w:r>
      <w:r w:rsidR="00815526">
        <w:t xml:space="preserve"> </w:t>
      </w:r>
      <w:r w:rsidR="00925889">
        <w:t xml:space="preserve">elektromobilů </w:t>
      </w:r>
      <w:r>
        <w:t xml:space="preserve">vychází </w:t>
      </w:r>
      <w:r w:rsidR="00815526">
        <w:t>v</w:t>
      </w:r>
      <w:r w:rsidR="005A1247">
        <w:t> </w:t>
      </w:r>
      <w:r w:rsidR="00815526">
        <w:t xml:space="preserve">zásadě </w:t>
      </w:r>
      <w:r>
        <w:t>z</w:t>
      </w:r>
      <w:r w:rsidR="005A1247">
        <w:t> </w:t>
      </w:r>
      <w:r w:rsidR="005A50D2">
        <w:t xml:space="preserve">výše uvedené </w:t>
      </w:r>
      <w:r>
        <w:t>predikc</w:t>
      </w:r>
      <w:r w:rsidR="005A50D2">
        <w:t>e</w:t>
      </w:r>
      <w:r>
        <w:t xml:space="preserve"> SDA</w:t>
      </w:r>
      <w:r w:rsidR="005A50D2">
        <w:t>.</w:t>
      </w:r>
      <w:r w:rsidR="00FD7A23">
        <w:t xml:space="preserve"> </w:t>
      </w:r>
      <w:r>
        <w:t xml:space="preserve">Jako horní hranice intervalu byla definována hodnota </w:t>
      </w:r>
      <w:r w:rsidRPr="004627A2">
        <w:rPr>
          <w:b/>
        </w:rPr>
        <w:t>500 000 elektromobilů</w:t>
      </w:r>
      <w:r>
        <w:t xml:space="preserve"> (BEV) v</w:t>
      </w:r>
      <w:r w:rsidR="005A1247">
        <w:t> </w:t>
      </w:r>
      <w:r>
        <w:t>ulicích k</w:t>
      </w:r>
      <w:r w:rsidR="005A1247">
        <w:t> </w:t>
      </w:r>
      <w:r>
        <w:t>roku 2030. Představuje zhruba 7</w:t>
      </w:r>
      <w:r w:rsidR="00837979">
        <w:t xml:space="preserve"> </w:t>
      </w:r>
      <w:r>
        <w:t>% vozového parku a</w:t>
      </w:r>
      <w:r w:rsidR="005A1247">
        <w:t> </w:t>
      </w:r>
      <w:r>
        <w:t>představuje ambici spojenou s</w:t>
      </w:r>
      <w:r w:rsidR="005A1247">
        <w:t> </w:t>
      </w:r>
      <w:r>
        <w:t>posílením postavení ČR v</w:t>
      </w:r>
      <w:r w:rsidR="005A1247">
        <w:t> </w:t>
      </w:r>
      <w:r>
        <w:t>oblasti inovací v</w:t>
      </w:r>
      <w:r w:rsidR="005A1247">
        <w:t> </w:t>
      </w:r>
      <w:r>
        <w:t>sektoru automobilové dopravy a</w:t>
      </w:r>
      <w:r w:rsidR="005A1247">
        <w:t> </w:t>
      </w:r>
      <w:r>
        <w:t>zajištění odpovídajícího postavení na tomto trhu v</w:t>
      </w:r>
      <w:r w:rsidR="005A1247">
        <w:t> </w:t>
      </w:r>
      <w:r>
        <w:t>rámci EU i</w:t>
      </w:r>
      <w:r w:rsidR="005A1247">
        <w:t> </w:t>
      </w:r>
      <w:r>
        <w:t xml:space="preserve">globálně. Hodnota </w:t>
      </w:r>
      <w:r w:rsidR="009A1DF0">
        <w:t xml:space="preserve">horní hranice intervalu </w:t>
      </w:r>
      <w:r>
        <w:t>je v</w:t>
      </w:r>
      <w:r w:rsidR="005A1247">
        <w:t> </w:t>
      </w:r>
      <w:r>
        <w:t>souladu s</w:t>
      </w:r>
      <w:r w:rsidR="005A1247">
        <w:t> </w:t>
      </w:r>
      <w:r>
        <w:t>plněním emisního cíle pro automobilky za zachování struktury prodejů a</w:t>
      </w:r>
      <w:r w:rsidR="005A1247">
        <w:t> </w:t>
      </w:r>
      <w:r>
        <w:t>dovozů a</w:t>
      </w:r>
      <w:r w:rsidR="005A1247">
        <w:t> </w:t>
      </w:r>
      <w:r>
        <w:t>vývozů vozidel (tj. plnění emisního cíle na území ČR). Tato hodnota se v</w:t>
      </w:r>
      <w:r w:rsidR="005A1247">
        <w:t> </w:t>
      </w:r>
      <w:r>
        <w:t>případě predikcí pro NAP SG pohybuje mezi středním a</w:t>
      </w:r>
      <w:r w:rsidR="005A1247">
        <w:t> </w:t>
      </w:r>
      <w:r w:rsidR="002A0818">
        <w:t>vysokým scénářem.</w:t>
      </w:r>
      <w:r w:rsidR="006F0254">
        <w:rPr>
          <w:sz w:val="20"/>
          <w:szCs w:val="20"/>
        </w:rPr>
        <w:t xml:space="preserve"> </w:t>
      </w:r>
    </w:p>
    <w:p w14:paraId="667EAAF8" w14:textId="77777777" w:rsidR="00431641" w:rsidRPr="00CB21D1" w:rsidRDefault="00431641" w:rsidP="009A3B7E">
      <w:pPr>
        <w:jc w:val="both"/>
        <w:rPr>
          <w:sz w:val="20"/>
          <w:szCs w:val="20"/>
        </w:rPr>
      </w:pPr>
    </w:p>
    <w:p w14:paraId="3F160D37" w14:textId="1DC50A55" w:rsidR="00CB21D1" w:rsidRDefault="006F0254" w:rsidP="006F0254">
      <w:pPr>
        <w:pStyle w:val="Titulek"/>
      </w:pPr>
      <w:bookmarkStart w:id="25" w:name="_Toc34298592"/>
      <w:r>
        <w:rPr>
          <w:noProof/>
        </w:rPr>
        <w:lastRenderedPageBreak/>
        <w:drawing>
          <wp:anchor distT="0" distB="0" distL="114300" distR="114300" simplePos="0" relativeHeight="251687936" behindDoc="0" locked="0" layoutInCell="1" allowOverlap="1" wp14:anchorId="226CB9BF" wp14:editId="3FFAAE78">
            <wp:simplePos x="0" y="0"/>
            <wp:positionH relativeFrom="column">
              <wp:posOffset>-5080</wp:posOffset>
            </wp:positionH>
            <wp:positionV relativeFrom="page">
              <wp:posOffset>1570990</wp:posOffset>
            </wp:positionV>
            <wp:extent cx="5686425" cy="2924175"/>
            <wp:effectExtent l="0" t="0" r="9525" b="9525"/>
            <wp:wrapTopAndBottom/>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t xml:space="preserve"> Graf </w:t>
      </w:r>
      <w:r w:rsidR="00163085">
        <w:rPr>
          <w:noProof/>
        </w:rPr>
        <w:fldChar w:fldCharType="begin"/>
      </w:r>
      <w:r w:rsidR="00163085">
        <w:rPr>
          <w:noProof/>
        </w:rPr>
        <w:instrText xml:space="preserve"> SEQ Graf \* ARABIC </w:instrText>
      </w:r>
      <w:r w:rsidR="00163085">
        <w:rPr>
          <w:noProof/>
        </w:rPr>
        <w:fldChar w:fldCharType="separate"/>
      </w:r>
      <w:r w:rsidR="00D944E5">
        <w:rPr>
          <w:noProof/>
        </w:rPr>
        <w:t>2</w:t>
      </w:r>
      <w:r w:rsidR="00163085">
        <w:rPr>
          <w:noProof/>
        </w:rPr>
        <w:fldChar w:fldCharType="end"/>
      </w:r>
      <w:r>
        <w:t xml:space="preserve"> </w:t>
      </w:r>
      <w:r w:rsidRPr="00BF2C37">
        <w:t>Vývoj počtu elektromobilů s</w:t>
      </w:r>
      <w:r w:rsidR="005A1247">
        <w:t> </w:t>
      </w:r>
      <w:r w:rsidRPr="00BF2C37">
        <w:t>výhledem k</w:t>
      </w:r>
      <w:r w:rsidR="005A1247">
        <w:t> </w:t>
      </w:r>
      <w:r w:rsidRPr="00BF2C37">
        <w:t>roku 2030</w:t>
      </w:r>
      <w:bookmarkEnd w:id="25"/>
    </w:p>
    <w:p w14:paraId="7B78FE67" w14:textId="77777777" w:rsidR="006F0254" w:rsidRPr="00CB21D1" w:rsidRDefault="006F0254" w:rsidP="006F0254">
      <w:pPr>
        <w:jc w:val="both"/>
        <w:rPr>
          <w:sz w:val="18"/>
          <w:szCs w:val="18"/>
        </w:rPr>
      </w:pPr>
      <w:r>
        <w:rPr>
          <w:sz w:val="18"/>
          <w:szCs w:val="18"/>
        </w:rPr>
        <w:t>Zdroj: propočty MPO</w:t>
      </w:r>
    </w:p>
    <w:p w14:paraId="4C05D829" w14:textId="2F8EB734" w:rsidR="00CB21D1" w:rsidRDefault="00CB21D1" w:rsidP="009A3B7E">
      <w:pPr>
        <w:jc w:val="both"/>
        <w:rPr>
          <w:u w:val="single"/>
        </w:rPr>
      </w:pPr>
    </w:p>
    <w:p w14:paraId="17428D4A" w14:textId="77777777" w:rsidR="00590307" w:rsidRPr="00E71C45" w:rsidRDefault="00590307" w:rsidP="009A3B7E">
      <w:pPr>
        <w:jc w:val="both"/>
        <w:rPr>
          <w:u w:val="single"/>
        </w:rPr>
      </w:pPr>
      <w:r w:rsidRPr="00E71C45">
        <w:rPr>
          <w:u w:val="single"/>
        </w:rPr>
        <w:t>Očekávané efekty nastavení cíle</w:t>
      </w:r>
    </w:p>
    <w:p w14:paraId="6F33150A" w14:textId="0678E5B9" w:rsidR="00590307" w:rsidRDefault="00590307" w:rsidP="009A3B7E">
      <w:pPr>
        <w:pStyle w:val="Odrka1"/>
        <w:jc w:val="both"/>
      </w:pPr>
      <w:r>
        <w:t>Příspěvek k</w:t>
      </w:r>
      <w:r w:rsidR="005A1247">
        <w:t> </w:t>
      </w:r>
      <w:r>
        <w:t>plnění závazků/cílů definovaných v</w:t>
      </w:r>
      <w:r w:rsidR="005A1247">
        <w:t> </w:t>
      </w:r>
      <w:r>
        <w:t xml:space="preserve">rámci </w:t>
      </w:r>
      <w:r w:rsidR="00FB3866">
        <w:t>Vnitrostátního plánu ČR v</w:t>
      </w:r>
      <w:r w:rsidR="005A1247">
        <w:t> </w:t>
      </w:r>
      <w:r w:rsidR="00FB3866">
        <w:t>oblasti energetiky a</w:t>
      </w:r>
      <w:r w:rsidR="005A1247">
        <w:t> </w:t>
      </w:r>
      <w:r w:rsidR="00FB3866">
        <w:t>klimatu</w:t>
      </w:r>
      <w:r>
        <w:t>.</w:t>
      </w:r>
    </w:p>
    <w:p w14:paraId="15BB1393" w14:textId="27994E3E" w:rsidR="00590307" w:rsidRDefault="00590307" w:rsidP="009A3B7E">
      <w:pPr>
        <w:pStyle w:val="Odrka1"/>
        <w:jc w:val="both"/>
      </w:pPr>
      <w:r>
        <w:t>Podpora rozvoje elektromobility na úrovni srovnatelné s</w:t>
      </w:r>
      <w:r w:rsidR="005A1247">
        <w:t> </w:t>
      </w:r>
      <w:r>
        <w:t xml:space="preserve">ostatními členskými státy EU, resp. nejbližšími sousedy ČR (zabránit zaostávání ČR, minimalizovat riziko plnění emisních cílů automobilek </w:t>
      </w:r>
      <w:r w:rsidRPr="00E55EFE">
        <w:t>na jiných trzích mimo ČR</w:t>
      </w:r>
      <w:r>
        <w:t>)</w:t>
      </w:r>
      <w:r w:rsidRPr="00E55EFE">
        <w:t>.</w:t>
      </w:r>
    </w:p>
    <w:p w14:paraId="44EABA74" w14:textId="5089AF91" w:rsidR="00590307" w:rsidRDefault="00590307" w:rsidP="009A3B7E">
      <w:pPr>
        <w:pStyle w:val="Odrka1"/>
        <w:jc w:val="both"/>
      </w:pPr>
      <w:r>
        <w:t>Podpo</w:t>
      </w:r>
      <w:r w:rsidR="000C6157">
        <w:t>ra</w:t>
      </w:r>
      <w:r>
        <w:t xml:space="preserve"> domácího autoprůmyslu a</w:t>
      </w:r>
      <w:r w:rsidR="005A1247">
        <w:t> </w:t>
      </w:r>
      <w:r>
        <w:t>navazujících odvětví, včetně výzkumu, vývoje a</w:t>
      </w:r>
      <w:r w:rsidR="005A1247">
        <w:t> </w:t>
      </w:r>
      <w:r>
        <w:t>vzdělávání, které jsou důležité pro udržení, případně posílení konkurenceschopnosti tohoto sektoru průmyslu v</w:t>
      </w:r>
      <w:r w:rsidR="005A1247">
        <w:t> </w:t>
      </w:r>
      <w:r>
        <w:t>ČR v</w:t>
      </w:r>
      <w:r w:rsidR="005A1247">
        <w:t> </w:t>
      </w:r>
      <w:r>
        <w:t>porovnání se sousedními zeměmi.</w:t>
      </w:r>
    </w:p>
    <w:p w14:paraId="7BFFDBFD" w14:textId="1DCAC602" w:rsidR="003D3A8E" w:rsidRDefault="00590307" w:rsidP="009A3B7E">
      <w:pPr>
        <w:pStyle w:val="Odrka1"/>
        <w:jc w:val="both"/>
      </w:pPr>
      <w:r>
        <w:t>Obecn</w:t>
      </w:r>
      <w:r w:rsidR="00804ED0">
        <w:t>á</w:t>
      </w:r>
      <w:r>
        <w:t xml:space="preserve"> podpo</w:t>
      </w:r>
      <w:r w:rsidR="00804ED0">
        <w:t>ra</w:t>
      </w:r>
      <w:r>
        <w:t xml:space="preserve"> inovací a</w:t>
      </w:r>
      <w:r w:rsidR="005A1247">
        <w:t> </w:t>
      </w:r>
      <w:r>
        <w:t>moderních technologií s</w:t>
      </w:r>
      <w:r w:rsidR="005A1247">
        <w:t> </w:t>
      </w:r>
      <w:r>
        <w:t>vysokou přidanou hodnotou, které se dynamicky rozvíjejí právě v</w:t>
      </w:r>
      <w:r w:rsidR="005A1247">
        <w:t> </w:t>
      </w:r>
      <w:r>
        <w:t>souvislosti s</w:t>
      </w:r>
      <w:r w:rsidR="005A1247">
        <w:t> </w:t>
      </w:r>
      <w:r>
        <w:t>elektromobilitou.</w:t>
      </w:r>
    </w:p>
    <w:p w14:paraId="21A76FAC" w14:textId="4757D2C9" w:rsidR="00590307" w:rsidRDefault="00590307" w:rsidP="009A3B7E">
      <w:pPr>
        <w:pStyle w:val="Odrka1"/>
        <w:jc w:val="both"/>
      </w:pPr>
      <w:r>
        <w:t>Příspěv</w:t>
      </w:r>
      <w:r w:rsidR="003D3A8E">
        <w:t>e</w:t>
      </w:r>
      <w:r>
        <w:t xml:space="preserve">k ke snižování emisí lokálních znečišťujících látek, hluku </w:t>
      </w:r>
      <w:r w:rsidR="003D3A8E">
        <w:t>z</w:t>
      </w:r>
      <w:r w:rsidR="005A1247">
        <w:t> </w:t>
      </w:r>
      <w:r w:rsidR="003D3A8E">
        <w:t>osobní i</w:t>
      </w:r>
      <w:r w:rsidR="005A1247">
        <w:t> </w:t>
      </w:r>
      <w:r w:rsidR="003D3A8E">
        <w:t xml:space="preserve">nákladní silniční dopravy </w:t>
      </w:r>
      <w:r>
        <w:t>a</w:t>
      </w:r>
      <w:r w:rsidR="005A1247">
        <w:t> </w:t>
      </w:r>
      <w:r>
        <w:t>obecně zlepšování kvality života zejména ve městech.</w:t>
      </w:r>
    </w:p>
    <w:p w14:paraId="2F73EF94" w14:textId="77777777" w:rsidR="0096246B" w:rsidRDefault="003D3A8E" w:rsidP="009A3B7E">
      <w:pPr>
        <w:pStyle w:val="Odrka1"/>
        <w:jc w:val="both"/>
      </w:pPr>
      <w:r>
        <w:t xml:space="preserve">Zvyšování kvality veřejné dopravy prostřednictvím zvýšení environmentálních parametrů </w:t>
      </w:r>
      <w:r w:rsidR="00472BA4">
        <w:t>příslušných vozidel (autobusů)</w:t>
      </w:r>
      <w:r w:rsidR="008341B9">
        <w:t>.</w:t>
      </w:r>
      <w:r>
        <w:t xml:space="preserve"> </w:t>
      </w:r>
    </w:p>
    <w:p w14:paraId="0DBACF4B" w14:textId="790BCD74" w:rsidR="005E4C43" w:rsidRDefault="00472BA4" w:rsidP="009A3B7E">
      <w:pPr>
        <w:pStyle w:val="Odrka1"/>
        <w:numPr>
          <w:ilvl w:val="0"/>
          <w:numId w:val="0"/>
        </w:numPr>
        <w:jc w:val="both"/>
      </w:pPr>
      <w:r>
        <w:t>Jak je naznačeno výše</w:t>
      </w:r>
      <w:r w:rsidR="00804ED0">
        <w:t>,</w:t>
      </w:r>
      <w:r>
        <w:t xml:space="preserve"> rozvoj elektromobility nelze očekávat jen v</w:t>
      </w:r>
      <w:r w:rsidR="005A1247">
        <w:t> </w:t>
      </w:r>
      <w:r>
        <w:t xml:space="preserve">segmentu individuální automobilové dopravy, ale </w:t>
      </w:r>
      <w:r w:rsidR="000C6157">
        <w:t>i</w:t>
      </w:r>
      <w:r w:rsidR="005A1247">
        <w:t> </w:t>
      </w:r>
      <w:r>
        <w:t>v</w:t>
      </w:r>
      <w:r w:rsidR="000C6157">
        <w:t>e veřejné dopravě</w:t>
      </w:r>
      <w:r>
        <w:t xml:space="preserve"> a</w:t>
      </w:r>
      <w:r w:rsidR="005A1247">
        <w:t> </w:t>
      </w:r>
      <w:r>
        <w:t>v</w:t>
      </w:r>
      <w:r w:rsidR="000F2439">
        <w:t> </w:t>
      </w:r>
      <w:r>
        <w:t>delší perspektivě patrně i</w:t>
      </w:r>
      <w:r w:rsidR="005A1247">
        <w:t> </w:t>
      </w:r>
      <w:r>
        <w:t>v</w:t>
      </w:r>
      <w:r w:rsidR="000F2439">
        <w:t> </w:t>
      </w:r>
      <w:r>
        <w:t xml:space="preserve">segmentu nákladní dopravy. </w:t>
      </w:r>
    </w:p>
    <w:p w14:paraId="52AF3182" w14:textId="1C477BE7" w:rsidR="005E4C43" w:rsidRDefault="005E4C43" w:rsidP="009A3B7E">
      <w:pPr>
        <w:jc w:val="both"/>
      </w:pPr>
      <w:r w:rsidRPr="000C1A1C">
        <w:t xml:space="preserve">V případě </w:t>
      </w:r>
      <w:r w:rsidRPr="00FD7A23">
        <w:rPr>
          <w:b/>
        </w:rPr>
        <w:t>osobních a</w:t>
      </w:r>
      <w:r w:rsidR="005A1247">
        <w:rPr>
          <w:b/>
        </w:rPr>
        <w:t> </w:t>
      </w:r>
      <w:r w:rsidRPr="00FD7A23">
        <w:rPr>
          <w:b/>
        </w:rPr>
        <w:t>užitkových vozů</w:t>
      </w:r>
      <w:r w:rsidRPr="000C1A1C">
        <w:t xml:space="preserve"> </w:t>
      </w:r>
      <w:r>
        <w:t xml:space="preserve">jistě </w:t>
      </w:r>
      <w:r w:rsidRPr="000C1A1C">
        <w:t xml:space="preserve">platí, že hlavním </w:t>
      </w:r>
      <w:r w:rsidR="000C6157">
        <w:t>hybatelem</w:t>
      </w:r>
      <w:r w:rsidRPr="000C1A1C">
        <w:t xml:space="preserve"> růstu podílu elektromobilů je regulatorní rámec v</w:t>
      </w:r>
      <w:r w:rsidR="005A1247">
        <w:t> </w:t>
      </w:r>
      <w:r w:rsidRPr="000C1A1C">
        <w:t xml:space="preserve">podobě cílů </w:t>
      </w:r>
      <w:r w:rsidR="00804ED0">
        <w:t xml:space="preserve">emisí </w:t>
      </w:r>
      <w:r w:rsidRPr="000C1A1C">
        <w:t>CO</w:t>
      </w:r>
      <w:r w:rsidRPr="00FD7A23">
        <w:rPr>
          <w:vertAlign w:val="subscript"/>
        </w:rPr>
        <w:t>2</w:t>
      </w:r>
      <w:r w:rsidRPr="000C1A1C">
        <w:t xml:space="preserve"> pro automobilky</w:t>
      </w:r>
      <w:r>
        <w:t>.</w:t>
      </w:r>
      <w:r w:rsidRPr="000C1A1C">
        <w:t xml:space="preserve"> Automobilky </w:t>
      </w:r>
      <w:r>
        <w:t xml:space="preserve">však </w:t>
      </w:r>
      <w:r w:rsidRPr="000C1A1C">
        <w:t>plní své emisní cíle jako celek, nikoliv na národní úrovni</w:t>
      </w:r>
      <w:r w:rsidR="008341B9">
        <w:t>,</w:t>
      </w:r>
      <w:r w:rsidRPr="000C1A1C">
        <w:t xml:space="preserve"> a</w:t>
      </w:r>
      <w:r w:rsidR="005A1247">
        <w:t> </w:t>
      </w:r>
      <w:r w:rsidRPr="000C1A1C">
        <w:t>podíl prodaných elektromobilů nemusí kopírovat prodeje vozidel. I</w:t>
      </w:r>
      <w:r w:rsidR="005A1247">
        <w:t> </w:t>
      </w:r>
      <w:r w:rsidRPr="000C1A1C">
        <w:t>proto je důležité, aby v</w:t>
      </w:r>
      <w:r w:rsidR="005A1247">
        <w:t> </w:t>
      </w:r>
      <w:r w:rsidRPr="000C1A1C">
        <w:t>ČR vzniklo prostředí a</w:t>
      </w:r>
      <w:r w:rsidR="005A1247">
        <w:t> </w:t>
      </w:r>
      <w:r w:rsidRPr="000C1A1C">
        <w:t>podmínky, které budou automobilky motivovat</w:t>
      </w:r>
      <w:r w:rsidR="008341B9">
        <w:t xml:space="preserve">, aby </w:t>
      </w:r>
      <w:r w:rsidRPr="000C1A1C">
        <w:t>prodeje realizova</w:t>
      </w:r>
      <w:r w:rsidR="008341B9">
        <w:t>ly</w:t>
      </w:r>
      <w:r w:rsidRPr="000C1A1C">
        <w:t xml:space="preserve"> v</w:t>
      </w:r>
      <w:r w:rsidR="005A1247">
        <w:t> </w:t>
      </w:r>
      <w:r w:rsidRPr="000C1A1C">
        <w:t>ČR a</w:t>
      </w:r>
      <w:r w:rsidR="005A1247">
        <w:t> </w:t>
      </w:r>
      <w:r w:rsidRPr="000C1A1C">
        <w:t>ne v</w:t>
      </w:r>
      <w:r w:rsidR="005A1247">
        <w:t> </w:t>
      </w:r>
      <w:r w:rsidRPr="000C1A1C">
        <w:t>jiných zemích.</w:t>
      </w:r>
      <w:r>
        <w:t xml:space="preserve"> Opomenut by přitom neměl být ani sekundární trh, tj. trh s</w:t>
      </w:r>
      <w:r w:rsidR="005A1247">
        <w:t> </w:t>
      </w:r>
      <w:r>
        <w:t>ojetými vozidly, který může sehrát podstatnou roli</w:t>
      </w:r>
      <w:r w:rsidR="00804ED0">
        <w:t xml:space="preserve">, </w:t>
      </w:r>
      <w:r>
        <w:t>zejména v</w:t>
      </w:r>
      <w:r w:rsidR="005A1247">
        <w:t> </w:t>
      </w:r>
      <w:r>
        <w:t>zemích s</w:t>
      </w:r>
      <w:r w:rsidR="005A1247">
        <w:t> </w:t>
      </w:r>
      <w:r>
        <w:t xml:space="preserve">nižší kupní silou, jakou je ČR. Ojetá vozidla, která jsou </w:t>
      </w:r>
      <w:r>
        <w:lastRenderedPageBreak/>
        <w:t>v</w:t>
      </w:r>
      <w:r w:rsidR="005A1247">
        <w:t> </w:t>
      </w:r>
      <w:r>
        <w:t>dobrém stavu</w:t>
      </w:r>
      <w:r w:rsidR="00A2347D">
        <w:t>, včetně dobré</w:t>
      </w:r>
      <w:r w:rsidR="00210AA9">
        <w:t> </w:t>
      </w:r>
      <w:r>
        <w:t>kondic</w:t>
      </w:r>
      <w:r w:rsidR="00A2347D">
        <w:t>e</w:t>
      </w:r>
      <w:r>
        <w:t xml:space="preserve"> akumulátoru</w:t>
      </w:r>
      <w:r w:rsidR="00A2347D">
        <w:t>,</w:t>
      </w:r>
      <w:r>
        <w:t xml:space="preserve"> mohou představovat </w:t>
      </w:r>
      <w:r w:rsidR="00A2347D">
        <w:t>díky své ceně</w:t>
      </w:r>
      <w:r>
        <w:t xml:space="preserve"> reálnou alternativu pro ce</w:t>
      </w:r>
      <w:r w:rsidR="005D68C8">
        <w:t>lou řadu potenciálních uchazečů</w:t>
      </w:r>
      <w:r>
        <w:t>, kteří by si jinak elektromobil nepořídili.</w:t>
      </w:r>
    </w:p>
    <w:p w14:paraId="260B2A16" w14:textId="7361E520" w:rsidR="005E4C43" w:rsidRDefault="005E4C43" w:rsidP="009A3B7E">
      <w:pPr>
        <w:jc w:val="both"/>
        <w:rPr>
          <w:rFonts w:eastAsiaTheme="minorEastAsia"/>
        </w:rPr>
      </w:pPr>
      <w:r>
        <w:t>Do určité míry specifickou kategorii v</w:t>
      </w:r>
      <w:r w:rsidR="005A1247">
        <w:t> </w:t>
      </w:r>
      <w:r>
        <w:t>oblasti vozidel s</w:t>
      </w:r>
      <w:r w:rsidR="005A1247">
        <w:t> </w:t>
      </w:r>
      <w:r>
        <w:t xml:space="preserve">alternativním pohonem tvoří </w:t>
      </w:r>
      <w:r w:rsidRPr="00FD7A23">
        <w:rPr>
          <w:b/>
        </w:rPr>
        <w:t>autobusová doprava</w:t>
      </w:r>
      <w:r>
        <w:rPr>
          <w:b/>
        </w:rPr>
        <w:t xml:space="preserve">. </w:t>
      </w:r>
      <w:r>
        <w:rPr>
          <w:rFonts w:eastAsiaTheme="minorEastAsia"/>
        </w:rPr>
        <w:t>Na rozdíl od osobních vozidel jsou totiž prodeje autobusů významně závislé na veřejných zakázkách. Jak již bylo naznačeno výše, klíčovým faktorem pro navýšení počtu elektrických autobusů v</w:t>
      </w:r>
      <w:r w:rsidR="005A1247">
        <w:rPr>
          <w:rFonts w:eastAsiaTheme="minorEastAsia"/>
        </w:rPr>
        <w:t> </w:t>
      </w:r>
      <w:r>
        <w:rPr>
          <w:rFonts w:eastAsiaTheme="minorEastAsia"/>
        </w:rPr>
        <w:t>ČR bude zcela bezpochyby povinnost vyplývající z</w:t>
      </w:r>
      <w:r w:rsidR="005A1247">
        <w:rPr>
          <w:rFonts w:eastAsiaTheme="minorEastAsia"/>
        </w:rPr>
        <w:t> </w:t>
      </w:r>
      <w:r>
        <w:rPr>
          <w:rFonts w:eastAsiaTheme="minorEastAsia"/>
        </w:rPr>
        <w:t>revidované směrnice o</w:t>
      </w:r>
      <w:r w:rsidR="005A1247">
        <w:rPr>
          <w:rFonts w:eastAsiaTheme="minorEastAsia"/>
        </w:rPr>
        <w:t> </w:t>
      </w:r>
      <w:r>
        <w:rPr>
          <w:rFonts w:eastAsiaTheme="minorEastAsia"/>
        </w:rPr>
        <w:t>podpoře čistých a</w:t>
      </w:r>
      <w:r w:rsidR="005A1247">
        <w:rPr>
          <w:rFonts w:eastAsiaTheme="minorEastAsia"/>
        </w:rPr>
        <w:t> </w:t>
      </w:r>
      <w:r>
        <w:rPr>
          <w:rFonts w:eastAsiaTheme="minorEastAsia"/>
        </w:rPr>
        <w:t xml:space="preserve">energeticky účinných silničních vozidel. </w:t>
      </w:r>
    </w:p>
    <w:p w14:paraId="155A4A03" w14:textId="3AABF0E1" w:rsidR="00705447" w:rsidRDefault="005E4C43" w:rsidP="009A3B7E">
      <w:pPr>
        <w:tabs>
          <w:tab w:val="left" w:pos="5860"/>
        </w:tabs>
        <w:jc w:val="both"/>
        <w:rPr>
          <w:rFonts w:eastAsiaTheme="minorEastAsia"/>
        </w:rPr>
      </w:pPr>
      <w:r>
        <w:rPr>
          <w:rFonts w:eastAsiaTheme="minorEastAsia"/>
        </w:rPr>
        <w:t xml:space="preserve">Nárůst počtu </w:t>
      </w:r>
      <w:r w:rsidR="00804ED0">
        <w:rPr>
          <w:rFonts w:eastAsiaTheme="minorEastAsia"/>
        </w:rPr>
        <w:t>elektro</w:t>
      </w:r>
      <w:r>
        <w:rPr>
          <w:rFonts w:eastAsiaTheme="minorEastAsia"/>
        </w:rPr>
        <w:t>busů v</w:t>
      </w:r>
      <w:r w:rsidR="005A1247">
        <w:rPr>
          <w:rFonts w:eastAsiaTheme="minorEastAsia"/>
        </w:rPr>
        <w:t> </w:t>
      </w:r>
      <w:r>
        <w:rPr>
          <w:rFonts w:eastAsiaTheme="minorEastAsia"/>
        </w:rPr>
        <w:t>ČR bude také ovlivněn rozvojem dobíjecí infrastruktury a</w:t>
      </w:r>
      <w:r w:rsidR="005A1247">
        <w:rPr>
          <w:rFonts w:eastAsiaTheme="minorEastAsia"/>
        </w:rPr>
        <w:t> </w:t>
      </w:r>
      <w:r>
        <w:rPr>
          <w:rFonts w:eastAsiaTheme="minorEastAsia"/>
        </w:rPr>
        <w:t>existencí možné podpory na její pořízení i</w:t>
      </w:r>
      <w:r w:rsidR="005A1247">
        <w:rPr>
          <w:rFonts w:eastAsiaTheme="minorEastAsia"/>
        </w:rPr>
        <w:t> </w:t>
      </w:r>
      <w:r>
        <w:rPr>
          <w:rFonts w:eastAsiaTheme="minorEastAsia"/>
        </w:rPr>
        <w:t xml:space="preserve">pořízení samotných </w:t>
      </w:r>
      <w:r w:rsidR="00925889">
        <w:rPr>
          <w:rFonts w:eastAsiaTheme="minorEastAsia"/>
        </w:rPr>
        <w:t>vozidel</w:t>
      </w:r>
      <w:r w:rsidRPr="000C010C">
        <w:rPr>
          <w:rFonts w:eastAsiaTheme="minorEastAsia"/>
        </w:rPr>
        <w:t xml:space="preserve"> </w:t>
      </w:r>
      <w:r>
        <w:rPr>
          <w:rFonts w:eastAsiaTheme="minorEastAsia"/>
        </w:rPr>
        <w:t>(včetně souvisejícího zařízení jako např. bezemisní vytápění vozidel). Důležité rovněž je náležitě nastavit pravidla příslušného dotačního programu tak, aby byla odstupňována výše podpory v</w:t>
      </w:r>
      <w:r w:rsidR="005A1247">
        <w:rPr>
          <w:rFonts w:eastAsiaTheme="minorEastAsia"/>
        </w:rPr>
        <w:t> </w:t>
      </w:r>
      <w:r>
        <w:rPr>
          <w:rFonts w:eastAsiaTheme="minorEastAsia"/>
        </w:rPr>
        <w:t xml:space="preserve">návaznosti </w:t>
      </w:r>
      <w:r w:rsidR="008341B9">
        <w:rPr>
          <w:rFonts w:eastAsiaTheme="minorEastAsia"/>
        </w:rPr>
        <w:t>n</w:t>
      </w:r>
      <w:r>
        <w:rPr>
          <w:rFonts w:eastAsiaTheme="minorEastAsia"/>
        </w:rPr>
        <w:t>a</w:t>
      </w:r>
      <w:r w:rsidR="000F2439">
        <w:rPr>
          <w:rFonts w:eastAsiaTheme="minorEastAsia"/>
        </w:rPr>
        <w:t> </w:t>
      </w:r>
      <w:r>
        <w:rPr>
          <w:rFonts w:eastAsiaTheme="minorEastAsia"/>
        </w:rPr>
        <w:t>emis</w:t>
      </w:r>
      <w:r w:rsidR="008341B9">
        <w:rPr>
          <w:rFonts w:eastAsiaTheme="minorEastAsia"/>
        </w:rPr>
        <w:t>n</w:t>
      </w:r>
      <w:r>
        <w:rPr>
          <w:rFonts w:eastAsiaTheme="minorEastAsia"/>
        </w:rPr>
        <w:t xml:space="preserve">í charakter jednotlivých typů vozidel na alternativní paliva. </w:t>
      </w:r>
    </w:p>
    <w:p w14:paraId="43D61B86" w14:textId="565D1F49" w:rsidR="005E4C43" w:rsidRDefault="00705447" w:rsidP="009A3B7E">
      <w:pPr>
        <w:tabs>
          <w:tab w:val="left" w:pos="5860"/>
        </w:tabs>
        <w:jc w:val="both"/>
        <w:rPr>
          <w:rFonts w:eastAsiaTheme="minorEastAsia"/>
        </w:rPr>
      </w:pPr>
      <w:r>
        <w:rPr>
          <w:rFonts w:eastAsiaTheme="minorEastAsia"/>
        </w:rPr>
        <w:t xml:space="preserve">Na základě výše uvedeného je možné nyní odhadnout </w:t>
      </w:r>
      <w:r w:rsidRPr="00FD7A23">
        <w:rPr>
          <w:rFonts w:eastAsiaTheme="minorEastAsia"/>
          <w:b/>
        </w:rPr>
        <w:t>počet elektrických autobusů</w:t>
      </w:r>
      <w:r>
        <w:rPr>
          <w:rFonts w:eastAsiaTheme="minorEastAsia"/>
        </w:rPr>
        <w:t xml:space="preserve"> ve vozovém parku ČR v</w:t>
      </w:r>
      <w:r w:rsidR="005A1247">
        <w:rPr>
          <w:rFonts w:eastAsiaTheme="minorEastAsia"/>
        </w:rPr>
        <w:t> </w:t>
      </w:r>
      <w:r>
        <w:rPr>
          <w:rFonts w:eastAsiaTheme="minorEastAsia"/>
        </w:rPr>
        <w:t xml:space="preserve">roce 2030 na úrovni cca </w:t>
      </w:r>
      <w:r w:rsidRPr="00FD7A23">
        <w:rPr>
          <w:rFonts w:eastAsiaTheme="minorEastAsia"/>
          <w:b/>
        </w:rPr>
        <w:t>800 až 1 200 ku</w:t>
      </w:r>
      <w:r w:rsidRPr="00D00D8D">
        <w:rPr>
          <w:rFonts w:eastAsiaTheme="minorEastAsia"/>
          <w:b/>
        </w:rPr>
        <w:t>sů</w:t>
      </w:r>
      <w:r>
        <w:rPr>
          <w:rFonts w:eastAsiaTheme="minorEastAsia"/>
        </w:rPr>
        <w:t xml:space="preserve"> (bez trolejbusů). Vývoj v</w:t>
      </w:r>
      <w:r w:rsidR="005A1247">
        <w:rPr>
          <w:rFonts w:eastAsiaTheme="minorEastAsia"/>
        </w:rPr>
        <w:t> </w:t>
      </w:r>
      <w:r>
        <w:rPr>
          <w:rFonts w:eastAsiaTheme="minorEastAsia"/>
        </w:rPr>
        <w:t>této oblasti je nicméně třeba podpořit určitým souborem legislativních i</w:t>
      </w:r>
      <w:r w:rsidR="005A1247">
        <w:rPr>
          <w:rFonts w:eastAsiaTheme="minorEastAsia"/>
        </w:rPr>
        <w:t> </w:t>
      </w:r>
      <w:r>
        <w:rPr>
          <w:rFonts w:eastAsiaTheme="minorEastAsia"/>
        </w:rPr>
        <w:t xml:space="preserve">nelegislativních kroků, které podpoří úsilí </w:t>
      </w:r>
      <w:r w:rsidR="006041B7">
        <w:rPr>
          <w:rFonts w:eastAsiaTheme="minorEastAsia"/>
        </w:rPr>
        <w:t>jednotlivých dopravních</w:t>
      </w:r>
      <w:r>
        <w:rPr>
          <w:rFonts w:eastAsiaTheme="minorEastAsia"/>
        </w:rPr>
        <w:t xml:space="preserve"> </w:t>
      </w:r>
      <w:r w:rsidR="006041B7">
        <w:rPr>
          <w:rFonts w:eastAsiaTheme="minorEastAsia"/>
        </w:rPr>
        <w:t>podniků o</w:t>
      </w:r>
      <w:r w:rsidR="005A1247">
        <w:rPr>
          <w:rFonts w:eastAsiaTheme="minorEastAsia"/>
        </w:rPr>
        <w:t> </w:t>
      </w:r>
      <w:r w:rsidR="006041B7">
        <w:rPr>
          <w:rFonts w:eastAsiaTheme="minorEastAsia"/>
        </w:rPr>
        <w:t>zavádění</w:t>
      </w:r>
      <w:r>
        <w:rPr>
          <w:rFonts w:eastAsiaTheme="minorEastAsia"/>
        </w:rPr>
        <w:t xml:space="preserve"> bezemisních autobusů.  </w:t>
      </w:r>
    </w:p>
    <w:p w14:paraId="07EAB3A2" w14:textId="7605C50F" w:rsidR="00705447" w:rsidRDefault="005E4C43" w:rsidP="009A3B7E">
      <w:pPr>
        <w:jc w:val="both"/>
      </w:pPr>
      <w:r>
        <w:t>Jak vyplývá z</w:t>
      </w:r>
      <w:r w:rsidR="005A1247">
        <w:t> </w:t>
      </w:r>
      <w:r>
        <w:t>kapitoly věnované obecným východiskům akt</w:t>
      </w:r>
      <w:r w:rsidR="00705447">
        <w:t xml:space="preserve">ualizace NAP CM, je žádoucí se minimálně ve střednědobém horizontu </w:t>
      </w:r>
      <w:r>
        <w:t xml:space="preserve">zaměřit též na </w:t>
      </w:r>
      <w:r w:rsidR="00705447" w:rsidRPr="00FD7A23">
        <w:rPr>
          <w:b/>
        </w:rPr>
        <w:t>zavádění elektromobility v</w:t>
      </w:r>
      <w:r w:rsidR="005A1247">
        <w:rPr>
          <w:b/>
        </w:rPr>
        <w:t> </w:t>
      </w:r>
      <w:r w:rsidRPr="00FD7A23">
        <w:rPr>
          <w:b/>
        </w:rPr>
        <w:t>segment</w:t>
      </w:r>
      <w:r w:rsidR="00705447" w:rsidRPr="00FD7A23">
        <w:rPr>
          <w:b/>
        </w:rPr>
        <w:t>u</w:t>
      </w:r>
      <w:r w:rsidRPr="00FD7A23">
        <w:rPr>
          <w:b/>
        </w:rPr>
        <w:t xml:space="preserve"> nákladní dopravy</w:t>
      </w:r>
      <w:r w:rsidR="00705447" w:rsidRPr="00FD7A23">
        <w:rPr>
          <w:b/>
        </w:rPr>
        <w:t>.</w:t>
      </w:r>
      <w:r w:rsidR="00705447">
        <w:t xml:space="preserve"> Tato potřeba vyplývá zejména z</w:t>
      </w:r>
      <w:r w:rsidR="005A1247">
        <w:t> </w:t>
      </w:r>
      <w:r w:rsidR="00705447">
        <w:t xml:space="preserve">vývoje </w:t>
      </w:r>
      <w:r>
        <w:t>nov</w:t>
      </w:r>
      <w:r w:rsidR="00705447">
        <w:t xml:space="preserve">é </w:t>
      </w:r>
      <w:r>
        <w:t>legislativ</w:t>
      </w:r>
      <w:r w:rsidR="00705447">
        <w:t>y</w:t>
      </w:r>
      <w:r>
        <w:t xml:space="preserve"> EU v</w:t>
      </w:r>
      <w:r w:rsidR="005A1247">
        <w:t> </w:t>
      </w:r>
      <w:r>
        <w:t>oblasti CO</w:t>
      </w:r>
      <w:r w:rsidRPr="004B3D01">
        <w:rPr>
          <w:vertAlign w:val="subscript"/>
        </w:rPr>
        <w:t xml:space="preserve">2 </w:t>
      </w:r>
      <w:r>
        <w:t xml:space="preserve">pro nová těžká nákladní silniční vozidla. </w:t>
      </w:r>
    </w:p>
    <w:p w14:paraId="51F9FA0F" w14:textId="254E1C36" w:rsidR="00705447" w:rsidRDefault="005E4C43" w:rsidP="009A3B7E">
      <w:pPr>
        <w:jc w:val="both"/>
      </w:pPr>
      <w:r w:rsidRPr="00FE0BED">
        <w:t>Klíčovým předpokladem rozvoje elektromobility v</w:t>
      </w:r>
      <w:r w:rsidR="005A1247">
        <w:t> </w:t>
      </w:r>
      <w:r w:rsidRPr="00FE0BED">
        <w:t>nákladní dopravě je rozvoj ultrarychlé dobíjecí infrastruktury (150-350 kW</w:t>
      </w:r>
      <w:r w:rsidR="00F3042F">
        <w:t xml:space="preserve"> a</w:t>
      </w:r>
      <w:r w:rsidR="005A1247">
        <w:t> </w:t>
      </w:r>
      <w:r w:rsidR="00F3042F">
        <w:t>více</w:t>
      </w:r>
      <w:r w:rsidRPr="00FE0BED">
        <w:t>), které zajistí dobití v</w:t>
      </w:r>
      <w:r w:rsidR="005A1247">
        <w:t> </w:t>
      </w:r>
      <w:r w:rsidRPr="00FE0BED">
        <w:t xml:space="preserve">potřebném čase. </w:t>
      </w:r>
      <w:r w:rsidR="00C60CE0">
        <w:t>Za žádoucí se jeví tento typ dobíjecích stanic podpořit již v</w:t>
      </w:r>
      <w:r w:rsidR="005A1247">
        <w:t> </w:t>
      </w:r>
      <w:r w:rsidR="00C60CE0">
        <w:t xml:space="preserve">rámci současného programového období OPD II. </w:t>
      </w:r>
      <w:r w:rsidRPr="00FE0BED">
        <w:t xml:space="preserve">Význam to může mít zejména </w:t>
      </w:r>
      <w:r w:rsidR="00A2347D">
        <w:t>u</w:t>
      </w:r>
      <w:r w:rsidR="005A1247">
        <w:t> </w:t>
      </w:r>
      <w:r w:rsidR="00A2347D">
        <w:t>nákladních vozidel s</w:t>
      </w:r>
      <w:r w:rsidR="005A1247">
        <w:t> </w:t>
      </w:r>
      <w:r w:rsidRPr="00FE0BED">
        <w:t>omezený</w:t>
      </w:r>
      <w:r w:rsidR="00A2347D">
        <w:t>m</w:t>
      </w:r>
      <w:r w:rsidRPr="00FE0BED">
        <w:t xml:space="preserve"> denní</w:t>
      </w:r>
      <w:r w:rsidR="00A2347D">
        <w:t>m</w:t>
      </w:r>
      <w:r w:rsidRPr="00FE0BED">
        <w:t xml:space="preserve"> nájezd</w:t>
      </w:r>
      <w:r w:rsidR="00A2347D">
        <w:t>em</w:t>
      </w:r>
      <w:r w:rsidRPr="00FE0BED">
        <w:t xml:space="preserve"> (v rámci např. tzv.</w:t>
      </w:r>
      <w:r>
        <w:t xml:space="preserve"> city logistiky). V</w:t>
      </w:r>
      <w:r w:rsidR="005A1247">
        <w:t> </w:t>
      </w:r>
      <w:r>
        <w:t>oblasti elektrické nákladní dopravy se ale nabízí i</w:t>
      </w:r>
      <w:r w:rsidR="005A1247">
        <w:t> </w:t>
      </w:r>
      <w:r>
        <w:t>odlišný technologický koncept zvaný eHighway</w:t>
      </w:r>
      <w:r w:rsidR="00705447">
        <w:t xml:space="preserve"> (případně koncept dynamického dobíjení)</w:t>
      </w:r>
      <w:r>
        <w:t xml:space="preserve">. </w:t>
      </w:r>
      <w:r w:rsidR="00705447">
        <w:t xml:space="preserve">Daný koncept </w:t>
      </w:r>
      <w:r>
        <w:t>je založen na kombinaci využití hybridního pohonu vozu a</w:t>
      </w:r>
      <w:r w:rsidR="005A1247">
        <w:t> </w:t>
      </w:r>
      <w:r>
        <w:t>elektrifikované komunikac</w:t>
      </w:r>
      <w:r w:rsidR="00705447">
        <w:t>e</w:t>
      </w:r>
      <w:r>
        <w:t>. Pilotní projekty v</w:t>
      </w:r>
      <w:r w:rsidR="005A1247">
        <w:t> </w:t>
      </w:r>
      <w:r>
        <w:t>tomto směru byly již v</w:t>
      </w:r>
      <w:r w:rsidR="005A1247">
        <w:t> </w:t>
      </w:r>
      <w:r>
        <w:t>minulosti realizovány v</w:t>
      </w:r>
      <w:r w:rsidR="005A1247">
        <w:t> </w:t>
      </w:r>
      <w:r>
        <w:t>Německu, Švédsku nebo Itálii. Z</w:t>
      </w:r>
      <w:r w:rsidR="005A1247">
        <w:t> </w:t>
      </w:r>
      <w:r>
        <w:t>výrobců těžkých nákladních vozidel tento technologický trend sleduje zatím především společnost Scania. Tento trend je třeba v</w:t>
      </w:r>
      <w:r w:rsidR="005A1247">
        <w:t> </w:t>
      </w:r>
      <w:r>
        <w:t>dlouhodobém horizontu sledovat i</w:t>
      </w:r>
      <w:r w:rsidR="005A1247">
        <w:t> </w:t>
      </w:r>
      <w:r>
        <w:t>v</w:t>
      </w:r>
      <w:r w:rsidR="000F2439">
        <w:t> </w:t>
      </w:r>
      <w:r>
        <w:t>ČR.</w:t>
      </w:r>
    </w:p>
    <w:p w14:paraId="7DFAF1BB" w14:textId="2F26043A" w:rsidR="00C31320" w:rsidRDefault="00705447" w:rsidP="009A3B7E">
      <w:pPr>
        <w:jc w:val="both"/>
      </w:pPr>
      <w:r>
        <w:t>Pokud jde o</w:t>
      </w:r>
      <w:r w:rsidR="005A1247">
        <w:t> </w:t>
      </w:r>
      <w:r>
        <w:t>nástroje možné stimulace poptávky po elektrických nákladních vozidlech</w:t>
      </w:r>
      <w:r w:rsidR="00A2347D">
        <w:t>,</w:t>
      </w:r>
      <w:r>
        <w:t xml:space="preserve"> již v</w:t>
      </w:r>
      <w:r w:rsidR="005A1247">
        <w:t> </w:t>
      </w:r>
      <w:r>
        <w:t xml:space="preserve">současnosti lze zmínit osvobození </w:t>
      </w:r>
      <w:r w:rsidR="008341B9">
        <w:t xml:space="preserve">platit mýtné </w:t>
      </w:r>
      <w:r>
        <w:t>pro veškerá elektrická vozidla. Do budoucna by však měly být hledány i</w:t>
      </w:r>
      <w:r w:rsidR="005A1247">
        <w:t> </w:t>
      </w:r>
      <w:r>
        <w:t>jiné nástroje, jak tuto oblast podpořit. Odpověď na tuto otázku by mohla dát studie, která se bude obecně týkat otázky rozvoje čisté mobility v</w:t>
      </w:r>
      <w:r w:rsidR="005A1247">
        <w:t> </w:t>
      </w:r>
      <w:r>
        <w:t>nákladní dopravě.</w:t>
      </w:r>
    </w:p>
    <w:p w14:paraId="1F187C6F" w14:textId="6791D236" w:rsidR="00472BA4" w:rsidRDefault="00C31320" w:rsidP="009A3B7E">
      <w:pPr>
        <w:jc w:val="both"/>
      </w:pPr>
      <w:r w:rsidRPr="00C31320">
        <w:t>V dané oblasti je třeba vnímat též možné synergie s</w:t>
      </w:r>
      <w:r w:rsidR="005A1247">
        <w:t> </w:t>
      </w:r>
      <w:r w:rsidRPr="00C31320">
        <w:t>problematikou citylogistiky a</w:t>
      </w:r>
      <w:r w:rsidR="005A1247">
        <w:t> </w:t>
      </w:r>
      <w:r w:rsidRPr="00C31320">
        <w:t>městské mobility. Jak vyplývá z</w:t>
      </w:r>
      <w:r w:rsidR="005A1247">
        <w:t> </w:t>
      </w:r>
      <w:r w:rsidRPr="00C31320">
        <w:t>Koncepce nákladní dopravy</w:t>
      </w:r>
      <w:r w:rsidRPr="00C31320">
        <w:rPr>
          <w:vertAlign w:val="superscript"/>
        </w:rPr>
        <w:footnoteReference w:id="4"/>
      </w:r>
      <w:r w:rsidRPr="00C31320">
        <w:t>, zejména v</w:t>
      </w:r>
      <w:r w:rsidR="005A1247">
        <w:t> </w:t>
      </w:r>
      <w:r w:rsidRPr="00C31320">
        <w:t>případě historických center měst je třeba zajistit jejich zásobování menšími nákladními vozidly a</w:t>
      </w:r>
      <w:r w:rsidR="005A1247">
        <w:t> </w:t>
      </w:r>
      <w:r w:rsidRPr="00C31320">
        <w:t>to pokud možno na alternativní energie. Protože právě v</w:t>
      </w:r>
      <w:r w:rsidR="005A1247">
        <w:t> </w:t>
      </w:r>
      <w:r w:rsidRPr="00C31320">
        <w:t>tomto segmentu lze očekávat nástup elektromobility nejrychleji, je žádoucí v</w:t>
      </w:r>
      <w:r w:rsidR="005A1247">
        <w:t> </w:t>
      </w:r>
      <w:r w:rsidRPr="00C31320">
        <w:t>rámci budoucího mechanismu podpory nákupu elektrických vozidel pro podnikatele akcentovat podporu pro projekty na využití elektrických nákladních vozidel v</w:t>
      </w:r>
      <w:r w:rsidR="005A1247">
        <w:t> </w:t>
      </w:r>
      <w:r w:rsidRPr="00C31320">
        <w:t>citylogistice.</w:t>
      </w:r>
    </w:p>
    <w:p w14:paraId="096A7E93" w14:textId="70528E34" w:rsidR="00BA1560" w:rsidRDefault="00BA1560" w:rsidP="00BA1560">
      <w:pPr>
        <w:jc w:val="both"/>
      </w:pPr>
      <w:r>
        <w:t>Elektromobilita má své místo též v</w:t>
      </w:r>
      <w:r w:rsidR="005A1247">
        <w:t> </w:t>
      </w:r>
      <w:r>
        <w:t>oblasti tzv. mikromobility či lehké mobility, kam spadají vozidla kategorie L</w:t>
      </w:r>
      <w:r w:rsidR="005A1247">
        <w:t> </w:t>
      </w:r>
      <w:r>
        <w:t>jako elektrické skútry, mopedy, a</w:t>
      </w:r>
      <w:r w:rsidR="005A1247">
        <w:t> </w:t>
      </w:r>
      <w:r>
        <w:t>kromě toho též elektrická kola. Již dnes je v</w:t>
      </w:r>
      <w:r w:rsidR="005A1247">
        <w:t> </w:t>
      </w:r>
      <w:r>
        <w:t>ČR registrováno přes 3 000 vozidel kategorie L, počet elektrických kol k</w:t>
      </w:r>
      <w:r w:rsidR="005A1247">
        <w:t> </w:t>
      </w:r>
      <w:r>
        <w:t xml:space="preserve">dispozici není. </w:t>
      </w:r>
    </w:p>
    <w:p w14:paraId="5586957B" w14:textId="07CE479A" w:rsidR="00C31320" w:rsidRDefault="00BA1560" w:rsidP="00BA1560">
      <w:pPr>
        <w:jc w:val="both"/>
      </w:pPr>
      <w:r>
        <w:lastRenderedPageBreak/>
        <w:t>Strategie rozvoje elektromobility v</w:t>
      </w:r>
      <w:r w:rsidR="005A1247">
        <w:t> </w:t>
      </w:r>
      <w:r>
        <w:t>tomto segmentu by měla být primárně řešena na regionální a</w:t>
      </w:r>
      <w:r w:rsidR="005A1247">
        <w:t> </w:t>
      </w:r>
      <w:r>
        <w:t>místní úrovni. Na celostátní úrovni může být toto téma reflektováno v</w:t>
      </w:r>
      <w:r w:rsidR="005A1247">
        <w:t> </w:t>
      </w:r>
      <w:r>
        <w:t>připravované Koncepc</w:t>
      </w:r>
      <w:r w:rsidR="00B37FA6">
        <w:t>i</w:t>
      </w:r>
      <w:r>
        <w:t xml:space="preserve"> městské a</w:t>
      </w:r>
      <w:r w:rsidR="005A1247">
        <w:t> </w:t>
      </w:r>
      <w:r>
        <w:t>aktivní mobility. Pokud jde o</w:t>
      </w:r>
      <w:r w:rsidR="005A1247">
        <w:t> </w:t>
      </w:r>
      <w:r>
        <w:t>otázku podpory v</w:t>
      </w:r>
      <w:r w:rsidR="005A1247">
        <w:t> </w:t>
      </w:r>
      <w:r>
        <w:t>této oblasti ze stran státu, za žádoucí lze považovat pokračování existující podpory vybraných typů vozidel kategorie L</w:t>
      </w:r>
      <w:r w:rsidR="005A1247">
        <w:t> </w:t>
      </w:r>
      <w:r>
        <w:t>pro města a</w:t>
      </w:r>
      <w:r w:rsidR="005A1247">
        <w:t> </w:t>
      </w:r>
      <w:r>
        <w:t>kraje v</w:t>
      </w:r>
      <w:r w:rsidR="005A1247">
        <w:t> </w:t>
      </w:r>
      <w:r>
        <w:t>rámci NPŽP. Žádná nová opatření na úrovni státu se však v</w:t>
      </w:r>
      <w:r w:rsidR="005A1247">
        <w:t> </w:t>
      </w:r>
      <w:r>
        <w:t>tuto chvíli nepředpokládají.</w:t>
      </w:r>
    </w:p>
    <w:p w14:paraId="272185D9" w14:textId="77777777" w:rsidR="00A0449C" w:rsidRPr="00CA20DD" w:rsidRDefault="00432262" w:rsidP="009A3B7E">
      <w:pPr>
        <w:pStyle w:val="Nadpis3"/>
        <w:jc w:val="both"/>
      </w:pPr>
      <w:r>
        <w:t>Rozvoj infrastruktury d</w:t>
      </w:r>
      <w:r w:rsidR="00A0449C" w:rsidRPr="00CA20DD">
        <w:t>obíjecí</w:t>
      </w:r>
      <w:r>
        <w:t>ch</w:t>
      </w:r>
      <w:r w:rsidR="00A0449C" w:rsidRPr="00CA20DD">
        <w:t xml:space="preserve"> stanic</w:t>
      </w:r>
    </w:p>
    <w:p w14:paraId="4C189A77" w14:textId="723BD7FC" w:rsidR="00590307" w:rsidRDefault="00097451" w:rsidP="009A3B7E">
      <w:pPr>
        <w:jc w:val="both"/>
      </w:pPr>
      <w:r>
        <w:t xml:space="preserve">S ohledem na </w:t>
      </w:r>
      <w:r w:rsidR="007B3088">
        <w:t xml:space="preserve">řadu různých </w:t>
      </w:r>
      <w:r>
        <w:t>faktor</w:t>
      </w:r>
      <w:r w:rsidR="007B3088">
        <w:t xml:space="preserve">ů jako </w:t>
      </w:r>
      <w:r w:rsidR="007B3088" w:rsidRPr="00571C45">
        <w:t>očekávaný rychlý vývoj technologie vozidel a</w:t>
      </w:r>
      <w:r w:rsidR="005A1247">
        <w:t> </w:t>
      </w:r>
      <w:r w:rsidR="007B3088" w:rsidRPr="00571C45">
        <w:t>s</w:t>
      </w:r>
      <w:r w:rsidR="000F2439" w:rsidRPr="00571C45">
        <w:t> </w:t>
      </w:r>
      <w:r w:rsidR="007B3088" w:rsidRPr="00571C45">
        <w:t>tím souvisejících požadavků na typ dobíjení, úroveň vytížení veřejných dobíjecích stanic, chování budoucího masového zákazníka</w:t>
      </w:r>
      <w:r w:rsidR="007B3088" w:rsidRPr="00C60CE0">
        <w:t xml:space="preserve"> nebo </w:t>
      </w:r>
      <w:r w:rsidR="007B3088" w:rsidRPr="00571C45">
        <w:t>model dobíjení pro elektromobilisty, kteří nemají žádné či jen omezené možnosti jak dobíjet neveřejně</w:t>
      </w:r>
      <w:r w:rsidR="007B3088">
        <w:t xml:space="preserve"> (např. nevlastní garáž, zaměstnavatel nenabízí možnost dobíjení přes den) se jeví jako krajně obtížné d</w:t>
      </w:r>
      <w:r w:rsidR="00590307">
        <w:t>efinovat počet stanic jako prostou funkci počtu vozidel v</w:t>
      </w:r>
      <w:r w:rsidR="005A1247">
        <w:t> </w:t>
      </w:r>
      <w:r w:rsidR="00590307">
        <w:t>ulicích (např. v</w:t>
      </w:r>
      <w:r w:rsidR="005A1247">
        <w:t> </w:t>
      </w:r>
      <w:r w:rsidR="00590307">
        <w:t>nějakém fixním poměru)</w:t>
      </w:r>
      <w:r w:rsidR="008341B9">
        <w:t>.</w:t>
      </w:r>
      <w:r w:rsidR="00590307">
        <w:t xml:space="preserve"> </w:t>
      </w:r>
      <w:r w:rsidR="00EA7595">
        <w:t>D</w:t>
      </w:r>
      <w:r w:rsidR="00590307">
        <w:t>obíjecí infrastruktura bude obsahovat poměrně široké portfolio technologií (dobíjecí body jak AC, tak i</w:t>
      </w:r>
      <w:r w:rsidR="005A1247">
        <w:t> </w:t>
      </w:r>
      <w:r w:rsidR="00590307">
        <w:t>DC, instalovaných podle typu lokality) a</w:t>
      </w:r>
      <w:r w:rsidR="005A1247">
        <w:t> </w:t>
      </w:r>
      <w:r w:rsidR="00590307">
        <w:t>zastoupení jednotlivých typů dobíjecích stanic se v</w:t>
      </w:r>
      <w:r w:rsidR="005A1247">
        <w:t> </w:t>
      </w:r>
      <w:r w:rsidR="00590307">
        <w:t>čase bude vyvíjet</w:t>
      </w:r>
      <w:r w:rsidR="00EA7595">
        <w:t>. Z</w:t>
      </w:r>
      <w:r w:rsidR="005A1247">
        <w:t> </w:t>
      </w:r>
      <w:r w:rsidR="00EA7595">
        <w:t>těchto důvodů se jeví, že</w:t>
      </w:r>
      <w:r w:rsidR="00590307">
        <w:t xml:space="preserve"> dobrým indikátorem pro dobíjecí infrastrukturu </w:t>
      </w:r>
      <w:r w:rsidR="00EA7595">
        <w:t>je</w:t>
      </w:r>
      <w:r w:rsidR="00590307">
        <w:t xml:space="preserve"> nikoliv počet dobíjecích stanic, ale </w:t>
      </w:r>
      <w:r w:rsidR="00EA7595">
        <w:t>jejich</w:t>
      </w:r>
      <w:r w:rsidR="00590307">
        <w:t xml:space="preserve"> celkový výkon, </w:t>
      </w:r>
      <w:r w:rsidR="00590307" w:rsidRPr="0013764D">
        <w:t>resp. objem dodané elektřiny</w:t>
      </w:r>
      <w:r w:rsidR="00590307">
        <w:t>.</w:t>
      </w:r>
    </w:p>
    <w:p w14:paraId="66EAAFC1" w14:textId="566CC822" w:rsidR="00590307" w:rsidRDefault="00590307" w:rsidP="009A3B7E">
      <w:pPr>
        <w:jc w:val="both"/>
      </w:pPr>
      <w:r>
        <w:t>Hlavní výhodou tohoto přístupu je</w:t>
      </w:r>
      <w:r w:rsidRPr="0013764D">
        <w:t xml:space="preserve"> </w:t>
      </w:r>
      <w:r>
        <w:t>možnost flexibilně reagovat na technologický vývoj a</w:t>
      </w:r>
      <w:r w:rsidR="005A1247">
        <w:t> </w:t>
      </w:r>
      <w:r>
        <w:t>zaměřit se na rozvoj nebo podporu té infrastruktury, která dává z</w:t>
      </w:r>
      <w:r w:rsidR="005A1247">
        <w:t> </w:t>
      </w:r>
      <w:r>
        <w:t>hlediska dalšího rozvoje elektromobility největší smysl (nefixovat konkrétní počet stanic daného typu).</w:t>
      </w:r>
    </w:p>
    <w:p w14:paraId="546567DD" w14:textId="24C0DE07" w:rsidR="00590307" w:rsidRDefault="00590307" w:rsidP="009A3B7E">
      <w:pPr>
        <w:jc w:val="both"/>
      </w:pPr>
      <w:r>
        <w:t>Při odhadu elektromobilního trhu na úrovni cíle pro vozidla výše lze s</w:t>
      </w:r>
      <w:r w:rsidR="005A1247">
        <w:t> </w:t>
      </w:r>
      <w:r>
        <w:t>přihlédnutím k</w:t>
      </w:r>
      <w:r w:rsidR="005A1247">
        <w:t> </w:t>
      </w:r>
      <w:r>
        <w:t xml:space="preserve">očekávaným faktorům (nárůst výkonů dobíjecích stanic, budování dobíjecích hubů, podíl </w:t>
      </w:r>
      <w:r w:rsidRPr="00554FBE">
        <w:t>veřejného a</w:t>
      </w:r>
      <w:r w:rsidR="005A1247">
        <w:t> </w:t>
      </w:r>
      <w:r w:rsidRPr="00554FBE">
        <w:t>neveřejného dobíjení) očekávat takovou potřebu veřejných dobíjecích stanic, které umožní dodávku v</w:t>
      </w:r>
      <w:r w:rsidR="005A1247">
        <w:t> </w:t>
      </w:r>
      <w:r w:rsidRPr="00554FBE">
        <w:t xml:space="preserve">rozsahu </w:t>
      </w:r>
      <w:r w:rsidRPr="00554FBE">
        <w:rPr>
          <w:b/>
        </w:rPr>
        <w:t>1</w:t>
      </w:r>
      <w:r w:rsidR="00EA6792" w:rsidRPr="00554FBE">
        <w:rPr>
          <w:b/>
        </w:rPr>
        <w:t> </w:t>
      </w:r>
      <w:r w:rsidRPr="00554FBE">
        <w:rPr>
          <w:b/>
        </w:rPr>
        <w:t>000</w:t>
      </w:r>
      <w:r w:rsidR="00EA6792" w:rsidRPr="00554FBE">
        <w:rPr>
          <w:b/>
        </w:rPr>
        <w:t xml:space="preserve"> – </w:t>
      </w:r>
      <w:r w:rsidRPr="00554FBE">
        <w:rPr>
          <w:b/>
        </w:rPr>
        <w:t>1</w:t>
      </w:r>
      <w:r w:rsidR="00EA6792" w:rsidRPr="00554FBE">
        <w:rPr>
          <w:b/>
        </w:rPr>
        <w:t xml:space="preserve"> </w:t>
      </w:r>
      <w:r w:rsidRPr="00554FBE">
        <w:rPr>
          <w:b/>
        </w:rPr>
        <w:t xml:space="preserve">500 GWh </w:t>
      </w:r>
      <w:r w:rsidRPr="00554FBE">
        <w:t>elektřiny/rok</w:t>
      </w:r>
      <w:r w:rsidR="002B4B2E" w:rsidRPr="00554FBE">
        <w:t xml:space="preserve"> (nízký)</w:t>
      </w:r>
      <w:r w:rsidRPr="00554FBE">
        <w:t xml:space="preserve">, až </w:t>
      </w:r>
      <w:r w:rsidRPr="00554FBE">
        <w:rPr>
          <w:b/>
        </w:rPr>
        <w:t>2</w:t>
      </w:r>
      <w:r w:rsidR="00EA6792" w:rsidRPr="00554FBE">
        <w:rPr>
          <w:b/>
        </w:rPr>
        <w:t> </w:t>
      </w:r>
      <w:r w:rsidRPr="00554FBE">
        <w:rPr>
          <w:b/>
        </w:rPr>
        <w:t>000</w:t>
      </w:r>
      <w:r w:rsidR="00EA6792" w:rsidRPr="00554FBE">
        <w:rPr>
          <w:b/>
        </w:rPr>
        <w:t xml:space="preserve"> – </w:t>
      </w:r>
      <w:r w:rsidRPr="00554FBE">
        <w:rPr>
          <w:b/>
        </w:rPr>
        <w:t>3</w:t>
      </w:r>
      <w:r w:rsidR="00BA1560">
        <w:rPr>
          <w:b/>
        </w:rPr>
        <w:t> </w:t>
      </w:r>
      <w:r w:rsidRPr="00554FBE">
        <w:rPr>
          <w:b/>
        </w:rPr>
        <w:t>000</w:t>
      </w:r>
      <w:r w:rsidR="00BA1560">
        <w:rPr>
          <w:b/>
        </w:rPr>
        <w:t> </w:t>
      </w:r>
      <w:r w:rsidRPr="00554FBE">
        <w:rPr>
          <w:b/>
        </w:rPr>
        <w:t>GWh</w:t>
      </w:r>
      <w:r w:rsidRPr="00554FBE">
        <w:t xml:space="preserve"> elektřiny/rok </w:t>
      </w:r>
      <w:r w:rsidR="002B4B2E" w:rsidRPr="00554FBE">
        <w:t xml:space="preserve">(vysoký) </w:t>
      </w:r>
      <w:r w:rsidRPr="00554FBE">
        <w:t>k</w:t>
      </w:r>
      <w:r w:rsidR="005A1247">
        <w:t> </w:t>
      </w:r>
      <w:r w:rsidRPr="00554FBE">
        <w:t>roku 2030</w:t>
      </w:r>
      <w:r w:rsidR="000A6149" w:rsidRPr="00554FBE">
        <w:t>.</w:t>
      </w:r>
    </w:p>
    <w:p w14:paraId="514E6093" w14:textId="3830283D" w:rsidR="00C5746F" w:rsidRDefault="007B3088" w:rsidP="009A3B7E">
      <w:pPr>
        <w:jc w:val="both"/>
      </w:pPr>
      <w:r>
        <w:t>Přes výše uvedené limitující faktory je však žádoucí si určit</w:t>
      </w:r>
      <w:r w:rsidR="00472BA4">
        <w:t xml:space="preserve">ý </w:t>
      </w:r>
      <w:r>
        <w:t>cíl počt</w:t>
      </w:r>
      <w:r w:rsidR="00472BA4">
        <w:t>u</w:t>
      </w:r>
      <w:r>
        <w:t xml:space="preserve"> </w:t>
      </w:r>
      <w:r w:rsidR="00472BA4">
        <w:t xml:space="preserve">veřejných </w:t>
      </w:r>
      <w:r>
        <w:t xml:space="preserve">dobíjecích stanic </w:t>
      </w:r>
      <w:r w:rsidR="00472BA4">
        <w:t>do roku 2030 v</w:t>
      </w:r>
      <w:r w:rsidR="005A1247">
        <w:t> </w:t>
      </w:r>
      <w:r w:rsidR="00472BA4">
        <w:t>NAP CM stanovit a</w:t>
      </w:r>
      <w:r w:rsidR="005A1247">
        <w:t> </w:t>
      </w:r>
      <w:r w:rsidR="00472BA4">
        <w:t>to mj. z</w:t>
      </w:r>
      <w:r w:rsidR="005A1247">
        <w:t> </w:t>
      </w:r>
      <w:r w:rsidR="00472BA4">
        <w:t>důvodu očekávaného zájmu ze strany EK takovýto cíl po členských státech požadovat v</w:t>
      </w:r>
      <w:r w:rsidR="005A1247">
        <w:t> </w:t>
      </w:r>
      <w:r w:rsidR="00472BA4">
        <w:t xml:space="preserve">rámci </w:t>
      </w:r>
      <w:r w:rsidR="00C5746F">
        <w:t xml:space="preserve">budoucí </w:t>
      </w:r>
      <w:r w:rsidR="00472BA4">
        <w:t>revize směrnice 2014/94/EU.</w:t>
      </w:r>
      <w:r w:rsidR="00C5746F" w:rsidRPr="00C5746F">
        <w:t xml:space="preserve"> </w:t>
      </w:r>
      <w:r w:rsidR="00C5746F">
        <w:t>Za vhodné lze toto považovat však i</w:t>
      </w:r>
      <w:r w:rsidR="005A1247">
        <w:t> </w:t>
      </w:r>
      <w:r w:rsidR="00C5746F">
        <w:t>z hlediska snazšího zdůvodnění předpokládaného příštího dotačního programu na podporu dobíjecích stanic v</w:t>
      </w:r>
      <w:r w:rsidR="005A1247">
        <w:t> </w:t>
      </w:r>
      <w:r w:rsidR="00C5746F">
        <w:t>rámci OPD III. Za klíčové je třeba konstatovat, že bez existence takovéto finanční podpory ze strany státu by předpokládaný rozvoj sítě dobíjecích stanic byl v</w:t>
      </w:r>
      <w:r w:rsidR="005A1247">
        <w:t> </w:t>
      </w:r>
      <w:r w:rsidR="00C5746F">
        <w:t>zásadě nemožný, resp. by znamenal pomalejší rozvoj této infrastruktury</w:t>
      </w:r>
    </w:p>
    <w:p w14:paraId="46DBD8B2" w14:textId="6D626096" w:rsidR="00474B32" w:rsidRDefault="00472BA4" w:rsidP="009A3B7E">
      <w:pPr>
        <w:jc w:val="both"/>
      </w:pPr>
      <w:r>
        <w:t>I</w:t>
      </w:r>
      <w:r w:rsidR="00061FB2">
        <w:t> </w:t>
      </w:r>
      <w:r>
        <w:t>v</w:t>
      </w:r>
      <w:r w:rsidR="005A1247">
        <w:t> </w:t>
      </w:r>
      <w:r>
        <w:t xml:space="preserve">tomto případě </w:t>
      </w:r>
      <w:r w:rsidR="00C60CE0">
        <w:t>cíl stanovuje v</w:t>
      </w:r>
      <w:r w:rsidR="005A1247">
        <w:t> </w:t>
      </w:r>
      <w:r w:rsidR="00C60CE0">
        <w:t xml:space="preserve">rámci </w:t>
      </w:r>
      <w:r w:rsidR="00061FB2">
        <w:t> </w:t>
      </w:r>
      <w:r>
        <w:t>interval</w:t>
      </w:r>
      <w:r w:rsidR="00C60CE0">
        <w:t>u</w:t>
      </w:r>
      <w:r>
        <w:t>, který vychází z</w:t>
      </w:r>
      <w:r w:rsidR="00EA7595">
        <w:t>e</w:t>
      </w:r>
      <w:r w:rsidR="00210AA9">
        <w:t> </w:t>
      </w:r>
      <w:r>
        <w:t>dvou možných scénářů vývoje v</w:t>
      </w:r>
      <w:r w:rsidR="005A1247">
        <w:t> </w:t>
      </w:r>
      <w:r>
        <w:t xml:space="preserve">oblasti trhu vozidel.  </w:t>
      </w:r>
      <w:r w:rsidR="00C60CE0">
        <w:t>Předpokládaný dotační program v</w:t>
      </w:r>
      <w:r w:rsidR="005A1247">
        <w:t> </w:t>
      </w:r>
      <w:r w:rsidR="00C60CE0">
        <w:t>rámci OPD III by měl garantovat naplnění minimálně nižší úrovně daného cíle. S</w:t>
      </w:r>
      <w:r w:rsidR="005A1247">
        <w:t> </w:t>
      </w:r>
      <w:r w:rsidR="00C60CE0">
        <w:t>podporou rozvoje infrastruktury ultrarychlých stanic je však třeba začít co nejdříve (ideálně ještě v</w:t>
      </w:r>
      <w:r w:rsidR="005A1247">
        <w:t> </w:t>
      </w:r>
      <w:r w:rsidR="00C60CE0">
        <w:t xml:space="preserve">rámci OPD II).    </w:t>
      </w:r>
    </w:p>
    <w:p w14:paraId="7B14F0B7" w14:textId="72BD2B3A" w:rsidR="00CA5E1B" w:rsidRDefault="00CA5E1B">
      <w:pPr>
        <w:spacing w:before="0" w:after="200" w:line="276" w:lineRule="auto"/>
      </w:pPr>
      <w:r>
        <w:br w:type="page"/>
      </w:r>
    </w:p>
    <w:p w14:paraId="6D638454" w14:textId="77777777" w:rsidR="00590307" w:rsidRDefault="00590307" w:rsidP="009A3B7E">
      <w:pPr>
        <w:pStyle w:val="odrkaa"/>
        <w:jc w:val="both"/>
      </w:pPr>
      <w:r w:rsidRPr="00EA6792">
        <w:lastRenderedPageBreak/>
        <w:t>Veřejně přístupná infrastruktura pro 2</w:t>
      </w:r>
      <w:r w:rsidR="005D5E95">
        <w:t>2</w:t>
      </w:r>
      <w:r w:rsidRPr="00EA6792">
        <w:t>0</w:t>
      </w:r>
      <w:r w:rsidR="00EA6792" w:rsidRPr="00EA6792">
        <w:t xml:space="preserve"> </w:t>
      </w:r>
      <w:r w:rsidRPr="00EA6792">
        <w:t>000 vozidel</w:t>
      </w:r>
    </w:p>
    <w:p w14:paraId="1DD8816E" w14:textId="77777777" w:rsidR="00BA1560" w:rsidRPr="00EA6792" w:rsidRDefault="00BA1560" w:rsidP="00BA1560">
      <w:pPr>
        <w:pStyle w:val="odrkaa"/>
        <w:numPr>
          <w:ilvl w:val="0"/>
          <w:numId w:val="0"/>
        </w:numPr>
        <w:ind w:left="680"/>
        <w:jc w:val="both"/>
      </w:pPr>
    </w:p>
    <w:p w14:paraId="15EA16A1" w14:textId="5C75654E" w:rsidR="00590307" w:rsidRDefault="00590307" w:rsidP="009A3B7E">
      <w:pPr>
        <w:pStyle w:val="Titulek"/>
        <w:keepNext/>
        <w:jc w:val="both"/>
      </w:pPr>
      <w:bookmarkStart w:id="26" w:name="_Toc34298581"/>
      <w:bookmarkStart w:id="27" w:name="_Toc19792415"/>
      <w:r>
        <w:t xml:space="preserve">Obrázek </w:t>
      </w:r>
      <w:r w:rsidR="00931D00">
        <w:rPr>
          <w:noProof/>
        </w:rPr>
        <w:fldChar w:fldCharType="begin"/>
      </w:r>
      <w:r w:rsidR="00931D00">
        <w:rPr>
          <w:noProof/>
        </w:rPr>
        <w:instrText xml:space="preserve"> SEQ Obrázek \* ARABIC </w:instrText>
      </w:r>
      <w:r w:rsidR="00931D00">
        <w:rPr>
          <w:noProof/>
        </w:rPr>
        <w:fldChar w:fldCharType="separate"/>
      </w:r>
      <w:r w:rsidR="00D944E5">
        <w:rPr>
          <w:noProof/>
        </w:rPr>
        <w:t>1</w:t>
      </w:r>
      <w:r w:rsidR="00931D00">
        <w:rPr>
          <w:noProof/>
        </w:rPr>
        <w:fldChar w:fldCharType="end"/>
      </w:r>
      <w:r>
        <w:t xml:space="preserve"> Veřejně přístupná dobíjecí infrastruktura v</w:t>
      </w:r>
      <w:r w:rsidR="005A1247">
        <w:t> </w:t>
      </w:r>
      <w:r>
        <w:t>roce 2025</w:t>
      </w:r>
      <w:r w:rsidR="00EA6792">
        <w:t xml:space="preserve"> </w:t>
      </w:r>
      <w:r w:rsidR="00D95CCB">
        <w:t xml:space="preserve">(6 200 dobíjecích bodů) </w:t>
      </w:r>
      <w:r w:rsidR="00767821">
        <w:t>respektive 2030</w:t>
      </w:r>
      <w:r w:rsidR="00D95CCB">
        <w:t xml:space="preserve"> (19 000 dobíjecích bodů)</w:t>
      </w:r>
      <w:r w:rsidR="006172E7">
        <w:t xml:space="preserve"> pro 220 000 vozidel</w:t>
      </w:r>
      <w:bookmarkEnd w:id="26"/>
      <w:r w:rsidR="00767821">
        <w:t xml:space="preserve"> </w:t>
      </w:r>
      <w:bookmarkEnd w:id="27"/>
    </w:p>
    <w:tbl>
      <w:tblPr>
        <w:tblStyle w:val="Mkatabulky"/>
        <w:tblW w:w="9412" w:type="dxa"/>
        <w:tblInd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706"/>
        <w:gridCol w:w="4706"/>
      </w:tblGrid>
      <w:tr w:rsidR="00767821" w14:paraId="5E51955D" w14:textId="77777777" w:rsidTr="00767821">
        <w:trPr>
          <w:trHeight w:hRule="exact" w:val="4536"/>
        </w:trPr>
        <w:tc>
          <w:tcPr>
            <w:tcW w:w="4706" w:type="dxa"/>
          </w:tcPr>
          <w:p w14:paraId="5072E4C5" w14:textId="77777777" w:rsidR="00767821" w:rsidRDefault="00767821" w:rsidP="009A3B7E">
            <w:pPr>
              <w:pStyle w:val="odrkaa"/>
              <w:numPr>
                <w:ilvl w:val="0"/>
                <w:numId w:val="0"/>
              </w:numPr>
              <w:jc w:val="both"/>
            </w:pPr>
            <w:r>
              <w:rPr>
                <w:noProof/>
              </w:rPr>
              <w:drawing>
                <wp:inline distT="0" distB="0" distL="0" distR="0" wp14:anchorId="35570C88" wp14:editId="678885C9">
                  <wp:extent cx="2880000" cy="2880000"/>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706" w:type="dxa"/>
          </w:tcPr>
          <w:p w14:paraId="62BF41F1" w14:textId="77777777" w:rsidR="00767821" w:rsidRDefault="00767821" w:rsidP="009A3B7E">
            <w:pPr>
              <w:pStyle w:val="odrkaa"/>
              <w:numPr>
                <w:ilvl w:val="0"/>
                <w:numId w:val="0"/>
              </w:numPr>
              <w:jc w:val="both"/>
            </w:pPr>
            <w:r>
              <w:rPr>
                <w:noProof/>
              </w:rPr>
              <w:drawing>
                <wp:inline distT="0" distB="0" distL="0" distR="0" wp14:anchorId="7B815BB0" wp14:editId="2CA76FD1">
                  <wp:extent cx="2880000" cy="28800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14:paraId="7ADBF051" w14:textId="77777777" w:rsidR="00BA1560" w:rsidRDefault="00BA1560" w:rsidP="00BA1560">
      <w:pPr>
        <w:pStyle w:val="odrkaa"/>
        <w:numPr>
          <w:ilvl w:val="0"/>
          <w:numId w:val="0"/>
        </w:numPr>
        <w:jc w:val="both"/>
      </w:pPr>
    </w:p>
    <w:p w14:paraId="629F43F7" w14:textId="77777777" w:rsidR="00BA1560" w:rsidRDefault="00BA1560">
      <w:pPr>
        <w:spacing w:before="0" w:after="200" w:line="276" w:lineRule="auto"/>
      </w:pPr>
      <w:r>
        <w:br w:type="page"/>
      </w:r>
    </w:p>
    <w:p w14:paraId="12FF5458" w14:textId="77777777" w:rsidR="00590307" w:rsidRPr="00EA6792" w:rsidRDefault="00590307" w:rsidP="009A3B7E">
      <w:pPr>
        <w:pStyle w:val="odrkaa"/>
        <w:jc w:val="both"/>
      </w:pPr>
      <w:r w:rsidRPr="00EA6792">
        <w:lastRenderedPageBreak/>
        <w:t xml:space="preserve">Veřejně přístupná dobíjecí infrastruktura pro </w:t>
      </w:r>
      <w:r w:rsidR="002B4B2E">
        <w:t>500</w:t>
      </w:r>
      <w:r w:rsidR="005D5E95">
        <w:t xml:space="preserve"> 000 </w:t>
      </w:r>
      <w:r w:rsidR="005D5E95" w:rsidRPr="00EA6792">
        <w:t>vozidel</w:t>
      </w:r>
    </w:p>
    <w:p w14:paraId="68535FE0" w14:textId="39F15416" w:rsidR="00512687" w:rsidRPr="00512687" w:rsidRDefault="00590307" w:rsidP="009A3B7E">
      <w:pPr>
        <w:pStyle w:val="Titulek"/>
        <w:keepNext/>
        <w:jc w:val="both"/>
      </w:pPr>
      <w:bookmarkStart w:id="28" w:name="_Toc19792417"/>
      <w:bookmarkStart w:id="29" w:name="_Toc34298582"/>
      <w:r>
        <w:t xml:space="preserve">Obrázek </w:t>
      </w:r>
      <w:r w:rsidR="00931D00">
        <w:rPr>
          <w:noProof/>
        </w:rPr>
        <w:fldChar w:fldCharType="begin"/>
      </w:r>
      <w:r w:rsidR="00931D00">
        <w:rPr>
          <w:noProof/>
        </w:rPr>
        <w:instrText xml:space="preserve"> SEQ Obrázek \* ARABIC </w:instrText>
      </w:r>
      <w:r w:rsidR="00931D00">
        <w:rPr>
          <w:noProof/>
        </w:rPr>
        <w:fldChar w:fldCharType="separate"/>
      </w:r>
      <w:r w:rsidR="00D944E5">
        <w:rPr>
          <w:noProof/>
        </w:rPr>
        <w:t>2</w:t>
      </w:r>
      <w:r w:rsidR="00931D00">
        <w:rPr>
          <w:noProof/>
        </w:rPr>
        <w:fldChar w:fldCharType="end"/>
      </w:r>
      <w:r>
        <w:t xml:space="preserve"> </w:t>
      </w:r>
      <w:r w:rsidRPr="00501B71">
        <w:t xml:space="preserve">Veřejně přístupná </w:t>
      </w:r>
      <w:r>
        <w:t xml:space="preserve">dobíjecí </w:t>
      </w:r>
      <w:r w:rsidRPr="00501B71">
        <w:t>infrastr</w:t>
      </w:r>
      <w:r>
        <w:t>uktura v</w:t>
      </w:r>
      <w:r w:rsidR="005A1247">
        <w:t> </w:t>
      </w:r>
      <w:r>
        <w:t>roce 2025</w:t>
      </w:r>
      <w:r w:rsidR="00512687">
        <w:t xml:space="preserve"> </w:t>
      </w:r>
      <w:r w:rsidR="00D95CCB">
        <w:t xml:space="preserve">(11 000 dobíjecích bodů) </w:t>
      </w:r>
      <w:r w:rsidR="00512687">
        <w:t>respektive 2030</w:t>
      </w:r>
      <w:r w:rsidR="00D95CCB">
        <w:t xml:space="preserve"> (35 000 dobíjecích bodů)</w:t>
      </w:r>
      <w:bookmarkEnd w:id="28"/>
      <w:r w:rsidR="006172E7">
        <w:t xml:space="preserve"> pro 500 000 vozidel</w:t>
      </w:r>
      <w:bookmarkEnd w:id="29"/>
    </w:p>
    <w:tbl>
      <w:tblPr>
        <w:tblStyle w:val="Mkatabulky"/>
        <w:tblW w:w="9412" w:type="dxa"/>
        <w:tblInd w:w="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706"/>
        <w:gridCol w:w="4706"/>
      </w:tblGrid>
      <w:tr w:rsidR="00512687" w14:paraId="5679AC59" w14:textId="77777777" w:rsidTr="00CF2D43">
        <w:trPr>
          <w:trHeight w:hRule="exact" w:val="4536"/>
        </w:trPr>
        <w:tc>
          <w:tcPr>
            <w:tcW w:w="4706" w:type="dxa"/>
          </w:tcPr>
          <w:p w14:paraId="6191FF25" w14:textId="77777777" w:rsidR="00512687" w:rsidRDefault="00512687" w:rsidP="009A3B7E">
            <w:pPr>
              <w:pStyle w:val="odrkaa"/>
              <w:numPr>
                <w:ilvl w:val="0"/>
                <w:numId w:val="0"/>
              </w:numPr>
              <w:jc w:val="both"/>
            </w:pPr>
            <w:r>
              <w:rPr>
                <w:noProof/>
              </w:rPr>
              <w:drawing>
                <wp:inline distT="0" distB="0" distL="0" distR="0" wp14:anchorId="2E796896" wp14:editId="02AE1D29">
                  <wp:extent cx="2880000" cy="2880000"/>
                  <wp:effectExtent l="0" t="0" r="0" b="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706" w:type="dxa"/>
          </w:tcPr>
          <w:p w14:paraId="38F6286D" w14:textId="77777777" w:rsidR="00512687" w:rsidRDefault="00512687" w:rsidP="009A3B7E">
            <w:pPr>
              <w:pStyle w:val="odrkaa"/>
              <w:numPr>
                <w:ilvl w:val="0"/>
                <w:numId w:val="0"/>
              </w:numPr>
              <w:jc w:val="both"/>
            </w:pPr>
            <w:r>
              <w:rPr>
                <w:noProof/>
              </w:rPr>
              <w:drawing>
                <wp:inline distT="0" distB="0" distL="0" distR="0" wp14:anchorId="6CA15920" wp14:editId="04E5196A">
                  <wp:extent cx="2880000" cy="2880000"/>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14:paraId="14D5A881" w14:textId="16EEE47E" w:rsidR="00A0449C" w:rsidRPr="00EA6792" w:rsidRDefault="00590307" w:rsidP="009A3B7E">
      <w:pPr>
        <w:jc w:val="both"/>
        <w:rPr>
          <w:i/>
          <w:sz w:val="20"/>
        </w:rPr>
      </w:pPr>
      <w:r w:rsidRPr="00EA6792">
        <w:rPr>
          <w:i/>
          <w:sz w:val="20"/>
        </w:rPr>
        <w:t>Poznámky:</w:t>
      </w:r>
      <w:r w:rsidR="00EA6792" w:rsidRPr="00EA6792">
        <w:rPr>
          <w:i/>
          <w:sz w:val="20"/>
        </w:rPr>
        <w:t xml:space="preserve"> * - p</w:t>
      </w:r>
      <w:r w:rsidRPr="00EA6792">
        <w:rPr>
          <w:i/>
          <w:sz w:val="20"/>
        </w:rPr>
        <w:t>očet stanic DC 50 kW do roku 2025 reflektuje instalace s</w:t>
      </w:r>
      <w:r w:rsidR="005A1247">
        <w:rPr>
          <w:i/>
          <w:sz w:val="20"/>
        </w:rPr>
        <w:t> </w:t>
      </w:r>
      <w:r w:rsidRPr="00EA6792">
        <w:rPr>
          <w:i/>
          <w:sz w:val="20"/>
        </w:rPr>
        <w:t>podporou dotačních titulů (CEF, OPD), též zohledňuje fakt, že většina stanic DC 50 kW je typu multistandard, tj. je vybavena i</w:t>
      </w:r>
      <w:r w:rsidR="005A1247">
        <w:rPr>
          <w:i/>
          <w:sz w:val="20"/>
        </w:rPr>
        <w:t> </w:t>
      </w:r>
      <w:r w:rsidRPr="00EA6792">
        <w:rPr>
          <w:i/>
          <w:sz w:val="20"/>
        </w:rPr>
        <w:t>AC dobíjecím bodem (zpravidla s</w:t>
      </w:r>
      <w:r w:rsidR="005A1247">
        <w:rPr>
          <w:i/>
          <w:sz w:val="20"/>
        </w:rPr>
        <w:t> </w:t>
      </w:r>
      <w:r w:rsidRPr="00EA6792">
        <w:rPr>
          <w:i/>
          <w:sz w:val="20"/>
        </w:rPr>
        <w:t xml:space="preserve">výkonem do 22 </w:t>
      </w:r>
      <w:r w:rsidR="005D7CC9" w:rsidRPr="00EA6792">
        <w:rPr>
          <w:i/>
          <w:sz w:val="20"/>
        </w:rPr>
        <w:t>kW). V</w:t>
      </w:r>
      <w:r w:rsidR="005A1247">
        <w:rPr>
          <w:i/>
          <w:sz w:val="20"/>
        </w:rPr>
        <w:t> </w:t>
      </w:r>
      <w:r w:rsidR="005D7CC9" w:rsidRPr="00EA6792">
        <w:rPr>
          <w:i/>
          <w:sz w:val="20"/>
        </w:rPr>
        <w:t>dlouhodobém</w:t>
      </w:r>
      <w:r w:rsidRPr="00EA6792">
        <w:rPr>
          <w:i/>
          <w:sz w:val="20"/>
        </w:rPr>
        <w:t xml:space="preserve"> horizontu se předpokládá, že těžiště dobíjení ponesou stanice s</w:t>
      </w:r>
      <w:r w:rsidR="005A1247">
        <w:rPr>
          <w:i/>
          <w:sz w:val="20"/>
        </w:rPr>
        <w:t> </w:t>
      </w:r>
      <w:r w:rsidRPr="00EA6792">
        <w:rPr>
          <w:i/>
          <w:sz w:val="20"/>
        </w:rPr>
        <w:t>výkonem 150 kW a</w:t>
      </w:r>
      <w:r w:rsidR="005A1247">
        <w:rPr>
          <w:i/>
          <w:sz w:val="20"/>
        </w:rPr>
        <w:t> </w:t>
      </w:r>
      <w:r w:rsidRPr="00EA6792">
        <w:rPr>
          <w:i/>
          <w:sz w:val="20"/>
        </w:rPr>
        <w:t>proto počet stanic 50 kW mírně klesá (předpokládá se náhrada stanicemi s</w:t>
      </w:r>
      <w:r w:rsidR="005A1247">
        <w:rPr>
          <w:i/>
          <w:sz w:val="20"/>
        </w:rPr>
        <w:t> </w:t>
      </w:r>
      <w:r w:rsidRPr="00EA6792">
        <w:rPr>
          <w:i/>
          <w:sz w:val="20"/>
        </w:rPr>
        <w:t xml:space="preserve">vyšším </w:t>
      </w:r>
      <w:r w:rsidR="005D7CC9" w:rsidRPr="00EA6792">
        <w:rPr>
          <w:i/>
          <w:sz w:val="20"/>
        </w:rPr>
        <w:t>výkonem). Výše</w:t>
      </w:r>
      <w:r w:rsidRPr="00EA6792">
        <w:rPr>
          <w:i/>
          <w:sz w:val="20"/>
        </w:rPr>
        <w:t xml:space="preserve"> uvedené odhady jsou vzhledem k</w:t>
      </w:r>
      <w:r w:rsidR="005A1247">
        <w:rPr>
          <w:i/>
          <w:sz w:val="20"/>
        </w:rPr>
        <w:t> </w:t>
      </w:r>
      <w:r w:rsidRPr="00EA6792">
        <w:rPr>
          <w:i/>
          <w:sz w:val="20"/>
        </w:rPr>
        <w:t>množství nejistot indikativní.</w:t>
      </w:r>
    </w:p>
    <w:p w14:paraId="63AE0BFE" w14:textId="2001B5F8" w:rsidR="00705447" w:rsidRDefault="00705447" w:rsidP="009A3B7E">
      <w:pPr>
        <w:jc w:val="both"/>
      </w:pPr>
      <w:r>
        <w:t>V souvislosti s</w:t>
      </w:r>
      <w:r w:rsidR="005A1247">
        <w:t> </w:t>
      </w:r>
      <w:r>
        <w:t xml:space="preserve">rozvojem infrastruktury </w:t>
      </w:r>
      <w:r w:rsidR="00463BE1">
        <w:t xml:space="preserve">veřejně přístupných </w:t>
      </w:r>
      <w:r>
        <w:t>dobíjecích stanic je třeba upozornit na potřebu vyjasnit koncepci státu, pokud jde o</w:t>
      </w:r>
      <w:r w:rsidR="005A1247">
        <w:t> </w:t>
      </w:r>
      <w:r>
        <w:t xml:space="preserve">rozmístění </w:t>
      </w:r>
      <w:r w:rsidR="00463BE1">
        <w:t>těchto stanic na dálničních odpočívkách. Daná problematika (včetně tématiky tzv. dobíjecích hubů) by měla být řešena v</w:t>
      </w:r>
      <w:r w:rsidR="005A1247">
        <w:t> </w:t>
      </w:r>
      <w:r w:rsidR="00463BE1">
        <w:t xml:space="preserve">aktualizaci koncepce dálničních odpočívek. </w:t>
      </w:r>
    </w:p>
    <w:p w14:paraId="270EF2C8" w14:textId="56F12011" w:rsidR="00463BE1" w:rsidRPr="00EA6792" w:rsidRDefault="00463BE1" w:rsidP="009A3B7E">
      <w:pPr>
        <w:jc w:val="both"/>
        <w:rPr>
          <w:i/>
          <w:sz w:val="20"/>
        </w:rPr>
      </w:pPr>
      <w:r>
        <w:t>V dlouhodobém horizontu je třeba se zabývat otázkou, zda v</w:t>
      </w:r>
      <w:r w:rsidR="005A1247">
        <w:t> </w:t>
      </w:r>
      <w:r>
        <w:t xml:space="preserve">podmínkách ČR je žádoucí začít rozvíjet koncept tzv. dynamického dobíjení.    </w:t>
      </w:r>
    </w:p>
    <w:p w14:paraId="03849E87" w14:textId="77777777" w:rsidR="00A0449C" w:rsidRPr="00CA20DD" w:rsidRDefault="005D7CC9" w:rsidP="009A3B7E">
      <w:pPr>
        <w:pStyle w:val="Nadpis3"/>
        <w:jc w:val="both"/>
      </w:pPr>
      <w:r>
        <w:t xml:space="preserve">Zajištění </w:t>
      </w:r>
      <w:r w:rsidR="00C45452">
        <w:t>stabilního r</w:t>
      </w:r>
      <w:r w:rsidR="00A0449C" w:rsidRPr="00CA20DD">
        <w:t>egulatorní</w:t>
      </w:r>
      <w:r w:rsidR="00C45452">
        <w:t xml:space="preserve">ho </w:t>
      </w:r>
      <w:r w:rsidR="00A0449C" w:rsidRPr="00CA20DD">
        <w:t>rámc</w:t>
      </w:r>
      <w:r w:rsidR="00C45452">
        <w:t xml:space="preserve">e pro rozvoj elektromobility </w:t>
      </w:r>
    </w:p>
    <w:p w14:paraId="11C2598B" w14:textId="774D6F42" w:rsidR="00A0449C" w:rsidRDefault="00A0449C" w:rsidP="009A3B7E">
      <w:pPr>
        <w:jc w:val="both"/>
      </w:pPr>
      <w:r>
        <w:t>V případě regulatorního rámce bude důležité zajistit podporu pro další rozvoj sítě veřejné dobíjecí infrastruktury, která by i</w:t>
      </w:r>
      <w:r w:rsidR="005A1247">
        <w:t> </w:t>
      </w:r>
      <w:r>
        <w:t>nadále měla předbíhat trh s</w:t>
      </w:r>
      <w:r w:rsidR="005A1247">
        <w:t> </w:t>
      </w:r>
      <w:r>
        <w:t>vozidly, současně by měla pokračovat stimulace prodejů vozidel a</w:t>
      </w:r>
      <w:r w:rsidR="005A1247">
        <w:t> </w:t>
      </w:r>
      <w:r>
        <w:t>vzhledem k</w:t>
      </w:r>
      <w:r w:rsidR="005A1247">
        <w:t> </w:t>
      </w:r>
      <w:r>
        <w:t>dynamicky se vyvíjejícímu elektromobilnímu trhu by regulatorní prostředí mělo být předvídatelné a</w:t>
      </w:r>
      <w:r w:rsidR="005A1247">
        <w:t> </w:t>
      </w:r>
      <w:r>
        <w:t>pokud možno stabilní, aby poskytovalo dostatečnou stabilitu pro soukromé investory.</w:t>
      </w:r>
    </w:p>
    <w:p w14:paraId="67F1DB52" w14:textId="7ED91470" w:rsidR="00EA6792" w:rsidRDefault="00EA6792" w:rsidP="009A3B7E">
      <w:pPr>
        <w:jc w:val="both"/>
      </w:pPr>
      <w:r>
        <w:t>Jak bylo uvedeno v</w:t>
      </w:r>
      <w:r w:rsidR="005A1247">
        <w:t> </w:t>
      </w:r>
      <w:r>
        <w:t>předchozí části textu, rozvoj elektromobilního trhu vykazuje velmi vysokou citlivost na stabilitu regulatorního prostředí a</w:t>
      </w:r>
      <w:r w:rsidR="005A1247">
        <w:t> </w:t>
      </w:r>
      <w:r>
        <w:t>to zejména v</w:t>
      </w:r>
      <w:r w:rsidR="005A1247">
        <w:t> </w:t>
      </w:r>
      <w:r>
        <w:t>oblasti dobíjecí infrastruktury, která minimálně v</w:t>
      </w:r>
      <w:r w:rsidR="005A1247">
        <w:t> </w:t>
      </w:r>
      <w:r>
        <w:t>počátečních fázích rozvoje trhu vykazuje dlouhodobou návratnost</w:t>
      </w:r>
      <w:r w:rsidR="00AC7521">
        <w:t>.</w:t>
      </w:r>
      <w:r>
        <w:t xml:space="preserve"> </w:t>
      </w:r>
      <w:r w:rsidR="00AC7521">
        <w:t>Z</w:t>
      </w:r>
      <w:r>
        <w:t>měna regulatorního prostředí nejen v</w:t>
      </w:r>
      <w:r w:rsidR="005A1247">
        <w:t> </w:t>
      </w:r>
      <w:r>
        <w:t>oblasti výstavby, ale zejména provozu, může mít zcela zásadní dopad na již realizované investice.</w:t>
      </w:r>
    </w:p>
    <w:p w14:paraId="4477D0F9" w14:textId="3E9F9508" w:rsidR="00EA6792" w:rsidRDefault="00EA6792" w:rsidP="009A3B7E">
      <w:pPr>
        <w:jc w:val="both"/>
      </w:pPr>
      <w:r>
        <w:t>Z těchto důvodů je třeba k</w:t>
      </w:r>
      <w:r w:rsidR="005A1247">
        <w:t> </w:t>
      </w:r>
      <w:r>
        <w:t>regulaci trhu dobíjení přistupovat obezřetně, s</w:t>
      </w:r>
      <w:r w:rsidR="005A1247">
        <w:t> </w:t>
      </w:r>
      <w:r>
        <w:t>vědomím toho, že trh se velmi dynamicky vyvíjí a</w:t>
      </w:r>
      <w:r w:rsidR="005A1247">
        <w:t> </w:t>
      </w:r>
      <w:r>
        <w:t xml:space="preserve">problémy, které identifikujeme dnes, mohou být během několika </w:t>
      </w:r>
      <w:r>
        <w:lastRenderedPageBreak/>
        <w:t>let překonány přirozeným vývojem a</w:t>
      </w:r>
      <w:r w:rsidR="005A1247">
        <w:t> </w:t>
      </w:r>
      <w:r>
        <w:t>naopak mohou vznikat nové.</w:t>
      </w:r>
      <w:r w:rsidR="0060271B">
        <w:t xml:space="preserve"> </w:t>
      </w:r>
      <w:r w:rsidRPr="00C7188D">
        <w:t>Legislativní proces tak zpravidla nemusí řešit problém včas a</w:t>
      </w:r>
      <w:r w:rsidR="005A1247">
        <w:t> </w:t>
      </w:r>
      <w:r w:rsidRPr="00C7188D">
        <w:t>naopak může přijít v</w:t>
      </w:r>
      <w:r w:rsidR="005A1247">
        <w:t> </w:t>
      </w:r>
      <w:r w:rsidRPr="00C7188D">
        <w:t>době, kdy je problém vyřešen.</w:t>
      </w:r>
    </w:p>
    <w:p w14:paraId="4398C7C9" w14:textId="2BBAB12C" w:rsidR="00EA6792" w:rsidRDefault="00EA6792" w:rsidP="009A3B7E">
      <w:pPr>
        <w:jc w:val="both"/>
      </w:pPr>
      <w:r>
        <w:t>ČR by se v</w:t>
      </w:r>
      <w:r w:rsidR="005A1247">
        <w:t> </w:t>
      </w:r>
      <w:r>
        <w:t>rámci podpory rozvoje elektromobility měla zaměřit na následující hlavní témata:</w:t>
      </w:r>
    </w:p>
    <w:p w14:paraId="57353000" w14:textId="0CAC1D2F" w:rsidR="00EA6792" w:rsidRPr="00045F42" w:rsidRDefault="00EA6792" w:rsidP="009A3B7E">
      <w:pPr>
        <w:pStyle w:val="Odrka1"/>
        <w:numPr>
          <w:ilvl w:val="0"/>
          <w:numId w:val="17"/>
        </w:numPr>
        <w:jc w:val="both"/>
        <w:rPr>
          <w:u w:val="single"/>
        </w:rPr>
      </w:pPr>
      <w:r w:rsidRPr="00045F42">
        <w:rPr>
          <w:u w:val="single"/>
        </w:rPr>
        <w:t>Podpora výstavby dobíjecí infrastruktury i</w:t>
      </w:r>
      <w:r w:rsidR="005A1247">
        <w:rPr>
          <w:u w:val="single"/>
        </w:rPr>
        <w:t> </w:t>
      </w:r>
      <w:r w:rsidRPr="00045F42">
        <w:rPr>
          <w:u w:val="single"/>
        </w:rPr>
        <w:t>po roce 2020</w:t>
      </w:r>
    </w:p>
    <w:p w14:paraId="2E7F62DE" w14:textId="053932FB" w:rsidR="00EA6792" w:rsidRPr="00045F42" w:rsidRDefault="00EA6792" w:rsidP="009A3B7E">
      <w:pPr>
        <w:pStyle w:val="Odrka1"/>
        <w:numPr>
          <w:ilvl w:val="0"/>
          <w:numId w:val="17"/>
        </w:numPr>
        <w:jc w:val="both"/>
        <w:rPr>
          <w:u w:val="single"/>
        </w:rPr>
      </w:pPr>
      <w:r w:rsidRPr="00045F42">
        <w:rPr>
          <w:u w:val="single"/>
        </w:rPr>
        <w:t>Podpora nákupu vozidel a</w:t>
      </w:r>
      <w:r w:rsidR="005A1247">
        <w:rPr>
          <w:u w:val="single"/>
        </w:rPr>
        <w:t> </w:t>
      </w:r>
      <w:r w:rsidRPr="00045F42">
        <w:rPr>
          <w:u w:val="single"/>
        </w:rPr>
        <w:t>jejich provozu</w:t>
      </w:r>
    </w:p>
    <w:p w14:paraId="6800A395" w14:textId="133CB84E" w:rsidR="00EA6792" w:rsidRDefault="00EA6792" w:rsidP="009A3B7E">
      <w:pPr>
        <w:pStyle w:val="Odrka1"/>
        <w:numPr>
          <w:ilvl w:val="0"/>
          <w:numId w:val="17"/>
        </w:numPr>
        <w:jc w:val="both"/>
        <w:rPr>
          <w:u w:val="single"/>
        </w:rPr>
      </w:pPr>
      <w:r w:rsidRPr="00045F42">
        <w:rPr>
          <w:u w:val="single"/>
        </w:rPr>
        <w:t>Zajištění stabilního a</w:t>
      </w:r>
      <w:r w:rsidR="005A1247">
        <w:rPr>
          <w:u w:val="single"/>
        </w:rPr>
        <w:t> </w:t>
      </w:r>
      <w:r w:rsidRPr="00045F42">
        <w:rPr>
          <w:u w:val="single"/>
        </w:rPr>
        <w:t>predikovatelného regulatorního prostředí</w:t>
      </w:r>
    </w:p>
    <w:p w14:paraId="374BE221" w14:textId="4BAE04A9" w:rsidR="00163085" w:rsidRPr="00045F42" w:rsidRDefault="00163085" w:rsidP="009A3B7E">
      <w:pPr>
        <w:pStyle w:val="Odrka1"/>
        <w:numPr>
          <w:ilvl w:val="0"/>
          <w:numId w:val="17"/>
        </w:numPr>
        <w:jc w:val="both"/>
        <w:rPr>
          <w:u w:val="single"/>
        </w:rPr>
      </w:pPr>
      <w:r>
        <w:rPr>
          <w:u w:val="single"/>
        </w:rPr>
        <w:t>Zajištění odpovídající úrovně bezpečnosti v</w:t>
      </w:r>
      <w:r w:rsidR="005A1247">
        <w:rPr>
          <w:u w:val="single"/>
        </w:rPr>
        <w:t> </w:t>
      </w:r>
      <w:r>
        <w:rPr>
          <w:u w:val="single"/>
        </w:rPr>
        <w:t>případě mimořádné události požár</w:t>
      </w:r>
    </w:p>
    <w:p w14:paraId="7B906929" w14:textId="5C4CCDAE" w:rsidR="00A0449C" w:rsidRPr="00CA20DD" w:rsidRDefault="00EB5DB8" w:rsidP="009A3B7E">
      <w:pPr>
        <w:pStyle w:val="Nadpis3"/>
        <w:jc w:val="both"/>
      </w:pPr>
      <w:r>
        <w:t>Vytváření r</w:t>
      </w:r>
      <w:r w:rsidR="00A0449C" w:rsidRPr="00CA20DD">
        <w:t>ámc</w:t>
      </w:r>
      <w:r>
        <w:t>e</w:t>
      </w:r>
      <w:r w:rsidR="00A0449C" w:rsidRPr="00CA20DD">
        <w:t xml:space="preserve"> pro výzkum a</w:t>
      </w:r>
      <w:r w:rsidR="005A1247">
        <w:t> </w:t>
      </w:r>
      <w:r w:rsidR="00A0449C" w:rsidRPr="00CA20DD">
        <w:t>vývoj</w:t>
      </w:r>
      <w:r w:rsidR="00C45452">
        <w:t xml:space="preserve"> v</w:t>
      </w:r>
      <w:r w:rsidR="005A1247">
        <w:t> </w:t>
      </w:r>
      <w:r w:rsidR="00C45452">
        <w:t xml:space="preserve">oblasti elektromobility </w:t>
      </w:r>
    </w:p>
    <w:p w14:paraId="6E1F4885" w14:textId="6B06B515" w:rsidR="00D64D00" w:rsidRDefault="00A0449C" w:rsidP="009A3B7E">
      <w:pPr>
        <w:jc w:val="both"/>
      </w:pPr>
      <w:r>
        <w:t>V návaznosti na očekávaný vývoj v</w:t>
      </w:r>
      <w:r w:rsidR="005A1247">
        <w:t> </w:t>
      </w:r>
      <w:r>
        <w:t xml:space="preserve">elektromobilitě byly </w:t>
      </w:r>
      <w:r w:rsidR="0082383A">
        <w:t xml:space="preserve">pracovní skupinou Elektromobilita </w:t>
      </w:r>
      <w:r>
        <w:t xml:space="preserve">identifikovány </w:t>
      </w:r>
      <w:r w:rsidR="00C45452">
        <w:t>následující</w:t>
      </w:r>
      <w:r>
        <w:t xml:space="preserve"> prioritní oblasti VaV pro oblast elektromobility </w:t>
      </w:r>
      <w:bookmarkStart w:id="30" w:name="_Toc12540150"/>
      <w:bookmarkStart w:id="31" w:name="_Toc19792321"/>
      <w:r w:rsidR="00D64D00" w:rsidRPr="00A2342B">
        <w:t>v</w:t>
      </w:r>
      <w:r w:rsidR="005A1247">
        <w:t> </w:t>
      </w:r>
      <w:r w:rsidR="00D64D00" w:rsidRPr="00A2342B">
        <w:t>kombinaci s</w:t>
      </w:r>
      <w:r w:rsidR="005A1247">
        <w:t> </w:t>
      </w:r>
      <w:r w:rsidR="00D64D00" w:rsidRPr="00A2342B">
        <w:t>dalšími zdroji energie (spalovací motory nebo závislá trakce)</w:t>
      </w:r>
      <w:bookmarkEnd w:id="30"/>
      <w:bookmarkEnd w:id="31"/>
      <w:r w:rsidR="00D64D00">
        <w:t>:</w:t>
      </w:r>
    </w:p>
    <w:p w14:paraId="412E159F" w14:textId="77777777" w:rsidR="00D64D00" w:rsidRDefault="00D64D00" w:rsidP="009A3B7E">
      <w:pPr>
        <w:pStyle w:val="Odrka1"/>
        <w:jc w:val="both"/>
      </w:pPr>
      <w:r>
        <w:t xml:space="preserve">Nové typy baterií pro elektromobilitu (kapacita, životnost, rychlost </w:t>
      </w:r>
      <w:r w:rsidR="00FD5746">
        <w:t>do</w:t>
      </w:r>
      <w:r>
        <w:t>bíjení)</w:t>
      </w:r>
      <w:r w:rsidR="007B7E3A">
        <w:t xml:space="preserve">, </w:t>
      </w:r>
      <w:r w:rsidR="007B7E3A" w:rsidRPr="007B7E3A">
        <w:t>vlastní výroba baterií</w:t>
      </w:r>
    </w:p>
    <w:p w14:paraId="20003F9E" w14:textId="63C91F20" w:rsidR="00D64D00" w:rsidRDefault="00D64D00" w:rsidP="009A3B7E">
      <w:pPr>
        <w:pStyle w:val="Odrka1"/>
        <w:jc w:val="both"/>
      </w:pPr>
      <w:r>
        <w:t>Nové architektury elektrifikovaných vozidel pro vyšší účinnost, dojezd, bezpečnost provozu i</w:t>
      </w:r>
      <w:r w:rsidR="005A1247">
        <w:t> </w:t>
      </w:r>
      <w:r>
        <w:t>zapojení do systémů Mobility as a</w:t>
      </w:r>
      <w:r w:rsidR="005A1247">
        <w:t> </w:t>
      </w:r>
      <w:r>
        <w:t>Service (MaaS) nebo Delivery as a</w:t>
      </w:r>
      <w:r w:rsidR="005A1247">
        <w:t> </w:t>
      </w:r>
      <w:r>
        <w:t>Service (DaaS)</w:t>
      </w:r>
    </w:p>
    <w:p w14:paraId="4495557B" w14:textId="2A0F8143" w:rsidR="00D64D00" w:rsidRDefault="00D64D00" w:rsidP="009A3B7E">
      <w:pPr>
        <w:pStyle w:val="Odrka1"/>
        <w:jc w:val="both"/>
      </w:pPr>
      <w:r>
        <w:t>Integrace rychlých a</w:t>
      </w:r>
      <w:r w:rsidR="005A1247">
        <w:t> </w:t>
      </w:r>
      <w:r>
        <w:t>ultrarychlých stanic do distribučních a</w:t>
      </w:r>
      <w:r w:rsidR="005A1247">
        <w:t> </w:t>
      </w:r>
      <w:r>
        <w:t>informačních sítí</w:t>
      </w:r>
    </w:p>
    <w:p w14:paraId="2FFD3BA8" w14:textId="0F18F9B9" w:rsidR="00D64D00" w:rsidRDefault="00D64D00" w:rsidP="009A3B7E">
      <w:pPr>
        <w:pStyle w:val="Odrka1"/>
        <w:jc w:val="both"/>
      </w:pPr>
      <w:r>
        <w:t>Koncepty V2H (vehicle-to-home) a</w:t>
      </w:r>
      <w:r w:rsidR="005A1247">
        <w:t> </w:t>
      </w:r>
      <w:r>
        <w:t>V2G (vehicle-to-grid)</w:t>
      </w:r>
    </w:p>
    <w:p w14:paraId="20E66C0F" w14:textId="0BC19791" w:rsidR="00D64D00" w:rsidRDefault="00D64D00" w:rsidP="009A3B7E">
      <w:pPr>
        <w:pStyle w:val="Odrka1"/>
        <w:jc w:val="both"/>
      </w:pPr>
      <w:r>
        <w:t>Nové systémy prediktivního řízení elektrifikovaných vozidel pro zvýšení energetické účinnosti i</w:t>
      </w:r>
      <w:r w:rsidR="005A1247">
        <w:t> </w:t>
      </w:r>
      <w:r>
        <w:t>dojezdu</w:t>
      </w:r>
    </w:p>
    <w:p w14:paraId="42CC2EA0" w14:textId="66837873" w:rsidR="00A22750" w:rsidRDefault="00A22750" w:rsidP="009A3B7E">
      <w:pPr>
        <w:pStyle w:val="Odrka1"/>
        <w:jc w:val="both"/>
      </w:pPr>
      <w:r>
        <w:t>Rozvoj bateriové elektromobility a</w:t>
      </w:r>
      <w:r w:rsidR="005A1247">
        <w:t> </w:t>
      </w:r>
      <w:r>
        <w:t>hybridních řešení pro hromadnou dopravu, kombinace závislé a</w:t>
      </w:r>
      <w:r w:rsidR="005A1247">
        <w:t> </w:t>
      </w:r>
      <w:r>
        <w:t>nezávislé trakce, řešení galvanického oddělení a</w:t>
      </w:r>
      <w:r w:rsidR="005A1247">
        <w:t> </w:t>
      </w:r>
      <w:r>
        <w:t>unifikace elektrobusů a</w:t>
      </w:r>
      <w:r w:rsidR="005A1247">
        <w:t> </w:t>
      </w:r>
      <w:r>
        <w:t>bateriových trolejbusů (jednoduchá izolace). Automatické natrolejovací systémy.</w:t>
      </w:r>
    </w:p>
    <w:p w14:paraId="2E258C4A" w14:textId="01DBE340" w:rsidR="00A22750" w:rsidRDefault="00A22750" w:rsidP="009A3B7E">
      <w:pPr>
        <w:pStyle w:val="Odrka1"/>
        <w:jc w:val="both"/>
      </w:pPr>
      <w:r>
        <w:t xml:space="preserve">Chytré řízení </w:t>
      </w:r>
      <w:r w:rsidR="00FD5746">
        <w:t>do</w:t>
      </w:r>
      <w:r>
        <w:t>bíjení a</w:t>
      </w:r>
      <w:r w:rsidR="005A1247">
        <w:t> </w:t>
      </w:r>
      <w:r>
        <w:t>chytré adaptivní řízení pohonů elektrobusů a</w:t>
      </w:r>
      <w:r w:rsidR="005A1247">
        <w:t> </w:t>
      </w:r>
      <w:r>
        <w:t>bateriových trolejbusů. Inteligentní řízení spotřeby velkých sítí MHD (např. spínání topení, využití baterií pro omezení špiček).</w:t>
      </w:r>
    </w:p>
    <w:p w14:paraId="7183B664" w14:textId="67F30B57" w:rsidR="00D64D00" w:rsidRDefault="00A22750" w:rsidP="009A3B7E">
      <w:pPr>
        <w:pStyle w:val="Odrka1"/>
        <w:jc w:val="both"/>
      </w:pPr>
      <w:r>
        <w:t>Sekundární využití velkých trakčních baterií v</w:t>
      </w:r>
      <w:r w:rsidR="005A1247">
        <w:t> </w:t>
      </w:r>
      <w:r>
        <w:t xml:space="preserve">napájecí nebo </w:t>
      </w:r>
      <w:r w:rsidR="00FD5746">
        <w:t>do</w:t>
      </w:r>
      <w:r>
        <w:t>bíjecí infrastruktuře MHD/IAD, nebo energetice.</w:t>
      </w:r>
      <w:r w:rsidR="00021261">
        <w:rPr>
          <w:rStyle w:val="Znakapoznpodarou"/>
        </w:rPr>
        <w:footnoteReference w:id="5"/>
      </w:r>
      <w:r>
        <w:t xml:space="preserve"> </w:t>
      </w:r>
    </w:p>
    <w:p w14:paraId="64F90D6B" w14:textId="11854EE9" w:rsidR="00D64D00" w:rsidRDefault="00D64D00" w:rsidP="009A3B7E">
      <w:pPr>
        <w:pStyle w:val="Odrka1"/>
        <w:jc w:val="both"/>
      </w:pPr>
      <w:r>
        <w:t>Projekty synergické s</w:t>
      </w:r>
      <w:r w:rsidR="005A1247">
        <w:t> </w:t>
      </w:r>
      <w:r>
        <w:t>rozvojem autonomního řízení vozidel</w:t>
      </w:r>
    </w:p>
    <w:p w14:paraId="41849BB6" w14:textId="77777777" w:rsidR="00156793" w:rsidRDefault="00246679" w:rsidP="009A3B7E">
      <w:pPr>
        <w:pStyle w:val="Nadpis2"/>
        <w:jc w:val="both"/>
      </w:pPr>
      <w:bookmarkStart w:id="32" w:name="_Toc34387135"/>
      <w:r>
        <w:t xml:space="preserve">Klíčová opatření pro </w:t>
      </w:r>
      <w:r w:rsidR="00156793">
        <w:t>plnění cílů</w:t>
      </w:r>
      <w:bookmarkEnd w:id="32"/>
    </w:p>
    <w:p w14:paraId="175666CB" w14:textId="77777777" w:rsidR="0051177D" w:rsidRPr="00FD7A23" w:rsidRDefault="0051177D" w:rsidP="009A3B7E">
      <w:pPr>
        <w:jc w:val="both"/>
      </w:pPr>
      <w:r w:rsidRPr="00FD7A23">
        <w:t xml:space="preserve">Mezi </w:t>
      </w:r>
      <w:r w:rsidR="002B3EE3">
        <w:t xml:space="preserve">vybraná </w:t>
      </w:r>
      <w:r w:rsidRPr="00FD7A23">
        <w:t>klíčová opatření pro plnění cílů lze považovat následující</w:t>
      </w:r>
      <w:r w:rsidRPr="0052396B">
        <w:t xml:space="preserve"> </w:t>
      </w:r>
      <w:r w:rsidR="002B3EE3">
        <w:t>opatření</w:t>
      </w:r>
      <w:r w:rsidR="00237448">
        <w:rPr>
          <w:rStyle w:val="Znakapoznpodarou"/>
        </w:rPr>
        <w:footnoteReference w:id="6"/>
      </w:r>
      <w:r w:rsidR="002B3EE3">
        <w:t>:</w:t>
      </w:r>
    </w:p>
    <w:p w14:paraId="68B22CC5" w14:textId="77777777" w:rsidR="00A41D32" w:rsidRDefault="00A41D32" w:rsidP="009A3B7E">
      <w:pPr>
        <w:pStyle w:val="Odrka1"/>
        <w:jc w:val="both"/>
      </w:pPr>
      <w:r w:rsidRPr="00457CC4">
        <w:t>Právní/legislativní</w:t>
      </w:r>
    </w:p>
    <w:p w14:paraId="166C7628" w14:textId="191958BA" w:rsidR="00457CC4" w:rsidRDefault="00272A4E" w:rsidP="009A3B7E">
      <w:pPr>
        <w:pStyle w:val="Bullet2"/>
        <w:jc w:val="both"/>
      </w:pPr>
      <w:r>
        <w:t>I</w:t>
      </w:r>
      <w:r w:rsidR="00457CC4">
        <w:t>mplementace směrnice EU o</w:t>
      </w:r>
      <w:r w:rsidR="005A1247">
        <w:t> </w:t>
      </w:r>
      <w:r w:rsidR="00457CC4">
        <w:t>čistých a</w:t>
      </w:r>
      <w:r w:rsidR="005A1247">
        <w:t> </w:t>
      </w:r>
      <w:r w:rsidR="00457CC4">
        <w:t>energeticky účinných vozidlech</w:t>
      </w:r>
    </w:p>
    <w:p w14:paraId="59FDA848" w14:textId="1236F4A1" w:rsidR="00457CC4" w:rsidRDefault="00272A4E" w:rsidP="009A3B7E">
      <w:pPr>
        <w:pStyle w:val="Bullet2"/>
        <w:jc w:val="both"/>
      </w:pPr>
      <w:r>
        <w:lastRenderedPageBreak/>
        <w:t>I</w:t>
      </w:r>
      <w:r w:rsidR="00457CC4">
        <w:t>mplementace směrnice EU o</w:t>
      </w:r>
      <w:r w:rsidR="005A1247">
        <w:t> </w:t>
      </w:r>
      <w:r w:rsidR="00457CC4">
        <w:t xml:space="preserve">energetické </w:t>
      </w:r>
      <w:r>
        <w:t xml:space="preserve">náročnosti </w:t>
      </w:r>
      <w:r w:rsidR="00457CC4">
        <w:t>budov</w:t>
      </w:r>
    </w:p>
    <w:p w14:paraId="732DC47E" w14:textId="5A398FE2" w:rsidR="00457CC4" w:rsidRDefault="00457CC4" w:rsidP="009A3B7E">
      <w:pPr>
        <w:pStyle w:val="Bullet2"/>
        <w:jc w:val="both"/>
      </w:pPr>
      <w:r>
        <w:t>Zohlednění potřeb infrastruktury alternativních paliv v</w:t>
      </w:r>
      <w:r w:rsidR="005A1247">
        <w:t> </w:t>
      </w:r>
      <w:r>
        <w:t>rámci Koncepce dálničních odpočívek</w:t>
      </w:r>
    </w:p>
    <w:p w14:paraId="3DD81D05" w14:textId="744DCC3C" w:rsidR="00457CC4" w:rsidRDefault="00457CC4" w:rsidP="006A447D">
      <w:pPr>
        <w:pStyle w:val="Bullet2"/>
        <w:jc w:val="both"/>
      </w:pPr>
      <w:r>
        <w:t>Uvolnění limitu stáří v</w:t>
      </w:r>
      <w:r w:rsidR="005A1247">
        <w:t> </w:t>
      </w:r>
      <w:r>
        <w:t>nařízení vlády 63/2011 pro bezemisní vozidla</w:t>
      </w:r>
    </w:p>
    <w:p w14:paraId="26DE1D6A" w14:textId="3CD35B40" w:rsidR="006A447D" w:rsidRDefault="006A447D" w:rsidP="006A447D">
      <w:pPr>
        <w:pStyle w:val="Odrka2"/>
        <w:jc w:val="both"/>
      </w:pPr>
      <w:r>
        <w:t>Sjednocení a</w:t>
      </w:r>
      <w:r w:rsidR="005A1247">
        <w:t> </w:t>
      </w:r>
      <w:r>
        <w:t>zjednodušení procesu schvalování výstavby infrastruktury dobíjecích a</w:t>
      </w:r>
      <w:r w:rsidR="005A1247">
        <w:t> </w:t>
      </w:r>
      <w:r>
        <w:t>plnicích stanic CNG/LNG</w:t>
      </w:r>
    </w:p>
    <w:p w14:paraId="321B21C2" w14:textId="7907998C" w:rsidR="00457CC4" w:rsidRDefault="00457CC4" w:rsidP="009A3B7E">
      <w:pPr>
        <w:pStyle w:val="Bullet2"/>
        <w:jc w:val="both"/>
      </w:pPr>
      <w:r>
        <w:t>Interoperabilita a</w:t>
      </w:r>
      <w:r w:rsidR="005A1247">
        <w:t> </w:t>
      </w:r>
      <w:r>
        <w:t xml:space="preserve">roaming provozovatelů veřejných dobíjecích stanic </w:t>
      </w:r>
    </w:p>
    <w:p w14:paraId="55EAD66F" w14:textId="4D3C149F" w:rsidR="00457CC4" w:rsidRDefault="00457CC4" w:rsidP="009A3B7E">
      <w:pPr>
        <w:pStyle w:val="Bullet2"/>
        <w:jc w:val="both"/>
      </w:pPr>
      <w:r>
        <w:t>Specifikace požadavků na elektrotechnickou kvalifikaci pracovníků u</w:t>
      </w:r>
      <w:r w:rsidR="005A1247">
        <w:t> </w:t>
      </w:r>
      <w:r>
        <w:t>elektrických vozidel</w:t>
      </w:r>
    </w:p>
    <w:p w14:paraId="2D313AB0" w14:textId="574D6D80" w:rsidR="00457CC4" w:rsidRDefault="00457CC4" w:rsidP="009A3B7E">
      <w:pPr>
        <w:pStyle w:val="Bullet2"/>
        <w:jc w:val="both"/>
      </w:pPr>
      <w:r>
        <w:t>Bezpečnost převozu a</w:t>
      </w:r>
      <w:r w:rsidR="005A1247">
        <w:t> </w:t>
      </w:r>
      <w:r>
        <w:t>zpracování použitých baterií na bázi lithia</w:t>
      </w:r>
    </w:p>
    <w:p w14:paraId="54A54E06" w14:textId="40192DCD" w:rsidR="00457CC4" w:rsidRDefault="00457CC4" w:rsidP="009A3B7E">
      <w:pPr>
        <w:pStyle w:val="Bullet2"/>
        <w:jc w:val="both"/>
      </w:pPr>
      <w:r>
        <w:t>Vytvoření funkčního mechanismu pro vydávání identifikačních kódů (ID) pro dobíjecí stanice a</w:t>
      </w:r>
      <w:r w:rsidR="005A1247">
        <w:t> </w:t>
      </w:r>
      <w:r>
        <w:t>poskytovatele služeb dobíjení</w:t>
      </w:r>
    </w:p>
    <w:p w14:paraId="64AF1F15" w14:textId="703CBAB9" w:rsidR="00C46313" w:rsidRPr="00C46313" w:rsidRDefault="00C46313" w:rsidP="009A3B7E">
      <w:pPr>
        <w:pStyle w:val="Bullet2"/>
        <w:jc w:val="both"/>
      </w:pPr>
      <w:r w:rsidRPr="00C46313">
        <w:rPr>
          <w:rFonts w:cs="Arial"/>
        </w:rPr>
        <w:t>Analýza existujícího legislativního rámce pro provoz trolejbusů a</w:t>
      </w:r>
      <w:r w:rsidR="005A1247">
        <w:rPr>
          <w:rFonts w:cs="Arial"/>
        </w:rPr>
        <w:t> </w:t>
      </w:r>
      <w:r w:rsidRPr="00C46313">
        <w:rPr>
          <w:rFonts w:cs="Arial"/>
        </w:rPr>
        <w:t>posouzení možnosti jeho zjednodušení</w:t>
      </w:r>
      <w:r w:rsidRPr="00C46313">
        <w:t xml:space="preserve"> </w:t>
      </w:r>
    </w:p>
    <w:p w14:paraId="2D485FD7" w14:textId="77777777" w:rsidR="00457CC4" w:rsidRDefault="00457CC4" w:rsidP="009A3B7E">
      <w:pPr>
        <w:pStyle w:val="Bullet2"/>
        <w:jc w:val="both"/>
      </w:pPr>
      <w:r>
        <w:t>Bezpečnost dobíjecí infrastruktury elektromobilů</w:t>
      </w:r>
    </w:p>
    <w:p w14:paraId="4C919492" w14:textId="3AC061F8" w:rsidR="00457CC4" w:rsidRDefault="00457CC4" w:rsidP="009A3B7E">
      <w:pPr>
        <w:pStyle w:val="Bullet2"/>
        <w:jc w:val="both"/>
      </w:pPr>
      <w:r>
        <w:t>Zajištění bezpečného a</w:t>
      </w:r>
      <w:r w:rsidR="005A1247">
        <w:t> </w:t>
      </w:r>
      <w:r>
        <w:t>efektivního zdolávání mimořádných událostí za účasti elektromobilů</w:t>
      </w:r>
    </w:p>
    <w:p w14:paraId="07FD7A3C" w14:textId="77777777" w:rsidR="00457CC4" w:rsidRDefault="00457CC4" w:rsidP="009A3B7E">
      <w:pPr>
        <w:pStyle w:val="Bullet2"/>
        <w:jc w:val="both"/>
      </w:pPr>
      <w:r>
        <w:t>Bezpečnost servisování elektromobilů</w:t>
      </w:r>
    </w:p>
    <w:p w14:paraId="2247176E" w14:textId="77777777" w:rsidR="00A00164" w:rsidRDefault="00A00164" w:rsidP="00B502A0">
      <w:pPr>
        <w:pStyle w:val="Odrka2"/>
        <w:jc w:val="both"/>
      </w:pPr>
      <w:r>
        <w:t>Účtování / vykazování nákladů za palivo na služebních cestách pro elektromobily</w:t>
      </w:r>
    </w:p>
    <w:p w14:paraId="1C5AA351" w14:textId="7142F950" w:rsidR="00A41D32" w:rsidRDefault="00A41D32" w:rsidP="009A3B7E">
      <w:pPr>
        <w:pStyle w:val="Odrka1"/>
        <w:jc w:val="both"/>
      </w:pPr>
      <w:r w:rsidRPr="00457CC4">
        <w:t>Přímé pobídky k</w:t>
      </w:r>
      <w:r w:rsidR="005A1247">
        <w:t> </w:t>
      </w:r>
      <w:r w:rsidRPr="00457CC4">
        <w:t>nákupu vozidel</w:t>
      </w:r>
    </w:p>
    <w:p w14:paraId="5C38116C" w14:textId="4B778234" w:rsidR="00457CC4" w:rsidRDefault="00457CC4" w:rsidP="009C2B07">
      <w:pPr>
        <w:pStyle w:val="Odrka2"/>
      </w:pPr>
      <w:r>
        <w:t>Pořizování vozidel na alternativní paliva do flotil komunálních podniků provozujících vozidla svozu komunálního odpadu</w:t>
      </w:r>
      <w:r w:rsidR="009C2B07">
        <w:t xml:space="preserve"> </w:t>
      </w:r>
      <w:r w:rsidR="009C2B07" w:rsidRPr="009C2B07">
        <w:t>a</w:t>
      </w:r>
      <w:r w:rsidR="005A1247">
        <w:t> </w:t>
      </w:r>
      <w:r w:rsidR="009C2B07" w:rsidRPr="009C2B07">
        <w:t>obdobné činnosti při správě veřejného prostoru</w:t>
      </w:r>
    </w:p>
    <w:p w14:paraId="6E014282" w14:textId="7C50D7C8" w:rsidR="00457CC4" w:rsidRDefault="00457CC4" w:rsidP="009A3B7E">
      <w:pPr>
        <w:pStyle w:val="Odrka2"/>
        <w:jc w:val="both"/>
      </w:pPr>
      <w:r>
        <w:t>Podpora pořízení vozidel na alternativní paliva do flotil dopravních podniků a</w:t>
      </w:r>
      <w:r w:rsidR="005A1247">
        <w:t> </w:t>
      </w:r>
      <w:r>
        <w:t xml:space="preserve">do flotil dopravců zajišťujících </w:t>
      </w:r>
      <w:r w:rsidR="006A447D">
        <w:t>veřejnou dopravu</w:t>
      </w:r>
      <w:r>
        <w:t xml:space="preserve"> </w:t>
      </w:r>
    </w:p>
    <w:p w14:paraId="4161731B" w14:textId="77777777" w:rsidR="00457CC4" w:rsidRDefault="00457CC4" w:rsidP="009A3B7E">
      <w:pPr>
        <w:pStyle w:val="Odrka2"/>
        <w:jc w:val="both"/>
      </w:pPr>
      <w:r>
        <w:t>Podpora nákupu vozidla na alternativní paliva pro podnikatele (pro účely podnikání)</w:t>
      </w:r>
    </w:p>
    <w:p w14:paraId="5289B2A4" w14:textId="7ED33C05" w:rsidR="00457CC4" w:rsidRDefault="00457CC4" w:rsidP="009A3B7E">
      <w:pPr>
        <w:pStyle w:val="Odrka2"/>
        <w:jc w:val="both"/>
      </w:pPr>
      <w:r>
        <w:t>Podpora na pořízení vozidla s</w:t>
      </w:r>
      <w:r w:rsidR="005A1247">
        <w:t> </w:t>
      </w:r>
      <w:r>
        <w:t>alternativním pohonem pro subjekty státní správy a</w:t>
      </w:r>
      <w:r w:rsidR="005A1247">
        <w:t> </w:t>
      </w:r>
      <w:r>
        <w:t>samosprávy a</w:t>
      </w:r>
      <w:r w:rsidR="005A1247">
        <w:t> </w:t>
      </w:r>
      <w:r>
        <w:t>jimi zřízené organizace</w:t>
      </w:r>
    </w:p>
    <w:p w14:paraId="079723A2" w14:textId="77777777" w:rsidR="006A447D" w:rsidRDefault="00457CC4" w:rsidP="009A3B7E">
      <w:pPr>
        <w:pStyle w:val="Odrka2"/>
        <w:jc w:val="both"/>
      </w:pPr>
      <w:r>
        <w:t>Podpora pořizování nákladních vozidel - vodík, LNG, elektro</w:t>
      </w:r>
    </w:p>
    <w:p w14:paraId="4C3EC076" w14:textId="77777777" w:rsidR="00457CC4" w:rsidRDefault="006A447D" w:rsidP="009A3B7E">
      <w:pPr>
        <w:pStyle w:val="Odrka2"/>
        <w:jc w:val="both"/>
      </w:pPr>
      <w:r>
        <w:t>Podpora rozvoje čisté mobility ve vnitrozemské vodní dopravě</w:t>
      </w:r>
      <w:r w:rsidR="00457CC4">
        <w:t xml:space="preserve"> </w:t>
      </w:r>
    </w:p>
    <w:p w14:paraId="1E6A5B11" w14:textId="7A1DEA7F" w:rsidR="00457CC4" w:rsidRDefault="00457CC4" w:rsidP="009A3B7E">
      <w:pPr>
        <w:pStyle w:val="Odrka2"/>
        <w:jc w:val="both"/>
      </w:pPr>
      <w:r>
        <w:t>Podpora pořízení trolejbusů a</w:t>
      </w:r>
      <w:r w:rsidR="005A1247">
        <w:t> </w:t>
      </w:r>
      <w:r>
        <w:t>tramvají s</w:t>
      </w:r>
      <w:r w:rsidR="005A1247">
        <w:t> </w:t>
      </w:r>
      <w:r>
        <w:t>bateriovým pojezdem do flotil dopravních podniků a</w:t>
      </w:r>
      <w:r w:rsidR="005A1247">
        <w:t> </w:t>
      </w:r>
      <w:r>
        <w:t xml:space="preserve">do flotil dopravců zajišťujících </w:t>
      </w:r>
      <w:r w:rsidR="00D64901">
        <w:t>veřejnou dopravu</w:t>
      </w:r>
      <w:r>
        <w:t xml:space="preserve"> </w:t>
      </w:r>
    </w:p>
    <w:p w14:paraId="56DE7BF9" w14:textId="77777777" w:rsidR="00200580" w:rsidRDefault="00457CC4" w:rsidP="00200580">
      <w:pPr>
        <w:pStyle w:val="Odrka2"/>
        <w:jc w:val="both"/>
      </w:pPr>
      <w:r>
        <w:t>Podpora pořizování vodíkových elektrobusů (FCEB)</w:t>
      </w:r>
      <w:r w:rsidR="00200580" w:rsidRPr="00200580">
        <w:t xml:space="preserve"> </w:t>
      </w:r>
    </w:p>
    <w:p w14:paraId="3617ABDE" w14:textId="4365265A" w:rsidR="00200580" w:rsidRDefault="00200580" w:rsidP="00200580">
      <w:pPr>
        <w:pStyle w:val="Odrka2"/>
        <w:jc w:val="both"/>
      </w:pPr>
      <w:r>
        <w:t>Podpora nákupu osobních vozidel šetrných k</w:t>
      </w:r>
      <w:r w:rsidR="005A1247">
        <w:t> </w:t>
      </w:r>
      <w:r>
        <w:t xml:space="preserve">životnímu prostředí </w:t>
      </w:r>
    </w:p>
    <w:p w14:paraId="713459BD" w14:textId="77777777" w:rsidR="00457CC4" w:rsidRDefault="00457CC4" w:rsidP="007E541C">
      <w:pPr>
        <w:pStyle w:val="Odrka2"/>
        <w:numPr>
          <w:ilvl w:val="0"/>
          <w:numId w:val="0"/>
        </w:numPr>
        <w:ind w:left="851"/>
        <w:jc w:val="both"/>
      </w:pPr>
    </w:p>
    <w:p w14:paraId="00639B34" w14:textId="4C939D17" w:rsidR="00A41D32" w:rsidRDefault="00A41D32" w:rsidP="009A3B7E">
      <w:pPr>
        <w:pStyle w:val="Odrka1"/>
        <w:jc w:val="both"/>
      </w:pPr>
      <w:r w:rsidRPr="00457CC4">
        <w:t>Přímé pobídky k</w:t>
      </w:r>
      <w:r w:rsidR="005A1247">
        <w:t> </w:t>
      </w:r>
      <w:r w:rsidRPr="00457CC4">
        <w:t>budování infrastruktury pro alternativní paliva</w:t>
      </w:r>
    </w:p>
    <w:p w14:paraId="0845D0F7" w14:textId="77777777" w:rsidR="00457CC4" w:rsidRDefault="00457CC4" w:rsidP="009A3B7E">
      <w:pPr>
        <w:pStyle w:val="Odrka2"/>
        <w:jc w:val="both"/>
      </w:pPr>
      <w:r>
        <w:t>Podpora budování veřejné infrastruktury pro vozidla na alternativní paliva (LNG, elektro, vodík)</w:t>
      </w:r>
    </w:p>
    <w:p w14:paraId="67C872F4" w14:textId="2FD3C429" w:rsidR="00BE63BC" w:rsidRDefault="00BE63BC" w:rsidP="00BE63BC">
      <w:pPr>
        <w:pStyle w:val="Odrka2"/>
      </w:pPr>
      <w:r w:rsidRPr="00BE63BC">
        <w:lastRenderedPageBreak/>
        <w:t>Podpora budování neveřejné dobíjecí infrastruktury pro subjekty státní správy a</w:t>
      </w:r>
      <w:r w:rsidR="005A1247">
        <w:t> </w:t>
      </w:r>
      <w:r w:rsidRPr="00BE63BC">
        <w:t>samosprávy a</w:t>
      </w:r>
      <w:r w:rsidR="005A1247">
        <w:t> </w:t>
      </w:r>
      <w:r w:rsidRPr="00BE63BC">
        <w:t>jimi zřízené organizace</w:t>
      </w:r>
    </w:p>
    <w:p w14:paraId="19971ACF" w14:textId="611D8085" w:rsidR="00457CC4" w:rsidRDefault="00457CC4" w:rsidP="009A3B7E">
      <w:pPr>
        <w:pStyle w:val="Odrka2"/>
        <w:jc w:val="both"/>
      </w:pPr>
      <w:r>
        <w:t>Mechanismus podpory lokální výroby z</w:t>
      </w:r>
      <w:r w:rsidR="005A1247">
        <w:t> </w:t>
      </w:r>
      <w:r>
        <w:t>OZE spolu s</w:t>
      </w:r>
      <w:r w:rsidR="005A1247">
        <w:t> </w:t>
      </w:r>
      <w:r>
        <w:t>akumulací pro napájení dobíjecích stanic u</w:t>
      </w:r>
      <w:r w:rsidR="005A1247">
        <w:t> </w:t>
      </w:r>
      <w:r>
        <w:t>zdrojů s</w:t>
      </w:r>
      <w:r w:rsidR="005A1247">
        <w:t> </w:t>
      </w:r>
      <w:r>
        <w:t>proměnlivým výkonem (VTE a</w:t>
      </w:r>
      <w:r w:rsidR="005A1247">
        <w:t> </w:t>
      </w:r>
      <w:r>
        <w:t>FVE)</w:t>
      </w:r>
    </w:p>
    <w:p w14:paraId="54EC4366" w14:textId="77777777" w:rsidR="00457CC4" w:rsidRDefault="00457CC4" w:rsidP="009A3B7E">
      <w:pPr>
        <w:pStyle w:val="Odrka2"/>
        <w:jc w:val="both"/>
      </w:pPr>
      <w:r>
        <w:t>Podpora rozvoje infrastruktury pro alternativní paliva ve vnitrozemské vodní dopravě</w:t>
      </w:r>
    </w:p>
    <w:p w14:paraId="06E295D9" w14:textId="77777777" w:rsidR="006A447D" w:rsidRDefault="006A447D" w:rsidP="006A447D">
      <w:pPr>
        <w:pStyle w:val="Odrka2"/>
      </w:pPr>
      <w:r w:rsidRPr="006A447D">
        <w:t>Podpora budování neveřejné dobíjecí/plnicí infrastruktury pro veřejnou dopravu</w:t>
      </w:r>
    </w:p>
    <w:p w14:paraId="3D9B47A0" w14:textId="5D0704AC" w:rsidR="006A447D" w:rsidRDefault="006A447D" w:rsidP="006A447D">
      <w:pPr>
        <w:pStyle w:val="Odrka2"/>
      </w:pPr>
      <w:r>
        <w:t>Investiční podpora neveřejných dobíjecích stanic u</w:t>
      </w:r>
      <w:r w:rsidR="005A1247">
        <w:t> </w:t>
      </w:r>
      <w:r>
        <w:t>nepodnikajících subjektů (domácnosti, bytové domy)</w:t>
      </w:r>
    </w:p>
    <w:p w14:paraId="09179BE5" w14:textId="6CC132FF" w:rsidR="00457CC4" w:rsidRDefault="00457CC4" w:rsidP="009A3B7E">
      <w:pPr>
        <w:pStyle w:val="Odrka2"/>
        <w:jc w:val="both"/>
      </w:pPr>
      <w:r>
        <w:t>Investiční podpora pro budování firemní infrastruktury pro elektromobily</w:t>
      </w:r>
      <w:r w:rsidR="001770F0">
        <w:t xml:space="preserve"> a</w:t>
      </w:r>
      <w:r w:rsidR="005A1247">
        <w:t> </w:t>
      </w:r>
      <w:r w:rsidR="001770F0">
        <w:t>vodík</w:t>
      </w:r>
    </w:p>
    <w:p w14:paraId="69C460B4" w14:textId="77777777" w:rsidR="00457CC4" w:rsidRDefault="00457CC4" w:rsidP="009A3B7E">
      <w:pPr>
        <w:pStyle w:val="Odrka2"/>
        <w:jc w:val="both"/>
      </w:pPr>
      <w:r>
        <w:t>Bezpečnost hromadného garážování za přítomnosti elektromobilů</w:t>
      </w:r>
    </w:p>
    <w:p w14:paraId="615D88AB" w14:textId="4375FCE4" w:rsidR="001451AE" w:rsidRDefault="00B10342" w:rsidP="00B10342">
      <w:pPr>
        <w:pStyle w:val="Odrka2"/>
      </w:pPr>
      <w:r>
        <w:t>O</w:t>
      </w:r>
      <w:r w:rsidRPr="00B10342">
        <w:t>dpisy na technologie dobíjecích a plnicích vodíkových stanic</w:t>
      </w:r>
    </w:p>
    <w:p w14:paraId="2DBEC24B" w14:textId="5CC42A2B" w:rsidR="00457CC4" w:rsidRDefault="00457CC4" w:rsidP="009A3B7E">
      <w:pPr>
        <w:jc w:val="both"/>
      </w:pPr>
      <w:r>
        <w:t>Další oblasti v</w:t>
      </w:r>
      <w:r w:rsidR="005A1247">
        <w:t> </w:t>
      </w:r>
      <w:r>
        <w:t>rámci jednotlivých kategorií opatření</w:t>
      </w:r>
    </w:p>
    <w:p w14:paraId="0A30761D" w14:textId="77777777" w:rsidR="00A41D32" w:rsidRPr="00457CC4" w:rsidRDefault="00A41D32" w:rsidP="009A3B7E">
      <w:pPr>
        <w:pStyle w:val="Odrka1"/>
        <w:jc w:val="both"/>
      </w:pPr>
      <w:r w:rsidRPr="00457CC4">
        <w:t xml:space="preserve">Nefinanční pobídky na straně poptávky </w:t>
      </w:r>
    </w:p>
    <w:p w14:paraId="002FF93A" w14:textId="4EF8E624" w:rsidR="00A41D32" w:rsidRPr="00457CC4" w:rsidRDefault="00A41D32" w:rsidP="009A3B7E">
      <w:pPr>
        <w:pStyle w:val="Odrka1"/>
        <w:jc w:val="both"/>
      </w:pPr>
      <w:r w:rsidRPr="00457CC4">
        <w:t>Výzkum, technologický rozvoj a</w:t>
      </w:r>
      <w:r w:rsidR="005A1247">
        <w:t> </w:t>
      </w:r>
      <w:r w:rsidRPr="00457CC4">
        <w:t xml:space="preserve">demonstrace </w:t>
      </w:r>
    </w:p>
    <w:p w14:paraId="4B78CC82" w14:textId="77777777" w:rsidR="00A41D32" w:rsidRPr="00457CC4" w:rsidRDefault="00A41D32" w:rsidP="009A3B7E">
      <w:pPr>
        <w:pStyle w:val="Odrka1"/>
        <w:jc w:val="both"/>
      </w:pPr>
      <w:r w:rsidRPr="00457CC4">
        <w:t xml:space="preserve">Ostatní opatření </w:t>
      </w:r>
    </w:p>
    <w:p w14:paraId="744A7808" w14:textId="77777777" w:rsidR="00A41D32" w:rsidRDefault="00A41D32" w:rsidP="009A3B7E">
      <w:pPr>
        <w:pStyle w:val="Odrka1"/>
        <w:jc w:val="both"/>
      </w:pPr>
      <w:r w:rsidRPr="00457CC4">
        <w:t>Opatření širšího rázu pro zlepšení struktury vozového parku</w:t>
      </w:r>
    </w:p>
    <w:p w14:paraId="67EBCD34" w14:textId="02872D53" w:rsidR="002B3EE3" w:rsidRPr="00FD7A23" w:rsidRDefault="00457CC4" w:rsidP="009A3B7E">
      <w:pPr>
        <w:jc w:val="both"/>
      </w:pPr>
      <w:r>
        <w:t>jsou uvedeny</w:t>
      </w:r>
      <w:r w:rsidR="002B3EE3" w:rsidRPr="00FD7A23">
        <w:t xml:space="preserve"> v</w:t>
      </w:r>
      <w:r w:rsidR="005A1247">
        <w:t> </w:t>
      </w:r>
      <w:r w:rsidR="002B3EE3" w:rsidRPr="00FD7A23">
        <w:t xml:space="preserve">Kapitole </w:t>
      </w:r>
      <w:r w:rsidR="002B3EE3" w:rsidRPr="00FD7A23">
        <w:fldChar w:fldCharType="begin"/>
      </w:r>
      <w:r w:rsidR="002B3EE3" w:rsidRPr="00FD7A23">
        <w:instrText xml:space="preserve"> REF _Ref21001662 \r \h </w:instrText>
      </w:r>
      <w:r w:rsidR="002B3EE3">
        <w:instrText xml:space="preserve"> \* MERGEFORMAT </w:instrText>
      </w:r>
      <w:r w:rsidR="002B3EE3" w:rsidRPr="00FD7A23">
        <w:fldChar w:fldCharType="separate"/>
      </w:r>
      <w:r w:rsidR="00D944E5">
        <w:t>8</w:t>
      </w:r>
      <w:r w:rsidR="002B3EE3" w:rsidRPr="00FD7A23">
        <w:fldChar w:fldCharType="end"/>
      </w:r>
      <w:r w:rsidR="002B3EE3" w:rsidRPr="00FD7A23">
        <w:t>.</w:t>
      </w:r>
    </w:p>
    <w:p w14:paraId="5C2C3F4C" w14:textId="77777777" w:rsidR="00C07726" w:rsidRDefault="00C07726" w:rsidP="009A3B7E">
      <w:pPr>
        <w:spacing w:before="0" w:after="200" w:line="276" w:lineRule="auto"/>
        <w:jc w:val="both"/>
        <w:rPr>
          <w:rFonts w:cs="Arial"/>
          <w:b/>
          <w:bCs/>
          <w:kern w:val="32"/>
          <w:sz w:val="28"/>
          <w:szCs w:val="32"/>
        </w:rPr>
      </w:pPr>
    </w:p>
    <w:p w14:paraId="288526AB" w14:textId="77777777" w:rsidR="00156793" w:rsidRDefault="00156793" w:rsidP="009A3B7E">
      <w:pPr>
        <w:spacing w:before="0" w:after="200" w:line="276" w:lineRule="auto"/>
        <w:jc w:val="both"/>
        <w:rPr>
          <w:rFonts w:cs="Arial"/>
          <w:b/>
          <w:bCs/>
          <w:kern w:val="32"/>
          <w:sz w:val="28"/>
          <w:szCs w:val="32"/>
        </w:rPr>
      </w:pPr>
      <w:r>
        <w:br w:type="page"/>
      </w:r>
    </w:p>
    <w:p w14:paraId="172942B8" w14:textId="77777777" w:rsidR="00F729BF" w:rsidRDefault="00F729BF" w:rsidP="00F729BF">
      <w:pPr>
        <w:pStyle w:val="Nadpis2"/>
      </w:pPr>
      <w:bookmarkStart w:id="33" w:name="_Toc34387136"/>
      <w:r>
        <w:lastRenderedPageBreak/>
        <w:t>Doporučení pro samosprávu</w:t>
      </w:r>
      <w:bookmarkEnd w:id="33"/>
    </w:p>
    <w:p w14:paraId="24F14318" w14:textId="2AAEE05D" w:rsidR="00F729BF" w:rsidRDefault="00F729BF" w:rsidP="00F729BF">
      <w:pPr>
        <w:jc w:val="both"/>
      </w:pPr>
      <w:r>
        <w:t>NAP CM také obsahuje doporučení pro samosprávu, protože řada opatření stimulujících rozvoj elektromobility může být realizována v</w:t>
      </w:r>
      <w:r w:rsidR="005A1247">
        <w:t> </w:t>
      </w:r>
      <w:r>
        <w:t>jurisdikci samospráv</w:t>
      </w:r>
      <w:r w:rsidR="001008D1">
        <w:t>,</w:t>
      </w:r>
      <w:r>
        <w:t xml:space="preserve"> a</w:t>
      </w:r>
      <w:r w:rsidR="005A1247">
        <w:t> </w:t>
      </w:r>
      <w:r>
        <w:t>to jak v</w:t>
      </w:r>
      <w:r w:rsidR="005A1247">
        <w:t> </w:t>
      </w:r>
      <w:r>
        <w:t>oblasti strategické (promítnutí elektromobility do strategických rozvojových plánů), tak i</w:t>
      </w:r>
      <w:r w:rsidR="005A1247">
        <w:t> </w:t>
      </w:r>
      <w:r>
        <w:t>usnadnění přístupu k</w:t>
      </w:r>
      <w:r w:rsidR="005A1247">
        <w:t> </w:t>
      </w:r>
      <w:r>
        <w:t>pozemkům pro výstavbu potřebné infrastruktury, vyčleněním potřebných parkovacích stání nebo zavedením opatření např. v</w:t>
      </w:r>
      <w:r w:rsidR="005A1247">
        <w:t> </w:t>
      </w:r>
      <w:r>
        <w:t>oblasti parkování nebo jiné formy zvýhodnění elektromobilů.</w:t>
      </w:r>
    </w:p>
    <w:p w14:paraId="56A7B6AD" w14:textId="11A78DCE" w:rsidR="00F729BF" w:rsidRDefault="00F729BF" w:rsidP="00F729BF">
      <w:pPr>
        <w:jc w:val="both"/>
      </w:pPr>
      <w:r>
        <w:t>Jednou z</w:t>
      </w:r>
      <w:r w:rsidR="005A1247">
        <w:t> </w:t>
      </w:r>
      <w:r>
        <w:t>výhod elektromobility je lokální bezemisní provoz a</w:t>
      </w:r>
      <w:r w:rsidR="005A1247">
        <w:t> </w:t>
      </w:r>
      <w:r>
        <w:t>nižší úroveň hluku, což je parametr relevantní zejména z</w:t>
      </w:r>
      <w:r w:rsidR="005A1247">
        <w:t> </w:t>
      </w:r>
      <w:r>
        <w:t>pohledu municipalit. Města (a regiony) by na nástup elektromobility měla být připravena, ale zároveň by mohla její rozvoj aktivně podpořit následujícími kroky:</w:t>
      </w:r>
    </w:p>
    <w:p w14:paraId="7B17E535" w14:textId="374A8AB0" w:rsidR="00F729BF" w:rsidRDefault="00F729BF" w:rsidP="00F729BF">
      <w:pPr>
        <w:pStyle w:val="Odrkyabc"/>
        <w:numPr>
          <w:ilvl w:val="0"/>
          <w:numId w:val="5"/>
        </w:numPr>
        <w:jc w:val="both"/>
      </w:pPr>
      <w:r>
        <w:t>Promítnutí elektromobility do dlouhodobých municipálních strategií v</w:t>
      </w:r>
      <w:r w:rsidR="005A1247">
        <w:t> </w:t>
      </w:r>
      <w:r>
        <w:t>oblasti dopravy</w:t>
      </w:r>
    </w:p>
    <w:p w14:paraId="5EC124B4" w14:textId="77777777" w:rsidR="00F729BF" w:rsidRDefault="00F729BF" w:rsidP="00F729BF">
      <w:pPr>
        <w:pStyle w:val="odrkaa"/>
        <w:jc w:val="both"/>
      </w:pPr>
      <w:r>
        <w:t>Usnadnění podmínek rozvoje dobíjecí infrastruktury</w:t>
      </w:r>
    </w:p>
    <w:p w14:paraId="3C774454" w14:textId="07B2C1B7" w:rsidR="00F729BF" w:rsidRDefault="00F729BF" w:rsidP="00F729BF">
      <w:pPr>
        <w:pStyle w:val="Odrka1"/>
        <w:numPr>
          <w:ilvl w:val="1"/>
          <w:numId w:val="3"/>
        </w:numPr>
        <w:jc w:val="both"/>
      </w:pPr>
      <w:r>
        <w:t>Nastavením podmínek pro vyčlenění parkovacích stání pro účely dobíjení tak, aby negenerovaly administrativní nebo nákladovou bariéru (dlouhodobost, symbolické nebo nulové náklady spojené s</w:t>
      </w:r>
      <w:r w:rsidR="005A1247">
        <w:t> </w:t>
      </w:r>
      <w:r>
        <w:t>parkovacím stáním) při výstavbě a</w:t>
      </w:r>
      <w:r w:rsidR="005A1247">
        <w:t> </w:t>
      </w:r>
      <w:r>
        <w:t>provozu dobíjecích stanic.</w:t>
      </w:r>
    </w:p>
    <w:p w14:paraId="46851FDC" w14:textId="33ECC367" w:rsidR="00F729BF" w:rsidRDefault="00F729BF" w:rsidP="00F729BF">
      <w:pPr>
        <w:pStyle w:val="Odrka1"/>
        <w:numPr>
          <w:ilvl w:val="1"/>
          <w:numId w:val="3"/>
        </w:numPr>
        <w:jc w:val="both"/>
      </w:pPr>
      <w:r>
        <w:t>Vyčleněním vhodných parkovacích míst pro umístění dobíjecí infrastruktury v</w:t>
      </w:r>
      <w:r w:rsidR="005A1247">
        <w:t> </w:t>
      </w:r>
      <w:r>
        <w:t>předstihu (logika výběru míst by měla respektovat jejich atraktivitu a</w:t>
      </w:r>
      <w:r w:rsidR="005A1247">
        <w:t> </w:t>
      </w:r>
      <w:r>
        <w:t>náklady) a</w:t>
      </w:r>
      <w:r w:rsidR="005A1247">
        <w:t> </w:t>
      </w:r>
      <w:r>
        <w:t>případně provedení vybraných přípravných prací, které usnadní následné umístění dobíjecí infrastruktury, např. v</w:t>
      </w:r>
      <w:r w:rsidR="005A1247">
        <w:t> </w:t>
      </w:r>
      <w:r>
        <w:t>rámci rekonstrukcí parkovišť nebo výstavby nových (instalace kabelů nebo kabelových tras, zajištění dostatečného počtu parkovacích míst, které lze následně vyčlenit pro dobíjení apod.).</w:t>
      </w:r>
    </w:p>
    <w:p w14:paraId="7C24107D" w14:textId="77777777" w:rsidR="00F729BF" w:rsidRDefault="00F729BF" w:rsidP="00F729BF">
      <w:pPr>
        <w:pStyle w:val="Odrka1"/>
        <w:numPr>
          <w:ilvl w:val="1"/>
          <w:numId w:val="3"/>
        </w:numPr>
        <w:jc w:val="both"/>
      </w:pPr>
      <w:r>
        <w:t>Důslednost ve vymáhání nastavených pravidel (např. zneužívání parkovacích stání pro dobíjení elektromobilů jinými vozidly).</w:t>
      </w:r>
    </w:p>
    <w:p w14:paraId="0E9975E3" w14:textId="2F786B62" w:rsidR="00F729BF" w:rsidRDefault="00F729BF" w:rsidP="00F729BF">
      <w:pPr>
        <w:ind w:left="680"/>
        <w:jc w:val="both"/>
      </w:pPr>
      <w:r w:rsidRPr="00C7188D">
        <w:t>V praxi se ukazuje, že důležitým nástrojem v</w:t>
      </w:r>
      <w:r w:rsidR="005A1247">
        <w:t> </w:t>
      </w:r>
      <w:r w:rsidRPr="00C7188D">
        <w:t>této oblasti je osvěta a</w:t>
      </w:r>
      <w:r w:rsidR="005A1247">
        <w:t> </w:t>
      </w:r>
      <w:r w:rsidRPr="00C7188D">
        <w:t xml:space="preserve">sdílení </w:t>
      </w:r>
      <w:r>
        <w:t>dobré praxe</w:t>
      </w:r>
      <w:r w:rsidRPr="00C7188D">
        <w:t>, kdy zejména u</w:t>
      </w:r>
      <w:r w:rsidR="005A1247">
        <w:t> </w:t>
      </w:r>
      <w:r w:rsidRPr="00C7188D">
        <w:t>menších měst, která nemají potřebné kapacity, může být sdílení funkčních modelů podpory nebo spolupráce jak z</w:t>
      </w:r>
      <w:r w:rsidR="005A1247">
        <w:t> </w:t>
      </w:r>
      <w:r w:rsidRPr="00C7188D">
        <w:t>ČR, tak i</w:t>
      </w:r>
      <w:r w:rsidR="005A1247">
        <w:t> </w:t>
      </w:r>
      <w:r w:rsidRPr="00C7188D">
        <w:t>zahraničí efektivním způsobem podpory elektromobility.</w:t>
      </w:r>
    </w:p>
    <w:p w14:paraId="304C3D4A" w14:textId="77777777" w:rsidR="00F729BF" w:rsidRDefault="00F729BF" w:rsidP="00F729BF">
      <w:pPr>
        <w:pStyle w:val="odrkaa"/>
        <w:jc w:val="both"/>
      </w:pPr>
      <w:r>
        <w:t>Podpora efektivní elektrické MHD</w:t>
      </w:r>
    </w:p>
    <w:p w14:paraId="77D7FFB8" w14:textId="66D80D12" w:rsidR="00F729BF" w:rsidRDefault="00F729BF" w:rsidP="00F729BF">
      <w:pPr>
        <w:jc w:val="both"/>
      </w:pPr>
      <w:r>
        <w:t>Města jsou významným stakeholderem v</w:t>
      </w:r>
      <w:r w:rsidR="005A1247">
        <w:t> </w:t>
      </w:r>
      <w:r>
        <w:t>naplňování strategií v</w:t>
      </w:r>
      <w:r w:rsidR="005A1247">
        <w:t> </w:t>
      </w:r>
      <w:r>
        <w:t>oblasti dopravy a</w:t>
      </w:r>
      <w:r w:rsidR="005A1247">
        <w:t> </w:t>
      </w:r>
      <w:r>
        <w:t>elektromobility. Nejvýznamnějším nástrojem, kterým disponují, je provozování a</w:t>
      </w:r>
      <w:r w:rsidR="005A1247">
        <w:t> </w:t>
      </w:r>
      <w:r>
        <w:t>rozvoj MHD. To samo o</w:t>
      </w:r>
      <w:r w:rsidR="005A1247">
        <w:t> </w:t>
      </w:r>
      <w:r>
        <w:t>sobě přináší nenahraditelný příspěvek k</w:t>
      </w:r>
      <w:r w:rsidR="005A1247">
        <w:t> </w:t>
      </w:r>
      <w:r>
        <w:t>plnění klimatických a</w:t>
      </w:r>
      <w:r w:rsidR="005A1247">
        <w:t> </w:t>
      </w:r>
      <w:r>
        <w:t>energetických cílů sektoru dopravy, a</w:t>
      </w:r>
      <w:r w:rsidR="005A1247">
        <w:t> </w:t>
      </w:r>
      <w:r>
        <w:t>proto by města měla být motivována a</w:t>
      </w:r>
      <w:r w:rsidR="005A1247">
        <w:t> </w:t>
      </w:r>
      <w:r>
        <w:t>podporována, aby systémy MHD rozvíjela. Města nejlépe posílí zavádění nízko- a</w:t>
      </w:r>
      <w:r w:rsidR="005A1247">
        <w:t> </w:t>
      </w:r>
      <w:r>
        <w:t>bezemisních forem dopravy těmito opatřeními:</w:t>
      </w:r>
    </w:p>
    <w:p w14:paraId="347A2CC2" w14:textId="1CEC8303" w:rsidR="00F729BF" w:rsidRDefault="00F729BF" w:rsidP="00F729BF">
      <w:pPr>
        <w:pStyle w:val="Bullet1"/>
        <w:numPr>
          <w:ilvl w:val="1"/>
          <w:numId w:val="3"/>
        </w:numPr>
        <w:jc w:val="both"/>
      </w:pPr>
      <w:r>
        <w:t>Udržovat a</w:t>
      </w:r>
      <w:r w:rsidR="005A1247">
        <w:t> </w:t>
      </w:r>
      <w:r>
        <w:t>rozvíjet systémy drážní MHD. Průběžná modernizace infrastruktury, pravidelná obnova vozového parku, maximální využití potenciálu tramvajových a</w:t>
      </w:r>
      <w:r w:rsidR="005A1247">
        <w:t> </w:t>
      </w:r>
      <w:r>
        <w:t>trolejbusových systémů</w:t>
      </w:r>
    </w:p>
    <w:p w14:paraId="4E13CC24" w14:textId="76E51C92" w:rsidR="00F729BF" w:rsidRDefault="00F729BF" w:rsidP="00F729BF">
      <w:pPr>
        <w:pStyle w:val="Bullet1"/>
        <w:numPr>
          <w:ilvl w:val="1"/>
          <w:numId w:val="3"/>
        </w:numPr>
        <w:jc w:val="both"/>
      </w:pPr>
      <w:r>
        <w:t>Preferovat MHD. Systémová přednost v</w:t>
      </w:r>
      <w:r w:rsidR="005A1247">
        <w:t> </w:t>
      </w:r>
      <w:r>
        <w:t>jízdě vozidel MHD, vyhrazené jízdní pruhy, preference na světelném signalizačním zařízení (SSZ)</w:t>
      </w:r>
    </w:p>
    <w:p w14:paraId="688B6DB9" w14:textId="4C4EAC2C" w:rsidR="00F729BF" w:rsidRDefault="00F729BF" w:rsidP="00F729BF">
      <w:pPr>
        <w:pStyle w:val="Bullet1"/>
        <w:numPr>
          <w:ilvl w:val="1"/>
          <w:numId w:val="3"/>
        </w:numPr>
        <w:jc w:val="both"/>
      </w:pPr>
      <w:r>
        <w:t>Aktivně řídit modal-split - snížení podílu automobilové dopravy ve městech. Regulace individuální automobilové dopravy (organizační opatření, zpoplatnění), zavádění MaaS, carsharing a</w:t>
      </w:r>
      <w:r w:rsidR="005A1247">
        <w:t> </w:t>
      </w:r>
      <w:r>
        <w:t>multimodální systémy s</w:t>
      </w:r>
      <w:r w:rsidR="005A1247">
        <w:t> </w:t>
      </w:r>
      <w:r>
        <w:t>využitím elektromobility</w:t>
      </w:r>
    </w:p>
    <w:p w14:paraId="47FD3A95" w14:textId="2493028B" w:rsidR="00F729BF" w:rsidRDefault="00F729BF" w:rsidP="00F729BF">
      <w:pPr>
        <w:pStyle w:val="Bullet1"/>
        <w:numPr>
          <w:ilvl w:val="1"/>
          <w:numId w:val="3"/>
        </w:numPr>
        <w:jc w:val="both"/>
      </w:pPr>
      <w:r>
        <w:lastRenderedPageBreak/>
        <w:t>Propagovat (včetně marketingu a</w:t>
      </w:r>
      <w:r w:rsidR="005A1247">
        <w:t> </w:t>
      </w:r>
      <w:r>
        <w:t>osvěty) MHD včetně jejích bezemisních forem</w:t>
      </w:r>
    </w:p>
    <w:p w14:paraId="58BD40F1" w14:textId="69C35529" w:rsidR="00F729BF" w:rsidRDefault="00F729BF" w:rsidP="002D2E82">
      <w:pPr>
        <w:pStyle w:val="Bullet1"/>
        <w:numPr>
          <w:ilvl w:val="1"/>
          <w:numId w:val="3"/>
        </w:numPr>
        <w:jc w:val="both"/>
      </w:pPr>
      <w:r>
        <w:t>Plánovat rozvoj měst s</w:t>
      </w:r>
      <w:r w:rsidR="005A1247">
        <w:t> </w:t>
      </w:r>
      <w:r>
        <w:t>důrazem na upřednostnění udržitelných a</w:t>
      </w:r>
      <w:r w:rsidR="005A1247">
        <w:t> </w:t>
      </w:r>
      <w:r>
        <w:t>bezemisních forem dopravy</w:t>
      </w:r>
      <w:r w:rsidR="002D2E82">
        <w:t xml:space="preserve"> a</w:t>
      </w:r>
      <w:r w:rsidR="005A1247">
        <w:t> </w:t>
      </w:r>
      <w:r w:rsidR="002D2E82" w:rsidRPr="002D2E82">
        <w:t>jako součást integrovaných regionálních dopravních systémů a</w:t>
      </w:r>
      <w:r w:rsidR="005A1247">
        <w:t> </w:t>
      </w:r>
      <w:r w:rsidR="002D2E82" w:rsidRPr="002D2E82">
        <w:t>měs</w:t>
      </w:r>
      <w:r w:rsidR="002D2E82">
        <w:t>ta jako funkční městské oblasti</w:t>
      </w:r>
    </w:p>
    <w:p w14:paraId="6F713D15" w14:textId="6E5D9B68" w:rsidR="00F729BF" w:rsidRDefault="00F729BF" w:rsidP="00F729BF">
      <w:pPr>
        <w:pStyle w:val="Bullet1"/>
        <w:numPr>
          <w:ilvl w:val="1"/>
          <w:numId w:val="3"/>
        </w:numPr>
        <w:jc w:val="both"/>
      </w:pPr>
      <w:r>
        <w:t>Nastavit územní plánování a</w:t>
      </w:r>
      <w:r w:rsidR="005A1247">
        <w:t> </w:t>
      </w:r>
      <w:r>
        <w:t>územní regulace snižující atraktivitu individuální motorové dopravy, car-free zóny atd.</w:t>
      </w:r>
    </w:p>
    <w:p w14:paraId="66413F2B" w14:textId="16FFF2FE" w:rsidR="00F729BF" w:rsidRDefault="00F729BF" w:rsidP="00F729BF">
      <w:pPr>
        <w:jc w:val="both"/>
        <w:rPr>
          <w:rFonts w:cs="Arial"/>
          <w:b/>
          <w:bCs/>
          <w:iCs/>
          <w:sz w:val="24"/>
          <w:szCs w:val="28"/>
        </w:rPr>
      </w:pPr>
      <w:r>
        <w:t>Strategické cíle byly rozpracovány do dílčích cílů a</w:t>
      </w:r>
      <w:r w:rsidR="005A1247">
        <w:t> </w:t>
      </w:r>
      <w:r>
        <w:t xml:space="preserve">následně až do podoby konkrétních opatření. (viz Kapitola </w:t>
      </w:r>
      <w:r>
        <w:fldChar w:fldCharType="begin"/>
      </w:r>
      <w:r>
        <w:instrText xml:space="preserve"> REF _Ref21000982 \r \h  \* MERGEFORMAT </w:instrText>
      </w:r>
      <w:r>
        <w:fldChar w:fldCharType="separate"/>
      </w:r>
      <w:r w:rsidR="00D944E5">
        <w:t>8</w:t>
      </w:r>
      <w:r>
        <w:fldChar w:fldCharType="end"/>
      </w:r>
      <w:r>
        <w:t>)</w:t>
      </w:r>
    </w:p>
    <w:p w14:paraId="70214E3A" w14:textId="77777777" w:rsidR="00AA3E2A" w:rsidRDefault="00AA3E2A">
      <w:pPr>
        <w:spacing w:before="0" w:after="200" w:line="276" w:lineRule="auto"/>
        <w:rPr>
          <w:rFonts w:cs="Arial"/>
          <w:b/>
          <w:bCs/>
          <w:kern w:val="32"/>
          <w:sz w:val="28"/>
          <w:szCs w:val="32"/>
        </w:rPr>
      </w:pPr>
      <w:r>
        <w:br w:type="page"/>
      </w:r>
    </w:p>
    <w:p w14:paraId="48C2FFB4" w14:textId="1C1C6308" w:rsidR="00A0449C" w:rsidRPr="00A0449C" w:rsidRDefault="00236D49" w:rsidP="009A3B7E">
      <w:pPr>
        <w:pStyle w:val="Nadpis1"/>
        <w:jc w:val="both"/>
      </w:pPr>
      <w:bookmarkStart w:id="34" w:name="_Toc34387137"/>
      <w:r>
        <w:lastRenderedPageBreak/>
        <w:t>Zemní p</w:t>
      </w:r>
      <w:r w:rsidR="00A0449C" w:rsidRPr="00A0449C">
        <w:t>lyn</w:t>
      </w:r>
      <w:r w:rsidRPr="00236D49">
        <w:t xml:space="preserve"> </w:t>
      </w:r>
      <w:r>
        <w:t>v</w:t>
      </w:r>
      <w:r w:rsidR="005A1247">
        <w:t> </w:t>
      </w:r>
      <w:r>
        <w:t>silniční dopravě</w:t>
      </w:r>
      <w:bookmarkEnd w:id="34"/>
      <w:r>
        <w:t xml:space="preserve">  </w:t>
      </w:r>
    </w:p>
    <w:p w14:paraId="7BD8874F" w14:textId="77777777" w:rsidR="00A0449C" w:rsidRPr="00FE2161" w:rsidRDefault="00A0449C" w:rsidP="009A3B7E">
      <w:pPr>
        <w:pStyle w:val="Nadpis2"/>
        <w:jc w:val="both"/>
      </w:pPr>
      <w:bookmarkStart w:id="35" w:name="_Toc34387138"/>
      <w:r w:rsidRPr="00FE2161">
        <w:t>Východiska</w:t>
      </w:r>
      <w:bookmarkEnd w:id="35"/>
    </w:p>
    <w:p w14:paraId="3CCBE99F" w14:textId="1A7F3338" w:rsidR="00A0449C" w:rsidRDefault="00A0449C" w:rsidP="009A3B7E">
      <w:pPr>
        <w:jc w:val="both"/>
      </w:pPr>
      <w:r>
        <w:t>Východiskem kapitoly plyn v</w:t>
      </w:r>
      <w:r w:rsidR="005A1247">
        <w:t> </w:t>
      </w:r>
      <w:r>
        <w:t>rámci aktualizovaného Národního akčního plánu je vyhodnocení aktuálního stavu vývoje a</w:t>
      </w:r>
      <w:r w:rsidR="005A1247">
        <w:t> </w:t>
      </w:r>
      <w:r>
        <w:t xml:space="preserve">rozvoje </w:t>
      </w:r>
      <w:r w:rsidRPr="00253CBC">
        <w:t>trhu s</w:t>
      </w:r>
      <w:r w:rsidR="005A1247">
        <w:t> </w:t>
      </w:r>
      <w:r w:rsidRPr="00253CBC">
        <w:t>predikcí dalšího možného vývoje do roku 2030</w:t>
      </w:r>
      <w:r>
        <w:t xml:space="preserve"> včetně plnění cílů a</w:t>
      </w:r>
      <w:r w:rsidR="005A1247">
        <w:t> </w:t>
      </w:r>
      <w:r>
        <w:t>opatření pře</w:t>
      </w:r>
      <w:r w:rsidR="005E4384">
        <w:t>d</w:t>
      </w:r>
      <w:r>
        <w:t>chozí verze NAP CM.</w:t>
      </w:r>
    </w:p>
    <w:p w14:paraId="75CE3F6B" w14:textId="49DED8D6" w:rsidR="00BD4010" w:rsidRDefault="00BD4010" w:rsidP="009A3B7E">
      <w:pPr>
        <w:jc w:val="both"/>
      </w:pPr>
      <w:r>
        <w:t>Kromě informací uvedených v</w:t>
      </w:r>
      <w:r w:rsidR="005A1247">
        <w:t> </w:t>
      </w:r>
      <w:r>
        <w:t xml:space="preserve">této části </w:t>
      </w:r>
      <w:r w:rsidR="00F24F63">
        <w:t xml:space="preserve">dokumentu </w:t>
      </w:r>
      <w:r>
        <w:t>jsou podrobnější informace uvedeny v</w:t>
      </w:r>
      <w:r w:rsidR="005A1247">
        <w:t> </w:t>
      </w:r>
      <w:r>
        <w:t>rámci analytického materiálu</w:t>
      </w:r>
      <w:r w:rsidR="004E6087">
        <w:t>.</w:t>
      </w:r>
    </w:p>
    <w:p w14:paraId="0463D0BB" w14:textId="35A7D441" w:rsidR="00303A13" w:rsidRDefault="00303A13" w:rsidP="009A3B7E">
      <w:pPr>
        <w:jc w:val="both"/>
      </w:pPr>
      <w:r w:rsidRPr="009D0EDE">
        <w:t>Pro podporu využívání zemního plynu schválila vláda v</w:t>
      </w:r>
      <w:r w:rsidR="005A1247">
        <w:t> </w:t>
      </w:r>
      <w:r w:rsidRPr="009D0EDE">
        <w:t>roce 2018 Memorandum o</w:t>
      </w:r>
      <w:r w:rsidR="005A1247">
        <w:t> </w:t>
      </w:r>
      <w:r w:rsidRPr="009D0EDE">
        <w:t>dlouhodobé spolupráci s</w:t>
      </w:r>
      <w:r w:rsidR="005A1247">
        <w:t> </w:t>
      </w:r>
      <w:r w:rsidRPr="009D0EDE">
        <w:t>plynárenskými společnostmi v</w:t>
      </w:r>
      <w:r w:rsidR="005A1247">
        <w:t> </w:t>
      </w:r>
      <w:r w:rsidRPr="009D0EDE">
        <w:t>oblasti vozidel na zemní plyn pro období do roku 2025 a</w:t>
      </w:r>
      <w:r w:rsidR="005A1247">
        <w:t> </w:t>
      </w:r>
      <w:r w:rsidRPr="009D0EDE">
        <w:t>stanovila podmínky pro vývoj spotřební daně pro stlačený zemní plyn tak, aby jeho cena zůstala konkurenceschopná oproti konvenčním palivům i</w:t>
      </w:r>
      <w:r w:rsidR="005A1247">
        <w:t> </w:t>
      </w:r>
      <w:r w:rsidRPr="009D0EDE">
        <w:t>po roce 2020.</w:t>
      </w:r>
    </w:p>
    <w:p w14:paraId="044B35EF" w14:textId="28642FB2" w:rsidR="00A0449C" w:rsidRDefault="00A0449C" w:rsidP="009A3B7E">
      <w:pPr>
        <w:jc w:val="both"/>
      </w:pPr>
      <w:r w:rsidRPr="00FF1C2A">
        <w:t>Z celoevropského pohledu je rozvoj CNG v</w:t>
      </w:r>
      <w:r w:rsidR="005A1247">
        <w:t> </w:t>
      </w:r>
      <w:r w:rsidRPr="00FF1C2A">
        <w:t xml:space="preserve">České republice dlouhodobě </w:t>
      </w:r>
      <w:r>
        <w:t>příznivý</w:t>
      </w:r>
      <w:r w:rsidRPr="00FF1C2A">
        <w:t>. Vývoj vozového parku CNG aut, i</w:t>
      </w:r>
      <w:r w:rsidR="005A1247">
        <w:t> </w:t>
      </w:r>
      <w:r w:rsidRPr="00FF1C2A">
        <w:t>přes pokles prodeje v</w:t>
      </w:r>
      <w:r w:rsidR="005A1247">
        <w:t> </w:t>
      </w:r>
      <w:r w:rsidRPr="00FF1C2A">
        <w:t>roce 2018</w:t>
      </w:r>
      <w:r w:rsidR="004B5BE8">
        <w:t xml:space="preserve"> a</w:t>
      </w:r>
      <w:r w:rsidR="005A1247">
        <w:t> </w:t>
      </w:r>
      <w:r w:rsidR="004B5BE8">
        <w:t>v</w:t>
      </w:r>
      <w:r w:rsidR="000F2439">
        <w:t> </w:t>
      </w:r>
      <w:r w:rsidR="004B5BE8">
        <w:t>1. polovině roku 2019</w:t>
      </w:r>
      <w:r w:rsidRPr="00FF1C2A">
        <w:t>, způsobený nedostatkem CNG aut na českém trhu, se dlouhodobě pohybuje okolo 30</w:t>
      </w:r>
      <w:r w:rsidR="00210AA9">
        <w:t xml:space="preserve"> </w:t>
      </w:r>
      <w:r w:rsidRPr="00FF1C2A">
        <w:t>% meziročního růstu</w:t>
      </w:r>
      <w:r>
        <w:t xml:space="preserve">. </w:t>
      </w:r>
      <w:r w:rsidR="00B75DCD" w:rsidRPr="00E51E6F">
        <w:t>V</w:t>
      </w:r>
      <w:r w:rsidR="005A1247">
        <w:t> </w:t>
      </w:r>
      <w:r w:rsidR="00B75DCD" w:rsidRPr="00E51E6F">
        <w:t>ČR je v</w:t>
      </w:r>
      <w:r w:rsidR="005A1247">
        <w:t> </w:t>
      </w:r>
      <w:r w:rsidR="00B75DCD" w:rsidRPr="00E51E6F">
        <w:t>současnosti provozováno cca 23 tisíc vozidel na zemní plyn. Průměrný meziroční růst vozového parku se dlouhodobě drží na 32 %. Počet CNG autobusů se díky čerpání dotací na jejich nákup každoročně rozrůstá a</w:t>
      </w:r>
      <w:r w:rsidR="005A1247">
        <w:t> </w:t>
      </w:r>
      <w:r w:rsidR="00B75DCD" w:rsidRPr="00E51E6F">
        <w:t>v</w:t>
      </w:r>
      <w:r w:rsidR="000F2439">
        <w:t> </w:t>
      </w:r>
      <w:r w:rsidR="00B75DCD" w:rsidRPr="00E51E6F">
        <w:t>současnosti je v</w:t>
      </w:r>
      <w:r w:rsidR="005A1247">
        <w:t> </w:t>
      </w:r>
      <w:r w:rsidR="00B75DCD" w:rsidRPr="00E51E6F">
        <w:t>provozu již cca 1</w:t>
      </w:r>
      <w:r w:rsidR="001C1B2D">
        <w:t> </w:t>
      </w:r>
      <w:r w:rsidR="00B75DCD" w:rsidRPr="00E51E6F">
        <w:t>300</w:t>
      </w:r>
      <w:r w:rsidR="001C1B2D">
        <w:t>,</w:t>
      </w:r>
      <w:r w:rsidR="00B75DCD" w:rsidRPr="00E51E6F">
        <w:t xml:space="preserve"> což představuje více než 6</w:t>
      </w:r>
      <w:r w:rsidR="00B75DCD">
        <w:t xml:space="preserve"> </w:t>
      </w:r>
      <w:r w:rsidR="00B75DCD" w:rsidRPr="00E51E6F">
        <w:t xml:space="preserve">% vozového parku ČR. </w:t>
      </w:r>
      <w:r>
        <w:t>Jednou z</w:t>
      </w:r>
      <w:r w:rsidR="005A1247">
        <w:t> </w:t>
      </w:r>
      <w:r w:rsidR="00B75DCD">
        <w:t xml:space="preserve">výrazných </w:t>
      </w:r>
      <w:r>
        <w:t xml:space="preserve">bariér ovlivňující </w:t>
      </w:r>
      <w:r w:rsidRPr="00FF1C2A">
        <w:t>rozvoj CNG aut</w:t>
      </w:r>
      <w:r w:rsidR="00813219">
        <w:t xml:space="preserve"> však nadále</w:t>
      </w:r>
      <w:r w:rsidRPr="00FF1C2A">
        <w:t xml:space="preserve"> zůstává problematika jejich parkování v</w:t>
      </w:r>
      <w:r w:rsidR="005A1247">
        <w:t> </w:t>
      </w:r>
      <w:r w:rsidRPr="00FF1C2A">
        <w:t>hromadných podzemních garážích</w:t>
      </w:r>
      <w:r>
        <w:t>.</w:t>
      </w:r>
    </w:p>
    <w:p w14:paraId="5460B471" w14:textId="5D54B8E7" w:rsidR="00F80BD0" w:rsidRDefault="00A0449C" w:rsidP="009A3B7E">
      <w:pPr>
        <w:jc w:val="both"/>
      </w:pPr>
      <w:r w:rsidRPr="00FF1C2A">
        <w:t>Infrastruktura plnicích stanic CNG se každoročně rozv</w:t>
      </w:r>
      <w:r w:rsidR="001C1B2D">
        <w:t>í</w:t>
      </w:r>
      <w:r w:rsidRPr="00FF1C2A">
        <w:t>jí. V</w:t>
      </w:r>
      <w:r w:rsidR="005A1247">
        <w:t> </w:t>
      </w:r>
      <w:r w:rsidRPr="00FF1C2A">
        <w:t>ČR je v</w:t>
      </w:r>
      <w:r w:rsidR="005A1247">
        <w:t> </w:t>
      </w:r>
      <w:r w:rsidRPr="00FF1C2A">
        <w:t>současnosti provozováno 19</w:t>
      </w:r>
      <w:r w:rsidR="005E4384">
        <w:t>9</w:t>
      </w:r>
      <w:r w:rsidRPr="00FF1C2A">
        <w:t xml:space="preserve"> veřejných plnicích stanic </w:t>
      </w:r>
      <w:r>
        <w:t>a</w:t>
      </w:r>
      <w:r w:rsidR="005A1247">
        <w:t> </w:t>
      </w:r>
      <w:r>
        <w:t xml:space="preserve">rovněž </w:t>
      </w:r>
      <w:r w:rsidRPr="00FF1C2A">
        <w:t>okolo 50 neveřejných</w:t>
      </w:r>
      <w:r>
        <w:t xml:space="preserve"> </w:t>
      </w:r>
      <w:r w:rsidRPr="00FF1C2A">
        <w:t>firemních plnicích stanic CNG a</w:t>
      </w:r>
      <w:r w:rsidR="005A1247">
        <w:t> </w:t>
      </w:r>
      <w:r w:rsidRPr="00FF1C2A">
        <w:t>cca 200 domácích pomaluplnicích zařízení</w:t>
      </w:r>
      <w:r>
        <w:t>.</w:t>
      </w:r>
      <w:r w:rsidR="00F80BD0">
        <w:t xml:space="preserve"> </w:t>
      </w:r>
      <w:r w:rsidR="00F80BD0" w:rsidRPr="00E51E6F">
        <w:t>Více než 60</w:t>
      </w:r>
      <w:r w:rsidR="00AD380B">
        <w:t xml:space="preserve"> </w:t>
      </w:r>
      <w:r w:rsidR="00F80BD0" w:rsidRPr="00E51E6F">
        <w:t>% veřejných výdejních míst je v</w:t>
      </w:r>
      <w:r w:rsidR="005A1247">
        <w:t> </w:t>
      </w:r>
      <w:r w:rsidR="00F80BD0" w:rsidRPr="00E51E6F">
        <w:t>prostoru čerpacích stanic</w:t>
      </w:r>
      <w:r w:rsidR="00F80BD0">
        <w:t>,</w:t>
      </w:r>
      <w:r w:rsidR="00F80BD0" w:rsidRPr="00E51E6F">
        <w:t xml:space="preserve"> další jsou přístupn</w:t>
      </w:r>
      <w:r w:rsidR="00813219">
        <w:t>á</w:t>
      </w:r>
      <w:r w:rsidR="00F80BD0" w:rsidRPr="00E51E6F">
        <w:t xml:space="preserve"> v</w:t>
      </w:r>
      <w:r w:rsidR="005A1247">
        <w:t> </w:t>
      </w:r>
      <w:r w:rsidR="00F80BD0" w:rsidRPr="00E51E6F">
        <w:t>areálech firem nebo jako samostatně stojící výdejní místa. Neveřejné plnicí stanice CNG, kterých je více než 50, provozují soukromé společnosti a</w:t>
      </w:r>
      <w:r w:rsidR="005A1247">
        <w:t> </w:t>
      </w:r>
      <w:r w:rsidR="00F80BD0" w:rsidRPr="00E51E6F">
        <w:t>některé dopravní podniky. Firmy a</w:t>
      </w:r>
      <w:r w:rsidR="005A1247">
        <w:t> </w:t>
      </w:r>
      <w:r w:rsidR="00F80BD0" w:rsidRPr="00E51E6F">
        <w:t xml:space="preserve">drobní živnostníci využívají také pomalu plnicí zařízení (domácí plničky) CNG, kterých je více než 200. Průměrný meziroční růst je 25%. </w:t>
      </w:r>
    </w:p>
    <w:p w14:paraId="1CF729BF" w14:textId="652A921B" w:rsidR="00A0449C" w:rsidRDefault="00F80BD0" w:rsidP="009A3B7E">
      <w:pPr>
        <w:jc w:val="both"/>
      </w:pPr>
      <w:r>
        <w:t>Rozvoj infrastruktury LNG je zatím v</w:t>
      </w:r>
      <w:r w:rsidR="005A1247">
        <w:t> </w:t>
      </w:r>
      <w:r>
        <w:t>ČR v</w:t>
      </w:r>
      <w:r w:rsidR="005A1247">
        <w:t> </w:t>
      </w:r>
      <w:r>
        <w:t xml:space="preserve">počátcích. Existuje zde </w:t>
      </w:r>
      <w:r w:rsidR="00A0449C" w:rsidRPr="00FF1C2A">
        <w:t>jedna veřejná LNG stanice a</w:t>
      </w:r>
      <w:r w:rsidR="005A1247">
        <w:t> </w:t>
      </w:r>
      <w:r w:rsidR="00A0449C" w:rsidRPr="00FF1C2A">
        <w:t>několik mobilních plnicích stanic LNG, převážně využívaných firmami při testování nákladních vozů na LNG</w:t>
      </w:r>
      <w:r w:rsidR="00A0449C">
        <w:t xml:space="preserve">. </w:t>
      </w:r>
      <w:r w:rsidR="00C5691A">
        <w:t>Důležitou skutečnost</w:t>
      </w:r>
      <w:r>
        <w:t>í</w:t>
      </w:r>
      <w:r w:rsidR="00C5691A">
        <w:t xml:space="preserve"> </w:t>
      </w:r>
      <w:r>
        <w:t>však je</w:t>
      </w:r>
      <w:r w:rsidR="00C5691A">
        <w:t xml:space="preserve">, že </w:t>
      </w:r>
      <w:r>
        <w:t>v</w:t>
      </w:r>
      <w:r w:rsidR="005A1247">
        <w:t> </w:t>
      </w:r>
      <w:r w:rsidR="00C5691A">
        <w:t>s</w:t>
      </w:r>
      <w:r w:rsidR="00C5691A" w:rsidRPr="00E51E6F">
        <w:t>oučasn</w:t>
      </w:r>
      <w:r w:rsidR="00C5691A">
        <w:t xml:space="preserve">osti </w:t>
      </w:r>
      <w:r w:rsidR="00C5691A" w:rsidRPr="00E51E6F">
        <w:t>probíhá projektová příprava s</w:t>
      </w:r>
      <w:r w:rsidR="005A1247">
        <w:t> </w:t>
      </w:r>
      <w:r w:rsidR="00C5691A" w:rsidRPr="00E51E6F">
        <w:t>následnou realizací 13 nových veřejných plnicích stanic LNG</w:t>
      </w:r>
      <w:r w:rsidR="00C5691A">
        <w:t>, které vzniknou do roku 2022 díky dotační podpoře Ministerstva dopravy v</w:t>
      </w:r>
      <w:r w:rsidR="005A1247">
        <w:t> </w:t>
      </w:r>
      <w:r w:rsidR="00C5691A">
        <w:t xml:space="preserve">rámci </w:t>
      </w:r>
      <w:r w:rsidR="00C5691A" w:rsidRPr="00E51E6F">
        <w:t>OPD</w:t>
      </w:r>
      <w:r w:rsidR="00C5691A">
        <w:t>.</w:t>
      </w:r>
    </w:p>
    <w:p w14:paraId="51093DEE" w14:textId="1D68F81A" w:rsidR="00A0449C" w:rsidRDefault="00A0449C" w:rsidP="009A3B7E">
      <w:pPr>
        <w:jc w:val="both"/>
      </w:pPr>
      <w:r>
        <w:t>Nedílnou součástí problematiky je i</w:t>
      </w:r>
      <w:r w:rsidR="005A1247">
        <w:t> </w:t>
      </w:r>
      <w:r>
        <w:t>potenciál a</w:t>
      </w:r>
      <w:r w:rsidR="005A1247">
        <w:t> </w:t>
      </w:r>
      <w:r>
        <w:t>využití biometanu, jak ve formě bioCNG, tak bioLNG.</w:t>
      </w:r>
      <w:r w:rsidR="009A5848">
        <w:t xml:space="preserve"> Z</w:t>
      </w:r>
      <w:r w:rsidR="005A1247">
        <w:t> </w:t>
      </w:r>
      <w:r w:rsidR="009A5848">
        <w:t>dlouhodobého pohledu jde o</w:t>
      </w:r>
      <w:r w:rsidR="005A1247">
        <w:t> </w:t>
      </w:r>
      <w:r w:rsidR="009A5848">
        <w:t xml:space="preserve">téma naprosto klíčové, neboť biometan má výrazně nižší emise skleníkových plynů než fosilní CNG/LNG. Postupná náhrada biometanu namísto fosilního CNG/LNG </w:t>
      </w:r>
      <w:r w:rsidR="005E4384">
        <w:t xml:space="preserve">je nezbytná </w:t>
      </w:r>
      <w:r w:rsidR="009A5848">
        <w:t>z</w:t>
      </w:r>
      <w:r w:rsidR="005A1247">
        <w:t> </w:t>
      </w:r>
      <w:r w:rsidR="009A5848">
        <w:t>hlediska environmentálních přínosů tohoto alternativního paliva.</w:t>
      </w:r>
      <w:r w:rsidR="0060271B">
        <w:t xml:space="preserve">  </w:t>
      </w:r>
    </w:p>
    <w:p w14:paraId="6A99C07B" w14:textId="58792C76" w:rsidR="00A0449C" w:rsidRPr="00F73D69" w:rsidRDefault="00A0449C" w:rsidP="009A3B7E">
      <w:pPr>
        <w:jc w:val="both"/>
      </w:pPr>
      <w:r>
        <w:t>Z pohledu regulatorního rámce jsou základní vztahy a</w:t>
      </w:r>
      <w:r w:rsidR="005A1247">
        <w:t> </w:t>
      </w:r>
      <w:r>
        <w:t>vazby v</w:t>
      </w:r>
      <w:r w:rsidR="005A1247">
        <w:t> </w:t>
      </w:r>
      <w:r>
        <w:t>české legislativě nastaveny (zejména zákon o</w:t>
      </w:r>
      <w:r w:rsidR="005A1247">
        <w:t> </w:t>
      </w:r>
      <w:r>
        <w:t>podpoře obnovitelných zdrojů, zákon o</w:t>
      </w:r>
      <w:r w:rsidR="005A1247">
        <w:t> </w:t>
      </w:r>
      <w:r>
        <w:t>stabilizaci veřejných rozpočtů a</w:t>
      </w:r>
      <w:r w:rsidR="005A1247">
        <w:t> </w:t>
      </w:r>
      <w:r>
        <w:t>zákon o</w:t>
      </w:r>
      <w:r w:rsidR="005A1247">
        <w:t> </w:t>
      </w:r>
      <w:r>
        <w:t>silniční dani), další legislativa s</w:t>
      </w:r>
      <w:r w:rsidR="005A1247">
        <w:t> </w:t>
      </w:r>
      <w:r>
        <w:t>vazbou k</w:t>
      </w:r>
      <w:r w:rsidR="005A1247">
        <w:t> </w:t>
      </w:r>
      <w:r>
        <w:t>rozvoji se týká např. výstavby (stavební zákon a</w:t>
      </w:r>
      <w:r w:rsidR="005A1247">
        <w:t> </w:t>
      </w:r>
      <w:r>
        <w:t>související předpisy) respektive dalších podzákonných norem ovlivňujících dané prostředí.</w:t>
      </w:r>
    </w:p>
    <w:p w14:paraId="277A138A" w14:textId="2F68681C" w:rsidR="00A0449C" w:rsidRDefault="00A0449C" w:rsidP="009A3B7E">
      <w:pPr>
        <w:jc w:val="both"/>
      </w:pPr>
      <w:r>
        <w:t>Hlavními zdroji pro financování v</w:t>
      </w:r>
      <w:r w:rsidR="005A1247">
        <w:t> </w:t>
      </w:r>
      <w:r>
        <w:t xml:space="preserve">oblasti plynu jsou </w:t>
      </w:r>
      <w:r w:rsidR="005E4384">
        <w:t xml:space="preserve">zejména </w:t>
      </w:r>
      <w:r w:rsidR="009A5848">
        <w:t xml:space="preserve">evropské fondy (viz jednotlivé </w:t>
      </w:r>
      <w:r>
        <w:t>operační programy</w:t>
      </w:r>
      <w:r w:rsidR="009A5848">
        <w:t>)</w:t>
      </w:r>
      <w:r>
        <w:t xml:space="preserve"> a</w:t>
      </w:r>
      <w:r w:rsidR="005A1247">
        <w:t> </w:t>
      </w:r>
      <w:r>
        <w:t>programy podporující výzkum a</w:t>
      </w:r>
      <w:r w:rsidR="005A1247">
        <w:t> </w:t>
      </w:r>
      <w:r>
        <w:t xml:space="preserve">vývoj. </w:t>
      </w:r>
    </w:p>
    <w:p w14:paraId="114C5B58" w14:textId="77777777" w:rsidR="00A0449C" w:rsidRDefault="00A0449C" w:rsidP="009A3B7E">
      <w:pPr>
        <w:pStyle w:val="Nadpis2"/>
        <w:jc w:val="both"/>
      </w:pPr>
      <w:bookmarkStart w:id="36" w:name="_Toc34387139"/>
      <w:r w:rsidRPr="00CA20DD">
        <w:lastRenderedPageBreak/>
        <w:t>Očekávaný vývoj</w:t>
      </w:r>
      <w:bookmarkEnd w:id="36"/>
    </w:p>
    <w:p w14:paraId="3958FA03" w14:textId="78038C75" w:rsidR="00156793" w:rsidRDefault="00A0449C" w:rsidP="009A3B7E">
      <w:pPr>
        <w:jc w:val="both"/>
      </w:pPr>
      <w:r>
        <w:t>Měřitelným ukazatelem rozvoje je počet vozidel na daný typ paliva spolu s</w:t>
      </w:r>
      <w:r w:rsidR="005A1247">
        <w:t> </w:t>
      </w:r>
      <w:r>
        <w:t>adekvátní spotřebou příslušného paliva. V</w:t>
      </w:r>
      <w:r w:rsidR="005A1247">
        <w:t> </w:t>
      </w:r>
      <w:r>
        <w:t>rámci aktualizace NAP CM byla využita projekce připravená v</w:t>
      </w:r>
      <w:r w:rsidR="005A1247">
        <w:t> </w:t>
      </w:r>
      <w:r>
        <w:t>rámci pracovní skupiny Plyn, která v</w:t>
      </w:r>
      <w:r w:rsidR="005A1247">
        <w:t> </w:t>
      </w:r>
      <w:r>
        <w:t>několika scénářích předpovídá rozvoj počtu vozidel na zemní plyn k</w:t>
      </w:r>
      <w:r w:rsidR="005A1247">
        <w:t> </w:t>
      </w:r>
      <w:r>
        <w:t>roku 2030 s</w:t>
      </w:r>
      <w:r w:rsidR="005A1247">
        <w:t> </w:t>
      </w:r>
      <w:r>
        <w:t>výhledem do roku 2050. Rozptyl jednotlivých scénářů je dán množstvím faktorů, které mají a</w:t>
      </w:r>
      <w:r w:rsidR="005A1247">
        <w:t> </w:t>
      </w:r>
      <w:r>
        <w:t>i</w:t>
      </w:r>
      <w:r w:rsidR="000F2439">
        <w:t> </w:t>
      </w:r>
      <w:r>
        <w:t>v</w:t>
      </w:r>
      <w:r w:rsidR="005A1247">
        <w:t> </w:t>
      </w:r>
      <w:r>
        <w:t xml:space="preserve">budoucnu mohou mít vliv na počet vozidel. </w:t>
      </w:r>
    </w:p>
    <w:p w14:paraId="257C2407" w14:textId="7552C642" w:rsidR="005E4384" w:rsidRDefault="00A0449C" w:rsidP="00CB21D1">
      <w:pPr>
        <w:jc w:val="both"/>
      </w:pPr>
      <w:r>
        <w:t xml:space="preserve">V případě zemního plynu se </w:t>
      </w:r>
      <w:r w:rsidR="005E4384">
        <w:t>k</w:t>
      </w:r>
      <w:r w:rsidR="005A1247">
        <w:t> </w:t>
      </w:r>
      <w:r w:rsidR="005E4384">
        <w:t xml:space="preserve">roku 2030 </w:t>
      </w:r>
      <w:r>
        <w:t>jedná o</w:t>
      </w:r>
      <w:r w:rsidR="005A1247">
        <w:t> </w:t>
      </w:r>
      <w:r>
        <w:t>rozsah cca 26 000 vozidel (scénář BP) až po 55 000 vozidel (scénář PA)</w:t>
      </w:r>
      <w:r w:rsidR="00774DFA">
        <w:t>, z</w:t>
      </w:r>
      <w:r w:rsidR="005A1247">
        <w:t> </w:t>
      </w:r>
      <w:r w:rsidR="00774DFA">
        <w:t>toho samotný segment LNG by měl v</w:t>
      </w:r>
      <w:r w:rsidR="005A1247">
        <w:t> </w:t>
      </w:r>
      <w:r w:rsidR="00774DFA">
        <w:t>tomto období představovat trh v</w:t>
      </w:r>
      <w:r w:rsidR="005A1247">
        <w:t> </w:t>
      </w:r>
      <w:r w:rsidR="00774DFA">
        <w:t>rozsahu 3 500 vozidel (scénář BP) až 6 900 vozidel (scénář PA)</w:t>
      </w:r>
      <w:r>
        <w:t xml:space="preserve">. </w:t>
      </w:r>
      <w:r w:rsidR="0052290A">
        <w:t>Je třeba zdůraznit, že oba tyto scénáře jsou</w:t>
      </w:r>
      <w:r w:rsidR="00774DFA">
        <w:t xml:space="preserve"> zejména ve vztahu k</w:t>
      </w:r>
      <w:r w:rsidR="005A1247">
        <w:t> </w:t>
      </w:r>
      <w:r w:rsidR="00774DFA">
        <w:t>trhu CNG vozidel</w:t>
      </w:r>
      <w:r w:rsidR="0052290A">
        <w:t xml:space="preserve"> výrazně konzervativnější než </w:t>
      </w:r>
      <w:r w:rsidR="00774DFA">
        <w:t xml:space="preserve">příslušný </w:t>
      </w:r>
      <w:r w:rsidR="0052290A">
        <w:t>cíl obsažený</w:t>
      </w:r>
      <w:r w:rsidR="00AA3E2A">
        <w:t xml:space="preserve"> </w:t>
      </w:r>
      <w:r w:rsidR="0052290A">
        <w:t>v</w:t>
      </w:r>
      <w:r w:rsidR="005A1247">
        <w:t> </w:t>
      </w:r>
      <w:r w:rsidR="0052290A">
        <w:t>původním NAP CM. Jde mj. o</w:t>
      </w:r>
      <w:r w:rsidR="005A1247">
        <w:t> </w:t>
      </w:r>
      <w:r w:rsidR="0052290A">
        <w:t xml:space="preserve">reakci na aktuální vývoj na poli evropské legislativy, která tlačí výrobce </w:t>
      </w:r>
      <w:r w:rsidR="0065516A">
        <w:t>do</w:t>
      </w:r>
      <w:r w:rsidR="0052290A">
        <w:t xml:space="preserve"> vývoj</w:t>
      </w:r>
      <w:r w:rsidR="0065516A">
        <w:t>e a</w:t>
      </w:r>
      <w:r w:rsidR="005A1247">
        <w:t> </w:t>
      </w:r>
      <w:r w:rsidR="0065516A">
        <w:t>výroby lokálně</w:t>
      </w:r>
      <w:r w:rsidR="0052290A">
        <w:t xml:space="preserve"> bezemisních vozidel.  </w:t>
      </w:r>
    </w:p>
    <w:p w14:paraId="267ED957" w14:textId="58B43203" w:rsidR="00CB21D1" w:rsidRDefault="00CB21D1" w:rsidP="00CB21D1">
      <w:pPr>
        <w:pStyle w:val="Titulek"/>
        <w:keepNext/>
        <w:jc w:val="both"/>
      </w:pPr>
      <w:bookmarkStart w:id="37" w:name="_Toc25127946"/>
      <w:bookmarkStart w:id="38" w:name="_Toc25128872"/>
      <w:bookmarkStart w:id="39" w:name="_Toc34298593"/>
      <w:r>
        <w:t xml:space="preserve">Graf </w:t>
      </w:r>
      <w:r w:rsidR="003A4842">
        <w:rPr>
          <w:noProof/>
        </w:rPr>
        <w:fldChar w:fldCharType="begin"/>
      </w:r>
      <w:r w:rsidR="003A4842">
        <w:rPr>
          <w:noProof/>
        </w:rPr>
        <w:instrText xml:space="preserve"> SEQ Graf \* ARABIC </w:instrText>
      </w:r>
      <w:r w:rsidR="003A4842">
        <w:rPr>
          <w:noProof/>
        </w:rPr>
        <w:fldChar w:fldCharType="separate"/>
      </w:r>
      <w:r w:rsidR="00D944E5">
        <w:rPr>
          <w:noProof/>
        </w:rPr>
        <w:t>3</w:t>
      </w:r>
      <w:r w:rsidR="003A4842">
        <w:rPr>
          <w:noProof/>
        </w:rPr>
        <w:fldChar w:fldCharType="end"/>
      </w:r>
      <w:r>
        <w:t xml:space="preserve"> Vývoj počtu vozidel na zemní plyn s</w:t>
      </w:r>
      <w:r w:rsidR="005A1247">
        <w:t> </w:t>
      </w:r>
      <w:r>
        <w:t>výhledem k</w:t>
      </w:r>
      <w:r w:rsidR="005A1247">
        <w:t> </w:t>
      </w:r>
      <w:r>
        <w:t>roku 20</w:t>
      </w:r>
      <w:r w:rsidR="009910B8">
        <w:t>3</w:t>
      </w:r>
      <w:r>
        <w:t>0</w:t>
      </w:r>
      <w:bookmarkEnd w:id="37"/>
      <w:bookmarkEnd w:id="38"/>
      <w:bookmarkEnd w:id="39"/>
    </w:p>
    <w:p w14:paraId="6B64AC4E" w14:textId="3A5B52AC" w:rsidR="005E4384" w:rsidRPr="005E4384" w:rsidRDefault="009910B8" w:rsidP="009A3B7E">
      <w:pPr>
        <w:jc w:val="both"/>
      </w:pPr>
      <w:r>
        <w:rPr>
          <w:noProof/>
        </w:rPr>
        <w:drawing>
          <wp:anchor distT="0" distB="0" distL="114300" distR="114300" simplePos="0" relativeHeight="251691008" behindDoc="0" locked="0" layoutInCell="1" allowOverlap="1" wp14:anchorId="5A152C85" wp14:editId="4982CF66">
            <wp:simplePos x="0" y="0"/>
            <wp:positionH relativeFrom="column">
              <wp:posOffset>0</wp:posOffset>
            </wp:positionH>
            <wp:positionV relativeFrom="paragraph">
              <wp:posOffset>-635</wp:posOffset>
            </wp:positionV>
            <wp:extent cx="5773420" cy="3218815"/>
            <wp:effectExtent l="0" t="0" r="0" b="63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3420" cy="3218815"/>
                    </a:xfrm>
                    <a:prstGeom prst="rect">
                      <a:avLst/>
                    </a:prstGeom>
                    <a:noFill/>
                  </pic:spPr>
                </pic:pic>
              </a:graphicData>
            </a:graphic>
            <wp14:sizeRelH relativeFrom="page">
              <wp14:pctWidth>0</wp14:pctWidth>
            </wp14:sizeRelH>
            <wp14:sizeRelV relativeFrom="page">
              <wp14:pctHeight>0</wp14:pctHeight>
            </wp14:sizeRelV>
          </wp:anchor>
        </w:drawing>
      </w:r>
      <w:r w:rsidR="005E4384">
        <w:rPr>
          <w:noProof/>
        </w:rPr>
        <w:drawing>
          <wp:inline distT="0" distB="0" distL="0" distR="0" wp14:anchorId="640CBA91" wp14:editId="575E3C51">
            <wp:extent cx="5760000" cy="23796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000" cy="2379600"/>
                    </a:xfrm>
                    <a:prstGeom prst="rect">
                      <a:avLst/>
                    </a:prstGeom>
                    <a:noFill/>
                  </pic:spPr>
                </pic:pic>
              </a:graphicData>
            </a:graphic>
          </wp:inline>
        </w:drawing>
      </w:r>
    </w:p>
    <w:p w14:paraId="1033140A" w14:textId="77777777" w:rsidR="00A0449C" w:rsidRDefault="005E4384" w:rsidP="009A3B7E">
      <w:pPr>
        <w:jc w:val="both"/>
      </w:pPr>
      <w:r>
        <w:t>Zdroj: ČPS</w:t>
      </w:r>
    </w:p>
    <w:p w14:paraId="12948619" w14:textId="77777777" w:rsidR="00A0449C" w:rsidRDefault="00A0449C" w:rsidP="009A3B7E">
      <w:pPr>
        <w:pStyle w:val="Nadpis2"/>
        <w:jc w:val="both"/>
      </w:pPr>
      <w:bookmarkStart w:id="40" w:name="_Toc34387140"/>
      <w:r w:rsidRPr="00CA20DD">
        <w:t>Strategické cíle</w:t>
      </w:r>
      <w:bookmarkEnd w:id="40"/>
    </w:p>
    <w:p w14:paraId="66E924FA" w14:textId="77777777" w:rsidR="00A0449C" w:rsidRDefault="00A0449C" w:rsidP="009A3B7E">
      <w:pPr>
        <w:jc w:val="both"/>
      </w:pPr>
      <w:r>
        <w:t>Pro období do roku 2030 byly zvoleny následující strategické cíle:</w:t>
      </w:r>
    </w:p>
    <w:p w14:paraId="193C77FE" w14:textId="77777777" w:rsidR="00A0449C" w:rsidRDefault="00432262" w:rsidP="009A3B7E">
      <w:pPr>
        <w:pStyle w:val="Nadpis3"/>
        <w:jc w:val="both"/>
      </w:pPr>
      <w:r>
        <w:t>Rozvoj trhu v</w:t>
      </w:r>
      <w:r w:rsidR="00A0449C" w:rsidRPr="00CA20DD">
        <w:t>ozid</w:t>
      </w:r>
      <w:r>
        <w:t>e</w:t>
      </w:r>
      <w:r w:rsidR="00A0449C" w:rsidRPr="00CA20DD">
        <w:t>l</w:t>
      </w:r>
      <w:r>
        <w:t xml:space="preserve"> na zemní plyn  </w:t>
      </w:r>
    </w:p>
    <w:p w14:paraId="3FD417B3" w14:textId="642B4036" w:rsidR="0052290A" w:rsidRDefault="00B75DCD" w:rsidP="009A3B7E">
      <w:pPr>
        <w:jc w:val="both"/>
      </w:pPr>
      <w:r>
        <w:t xml:space="preserve">V případě </w:t>
      </w:r>
      <w:r w:rsidRPr="00FA0863">
        <w:rPr>
          <w:b/>
        </w:rPr>
        <w:t xml:space="preserve">CNG vozidel cílí NAP CM na </w:t>
      </w:r>
      <w:r w:rsidR="00774DFA" w:rsidRPr="00FA0863">
        <w:rPr>
          <w:b/>
        </w:rPr>
        <w:t>35</w:t>
      </w:r>
      <w:r w:rsidR="0052290A" w:rsidRPr="00FA0863">
        <w:rPr>
          <w:b/>
        </w:rPr>
        <w:t xml:space="preserve"> tisíc vozidel </w:t>
      </w:r>
      <w:r w:rsidRPr="00FA0863">
        <w:rPr>
          <w:b/>
        </w:rPr>
        <w:t>do roku 2030</w:t>
      </w:r>
      <w:r>
        <w:t>.</w:t>
      </w:r>
      <w:r w:rsidR="00156793">
        <w:t xml:space="preserve"> </w:t>
      </w:r>
      <w:r w:rsidR="0052290A">
        <w:t xml:space="preserve">To představuje střední hodnotu mezi oběma výše uvedenými </w:t>
      </w:r>
      <w:r w:rsidR="00774DFA">
        <w:t xml:space="preserve">krajními </w:t>
      </w:r>
      <w:r w:rsidR="0052290A">
        <w:t>scénáři (BP a</w:t>
      </w:r>
      <w:r w:rsidR="005A1247">
        <w:t> </w:t>
      </w:r>
      <w:r w:rsidR="0052290A">
        <w:t>PA).</w:t>
      </w:r>
    </w:p>
    <w:p w14:paraId="469E125B" w14:textId="5C2573DD" w:rsidR="00C5691A" w:rsidRDefault="00C5691A" w:rsidP="009A3B7E">
      <w:pPr>
        <w:jc w:val="both"/>
      </w:pPr>
      <w:r>
        <w:t>Další rozvoj trhu CNG vozidel je třeba odpovídajícím způsobem stimulovat a</w:t>
      </w:r>
      <w:r w:rsidR="005A1247">
        <w:t> </w:t>
      </w:r>
      <w:r>
        <w:t>podpořit tak poptávku po těchto vozidlech. Pokračovat by tak např. měla podpora pořízení CNG autobusů (byť s</w:t>
      </w:r>
      <w:r w:rsidR="005A1247">
        <w:t> </w:t>
      </w:r>
      <w:r>
        <w:t>nižší intenzitou podpory než v</w:t>
      </w:r>
      <w:r w:rsidR="005A1247">
        <w:t> </w:t>
      </w:r>
      <w:r>
        <w:t>případě elektrických a</w:t>
      </w:r>
      <w:r w:rsidR="005A1247">
        <w:t> </w:t>
      </w:r>
      <w:r>
        <w:t>vodíkových autobusů) a</w:t>
      </w:r>
      <w:r w:rsidR="005A1247">
        <w:t> </w:t>
      </w:r>
      <w:r>
        <w:t>CNG vozidel pro státní orgány, státem řízené organizace a</w:t>
      </w:r>
      <w:r w:rsidR="005A1247">
        <w:t> </w:t>
      </w:r>
      <w:r>
        <w:t>samosprávné územní celky. Minimálně do roku 2030 by měla být zachována existující podpora pro osobní a</w:t>
      </w:r>
      <w:r w:rsidR="005A1247">
        <w:t> </w:t>
      </w:r>
      <w:r>
        <w:t>lehká užitková CNG vozidla (do 12 t) jednak v</w:t>
      </w:r>
      <w:r w:rsidR="005A1247">
        <w:t> </w:t>
      </w:r>
      <w:r>
        <w:t>podobě snížené sazb</w:t>
      </w:r>
      <w:r w:rsidR="00AD380B">
        <w:t>y</w:t>
      </w:r>
      <w:r>
        <w:t xml:space="preserve"> dálniční známky a</w:t>
      </w:r>
      <w:r w:rsidR="005A1247">
        <w:t> </w:t>
      </w:r>
      <w:r>
        <w:t>dále</w:t>
      </w:r>
      <w:r w:rsidR="00DD4D5A" w:rsidRPr="00DD4D5A">
        <w:rPr>
          <w:bCs/>
          <w:szCs w:val="22"/>
        </w:rPr>
        <w:t xml:space="preserve"> </w:t>
      </w:r>
      <w:r w:rsidR="00DD4D5A" w:rsidRPr="00823214">
        <w:rPr>
          <w:bCs/>
          <w:szCs w:val="22"/>
        </w:rPr>
        <w:t>osvobození od daně silniční pro CNG</w:t>
      </w:r>
      <w:r>
        <w:t xml:space="preserve">. </w:t>
      </w:r>
    </w:p>
    <w:p w14:paraId="39330F37" w14:textId="1BEB48E4" w:rsidR="00774DFA" w:rsidRDefault="0052290A" w:rsidP="009A3B7E">
      <w:pPr>
        <w:jc w:val="both"/>
      </w:pPr>
      <w:r>
        <w:t>V případě</w:t>
      </w:r>
      <w:r w:rsidRPr="00FA0863">
        <w:rPr>
          <w:b/>
        </w:rPr>
        <w:t xml:space="preserve"> LNG vozidel je cílem NAP CM dosáhnout do roku 2030 </w:t>
      </w:r>
      <w:r w:rsidR="00156793" w:rsidRPr="00FA0863">
        <w:rPr>
          <w:b/>
        </w:rPr>
        <w:t xml:space="preserve">počtu </w:t>
      </w:r>
      <w:r w:rsidR="00774DFA" w:rsidRPr="00FA0863">
        <w:rPr>
          <w:b/>
        </w:rPr>
        <w:t>5 000 vozidel</w:t>
      </w:r>
      <w:r w:rsidR="00774DFA">
        <w:t>, což opět v</w:t>
      </w:r>
      <w:r w:rsidR="005A1247">
        <w:t> </w:t>
      </w:r>
      <w:r w:rsidR="00774DFA">
        <w:t>zásadě odpovídá střední hodnotě mezi krajními scénáři.</w:t>
      </w:r>
    </w:p>
    <w:p w14:paraId="76DB88DE" w14:textId="5C0F997D" w:rsidR="00F64BAC" w:rsidRPr="00F32F9F" w:rsidRDefault="00C5691A" w:rsidP="009A3B7E">
      <w:pPr>
        <w:jc w:val="both"/>
      </w:pPr>
      <w:r>
        <w:lastRenderedPageBreak/>
        <w:t>U LNG vozidel je přitom třeba reflektovat fakt, že pořizovací náklady těchto vozidel jsou minimálně o</w:t>
      </w:r>
      <w:r w:rsidR="005A1247">
        <w:t> </w:t>
      </w:r>
      <w:r>
        <w:t>třetinu vyšší než pořizovací náklady dieselových vozidel stejné kategorie. Žádoucí tak je jednak zavést přímou podporu na nákup těchto vozidel s</w:t>
      </w:r>
      <w:r w:rsidR="005A1247">
        <w:t> </w:t>
      </w:r>
      <w:r>
        <w:t>využitím EU fondů (</w:t>
      </w:r>
      <w:r w:rsidR="00042582">
        <w:t>OP TAK</w:t>
      </w:r>
      <w:r>
        <w:t>) a</w:t>
      </w:r>
      <w:r w:rsidR="005A1247">
        <w:t> </w:t>
      </w:r>
      <w:r>
        <w:t>implementovat i</w:t>
      </w:r>
      <w:r w:rsidR="005A1247">
        <w:t> </w:t>
      </w:r>
      <w:r>
        <w:t>některé z</w:t>
      </w:r>
      <w:r w:rsidR="005A1247">
        <w:t> </w:t>
      </w:r>
      <w:r>
        <w:t>možností nepřímé podpory (např. zavedení úlevy ze silniční daně pro LNG vozidla nad 12</w:t>
      </w:r>
      <w:r w:rsidR="006564D5">
        <w:t> </w:t>
      </w:r>
      <w:r>
        <w:t>t</w:t>
      </w:r>
      <w:r w:rsidR="005A1247">
        <w:t> </w:t>
      </w:r>
      <w:r>
        <w:t xml:space="preserve">nebo </w:t>
      </w:r>
      <w:r w:rsidR="002E1BD1">
        <w:t xml:space="preserve">stanovení nulové sazby složky mýtného </w:t>
      </w:r>
      <w:r>
        <w:t xml:space="preserve">za </w:t>
      </w:r>
      <w:r w:rsidR="009E1B82">
        <w:t>znečištění</w:t>
      </w:r>
      <w:r w:rsidR="002E1BD1">
        <w:t xml:space="preserve"> (tj. </w:t>
      </w:r>
      <w:r w:rsidR="00F164D9">
        <w:t>z</w:t>
      </w:r>
      <w:r w:rsidR="005A1247">
        <w:t> </w:t>
      </w:r>
      <w:r w:rsidR="00F164D9">
        <w:t>příslušné části „</w:t>
      </w:r>
      <w:r w:rsidR="002E1BD1">
        <w:t>poplatk</w:t>
      </w:r>
      <w:r w:rsidR="00F164D9">
        <w:t>u</w:t>
      </w:r>
      <w:r w:rsidR="002E1BD1">
        <w:t xml:space="preserve"> </w:t>
      </w:r>
      <w:r w:rsidR="00F164D9">
        <w:t xml:space="preserve">za </w:t>
      </w:r>
      <w:r>
        <w:t>externí náklady</w:t>
      </w:r>
      <w:r w:rsidR="00F164D9">
        <w:t>“ dle tzv. směrnice Euroviněta</w:t>
      </w:r>
      <w:r>
        <w:t>).</w:t>
      </w:r>
      <w:r w:rsidR="0060271B">
        <w:t xml:space="preserve"> </w:t>
      </w:r>
    </w:p>
    <w:p w14:paraId="5F1EAF52" w14:textId="1A4EBA80" w:rsidR="00A0449C" w:rsidRDefault="00432262" w:rsidP="009A3B7E">
      <w:pPr>
        <w:pStyle w:val="Nadpis3"/>
        <w:jc w:val="both"/>
      </w:pPr>
      <w:bookmarkStart w:id="41" w:name="_Toc21508910"/>
      <w:bookmarkEnd w:id="41"/>
      <w:r>
        <w:t>Rozvoj i</w:t>
      </w:r>
      <w:r w:rsidR="00A0449C" w:rsidRPr="00CA20DD">
        <w:t>nfrastruktur</w:t>
      </w:r>
      <w:r>
        <w:t>y CNG a</w:t>
      </w:r>
      <w:r w:rsidR="005A1247">
        <w:t> </w:t>
      </w:r>
      <w:r>
        <w:t xml:space="preserve">LNG plnících stanic  </w:t>
      </w:r>
    </w:p>
    <w:p w14:paraId="3738D49A" w14:textId="6E45435F" w:rsidR="00F32F9F" w:rsidRPr="00E51E6F" w:rsidRDefault="00F32F9F" w:rsidP="009A3B7E">
      <w:pPr>
        <w:jc w:val="both"/>
      </w:pPr>
      <w:r w:rsidRPr="00E51E6F">
        <w:t>S ohledem na očekávaný další rozvoj vozového parku CNG aut v</w:t>
      </w:r>
      <w:r w:rsidR="005A1247">
        <w:t> </w:t>
      </w:r>
      <w:r w:rsidRPr="00E51E6F">
        <w:t xml:space="preserve">ČR předpokládá NAP </w:t>
      </w:r>
      <w:r>
        <w:t>C</w:t>
      </w:r>
      <w:r w:rsidRPr="00E51E6F">
        <w:t>M s</w:t>
      </w:r>
      <w:r w:rsidR="005A1247">
        <w:t> </w:t>
      </w:r>
      <w:r w:rsidRPr="00E51E6F">
        <w:t xml:space="preserve">infrastrukturou cca </w:t>
      </w:r>
      <w:r w:rsidRPr="00FA0863">
        <w:rPr>
          <w:b/>
        </w:rPr>
        <w:t>350 až 400 veřejných plnicích stanic CNG do roku 2030</w:t>
      </w:r>
      <w:r w:rsidRPr="00E51E6F">
        <w:t>.</w:t>
      </w:r>
      <w:r w:rsidR="00F80BD0">
        <w:t xml:space="preserve"> </w:t>
      </w:r>
    </w:p>
    <w:p w14:paraId="1A40DC6F" w14:textId="6DD20791" w:rsidR="00F80BD0" w:rsidRDefault="00F80BD0" w:rsidP="009A3B7E">
      <w:pPr>
        <w:jc w:val="both"/>
      </w:pPr>
      <w:r>
        <w:t>Zatímco v</w:t>
      </w:r>
      <w:r w:rsidR="005A1247">
        <w:t> </w:t>
      </w:r>
      <w:r>
        <w:t>případě CNG infrastruktury lze očekávat, že předpokládaný rozvoj může již vznikat na čistě tržním základě (tedy bez jakékoliv podpory z</w:t>
      </w:r>
      <w:r w:rsidR="005A1247">
        <w:t> </w:t>
      </w:r>
      <w:r>
        <w:t>veřejných zdrojů), v</w:t>
      </w:r>
      <w:r w:rsidR="005A1247">
        <w:t> </w:t>
      </w:r>
      <w:r>
        <w:t xml:space="preserve">případě rozvoje LNG infrastruktury, kde NAP CM cílí do roku </w:t>
      </w:r>
      <w:r w:rsidRPr="00FA0863">
        <w:rPr>
          <w:b/>
        </w:rPr>
        <w:t>2030 na dosažení 30 LNG plnících stanic</w:t>
      </w:r>
      <w:r>
        <w:t>, se jeví jako žádoucí, aby v</w:t>
      </w:r>
      <w:r w:rsidR="005A1247">
        <w:t> </w:t>
      </w:r>
      <w:r>
        <w:t>určité míře pokračovala existující podpora z</w:t>
      </w:r>
      <w:r w:rsidR="005A1247">
        <w:t> </w:t>
      </w:r>
      <w:r>
        <w:t xml:space="preserve">dotačního programu OPD. </w:t>
      </w:r>
    </w:p>
    <w:p w14:paraId="4555428D" w14:textId="13E30703" w:rsidR="00F32F9F" w:rsidRPr="00442F16" w:rsidRDefault="00F80BD0" w:rsidP="009A3B7E">
      <w:pPr>
        <w:jc w:val="both"/>
      </w:pPr>
      <w:r>
        <w:t>Z hlediska rozvoje uvedené infrastruktury je nutné poukázat na nejednotný přístup stavebních a</w:t>
      </w:r>
      <w:r w:rsidR="005A1247">
        <w:t> </w:t>
      </w:r>
      <w:r>
        <w:t>dalších úřadů v</w:t>
      </w:r>
      <w:r w:rsidR="005A1247">
        <w:t> </w:t>
      </w:r>
      <w:r>
        <w:t xml:space="preserve">rámci daných povolovacích procesů, což prodlužuje dobu výstavby těchto stanic. </w:t>
      </w:r>
      <w:r w:rsidR="00F32F9F" w:rsidRPr="00E51E6F">
        <w:t>V</w:t>
      </w:r>
      <w:r w:rsidR="005A1247">
        <w:t> </w:t>
      </w:r>
      <w:r w:rsidR="00F32F9F" w:rsidRPr="00E51E6F">
        <w:t>závislosti na lokalitě současná praxe ukazuje přetrvávající nejednotný přístup jednotlivých stavebních a</w:t>
      </w:r>
      <w:r w:rsidR="005A1247">
        <w:t> </w:t>
      </w:r>
      <w:r w:rsidR="00F32F9F" w:rsidRPr="00E51E6F">
        <w:t>dalších úřadů s</w:t>
      </w:r>
      <w:r w:rsidR="005A1247">
        <w:t> </w:t>
      </w:r>
      <w:r w:rsidR="00F32F9F" w:rsidRPr="00E51E6F">
        <w:t>následným zbytečným prodlužováním výstavby CNG stanic. Jedná se o</w:t>
      </w:r>
      <w:r w:rsidR="005A1247">
        <w:t> </w:t>
      </w:r>
      <w:r w:rsidR="00F32F9F" w:rsidRPr="00E51E6F">
        <w:t>rozdílné požadavky v</w:t>
      </w:r>
      <w:r w:rsidR="005A1247">
        <w:t> </w:t>
      </w:r>
      <w:r w:rsidR="00F32F9F" w:rsidRPr="00E51E6F">
        <w:t>rámci schvalovacího procesu (stavební povolení, povolení k</w:t>
      </w:r>
      <w:r w:rsidR="005A1247">
        <w:t> </w:t>
      </w:r>
      <w:r w:rsidR="00F32F9F" w:rsidRPr="00E51E6F">
        <w:t>provozu, EIA apod.). Pro tyto modely realizace je proto vhodné sjednotit a</w:t>
      </w:r>
      <w:r w:rsidR="005A1247">
        <w:t> </w:t>
      </w:r>
      <w:r w:rsidR="00F32F9F" w:rsidRPr="00E51E6F">
        <w:t>standardizovat přístupy stavebních úřadů napříč republikou a</w:t>
      </w:r>
      <w:r w:rsidR="005A1247">
        <w:t> </w:t>
      </w:r>
      <w:r w:rsidR="00F32F9F" w:rsidRPr="00E51E6F">
        <w:t>zrychlit schvalovací proces pro získání jak stavebního povolení tak i</w:t>
      </w:r>
      <w:r w:rsidR="005A1247">
        <w:t> </w:t>
      </w:r>
      <w:r w:rsidR="00F32F9F" w:rsidRPr="00E51E6F">
        <w:t>povolení k</w:t>
      </w:r>
      <w:r w:rsidR="005A1247">
        <w:t> </w:t>
      </w:r>
      <w:r w:rsidR="00F32F9F" w:rsidRPr="00E51E6F">
        <w:t xml:space="preserve">provozu. </w:t>
      </w:r>
      <w:r w:rsidR="008C79A4">
        <w:t>Z</w:t>
      </w:r>
      <w:r w:rsidR="00F32F9F" w:rsidRPr="00E51E6F">
        <w:t>rychlení procesu stavebního řízení a</w:t>
      </w:r>
      <w:r w:rsidR="005A1247">
        <w:t> </w:t>
      </w:r>
      <w:r w:rsidR="00F32F9F" w:rsidRPr="00E51E6F">
        <w:t xml:space="preserve">schvalování staveb lze </w:t>
      </w:r>
      <w:r w:rsidR="008C79A4">
        <w:t xml:space="preserve">tak </w:t>
      </w:r>
      <w:r w:rsidR="00F32F9F" w:rsidRPr="00E51E6F">
        <w:t xml:space="preserve">považovat za </w:t>
      </w:r>
      <w:r w:rsidR="008C79A4">
        <w:t>zásadní téma, neboť v</w:t>
      </w:r>
      <w:r w:rsidR="005A1247">
        <w:t> </w:t>
      </w:r>
      <w:r w:rsidR="008C79A4">
        <w:t>opačném případě může pomalejší rozvoj příslušné infrastruktury (zejména u</w:t>
      </w:r>
      <w:r w:rsidR="005A1247">
        <w:t> </w:t>
      </w:r>
      <w:r w:rsidR="008C79A4">
        <w:t xml:space="preserve">LNG stanic) podvazovat další rozvoj trhu.  </w:t>
      </w:r>
    </w:p>
    <w:p w14:paraId="72E6E5D9" w14:textId="0C16A0BF" w:rsidR="00A0449C" w:rsidRDefault="00A0449C" w:rsidP="009A3B7E">
      <w:pPr>
        <w:pStyle w:val="Nadpis3"/>
        <w:jc w:val="both"/>
      </w:pPr>
      <w:r>
        <w:t xml:space="preserve">Rozvoj výroby </w:t>
      </w:r>
      <w:r w:rsidR="00BE63BC">
        <w:t>LNG a</w:t>
      </w:r>
      <w:r w:rsidR="005A1247">
        <w:t> </w:t>
      </w:r>
      <w:r>
        <w:t>biometanu pro využití v</w:t>
      </w:r>
      <w:r w:rsidR="005A1247">
        <w:t> </w:t>
      </w:r>
      <w:r>
        <w:t>dopravě</w:t>
      </w:r>
    </w:p>
    <w:p w14:paraId="1F0CB2BD" w14:textId="145EC728" w:rsidR="00A0449C" w:rsidRPr="00E51E6F" w:rsidRDefault="00A0449C" w:rsidP="009A3B7E">
      <w:pPr>
        <w:jc w:val="both"/>
        <w:rPr>
          <w:b/>
          <w:bCs/>
        </w:rPr>
      </w:pPr>
      <w:r w:rsidRPr="00E51E6F">
        <w:t>Pokud má být zemní plyn v</w:t>
      </w:r>
      <w:r w:rsidR="005A1247">
        <w:t> </w:t>
      </w:r>
      <w:r w:rsidRPr="00E51E6F">
        <w:t xml:space="preserve">segmentu dopravy vnímaný širokou veřejností jako ekologické palivo je nezbytné jeho postupné nahrazování pokročilým biometanem. </w:t>
      </w:r>
      <w:r w:rsidRPr="00E51E6F">
        <w:rPr>
          <w:bCs/>
        </w:rPr>
        <w:t>Česká republika je vázána cíli plnění podílu OZE v</w:t>
      </w:r>
      <w:r w:rsidR="005A1247">
        <w:rPr>
          <w:bCs/>
        </w:rPr>
        <w:t> </w:t>
      </w:r>
      <w:r w:rsidRPr="00E51E6F">
        <w:rPr>
          <w:bCs/>
        </w:rPr>
        <w:t xml:space="preserve">dopravě. Významný potenciál částečné náhrady zemního plynu (CNG) lze spatřovat ve formě pokročilého </w:t>
      </w:r>
      <w:r>
        <w:rPr>
          <w:bCs/>
        </w:rPr>
        <w:t>biometan</w:t>
      </w:r>
      <w:r w:rsidRPr="00E51E6F">
        <w:rPr>
          <w:bCs/>
        </w:rPr>
        <w:t>u (bioCNG</w:t>
      </w:r>
      <w:r w:rsidR="00BE63BC">
        <w:rPr>
          <w:bCs/>
        </w:rPr>
        <w:t>, bioLNG</w:t>
      </w:r>
      <w:r w:rsidRPr="00E51E6F">
        <w:rPr>
          <w:bCs/>
        </w:rPr>
        <w:t xml:space="preserve">). </w:t>
      </w:r>
    </w:p>
    <w:p w14:paraId="4531CEB5" w14:textId="581BBE9D" w:rsidR="00A0449C" w:rsidRPr="00E51E6F" w:rsidRDefault="00A0449C" w:rsidP="009A3B7E">
      <w:pPr>
        <w:jc w:val="both"/>
        <w:rPr>
          <w:bCs/>
        </w:rPr>
      </w:pPr>
      <w:r w:rsidRPr="00E51E6F">
        <w:rPr>
          <w:bCs/>
        </w:rPr>
        <w:t xml:space="preserve">Rozvoj výroby </w:t>
      </w:r>
      <w:r w:rsidR="00BE63BC">
        <w:rPr>
          <w:bCs/>
        </w:rPr>
        <w:t>LNG a</w:t>
      </w:r>
      <w:r w:rsidR="005A1247">
        <w:rPr>
          <w:bCs/>
        </w:rPr>
        <w:t> </w:t>
      </w:r>
      <w:r w:rsidRPr="00E51E6F">
        <w:rPr>
          <w:bCs/>
        </w:rPr>
        <w:t xml:space="preserve">biometanu pro </w:t>
      </w:r>
      <w:r w:rsidR="00BE63BC">
        <w:rPr>
          <w:bCs/>
        </w:rPr>
        <w:t>využití v</w:t>
      </w:r>
      <w:r w:rsidR="005A1247">
        <w:rPr>
          <w:bCs/>
        </w:rPr>
        <w:t> </w:t>
      </w:r>
      <w:r w:rsidRPr="00E51E6F">
        <w:rPr>
          <w:bCs/>
        </w:rPr>
        <w:t>doprav</w:t>
      </w:r>
      <w:r w:rsidR="00BE63BC">
        <w:rPr>
          <w:bCs/>
        </w:rPr>
        <w:t>ě</w:t>
      </w:r>
      <w:r w:rsidRPr="00E51E6F">
        <w:rPr>
          <w:bCs/>
        </w:rPr>
        <w:t xml:space="preserve"> v</w:t>
      </w:r>
      <w:r w:rsidR="005A1247">
        <w:rPr>
          <w:bCs/>
        </w:rPr>
        <w:t> </w:t>
      </w:r>
      <w:r w:rsidRPr="00E51E6F">
        <w:rPr>
          <w:bCs/>
        </w:rPr>
        <w:t xml:space="preserve">ČR je tudíž strategickým cílem NAP </w:t>
      </w:r>
      <w:r>
        <w:rPr>
          <w:bCs/>
        </w:rPr>
        <w:t>C</w:t>
      </w:r>
      <w:r w:rsidRPr="00E51E6F">
        <w:rPr>
          <w:bCs/>
        </w:rPr>
        <w:t xml:space="preserve">M, který má usnadnit </w:t>
      </w:r>
      <w:r w:rsidR="00BE63BC">
        <w:rPr>
          <w:bCs/>
        </w:rPr>
        <w:t>výstavbu zkapalňovacích stanic na LNG a</w:t>
      </w:r>
      <w:r w:rsidR="005A1247">
        <w:rPr>
          <w:bCs/>
        </w:rPr>
        <w:t> </w:t>
      </w:r>
      <w:r w:rsidRPr="00E51E6F">
        <w:rPr>
          <w:bCs/>
        </w:rPr>
        <w:t>konverzi bioplynových stanic (BPS) na výrobny biometanu</w:t>
      </w:r>
      <w:r w:rsidR="00BE63BC">
        <w:rPr>
          <w:bCs/>
        </w:rPr>
        <w:t>.</w:t>
      </w:r>
      <w:r w:rsidRPr="00E51E6F">
        <w:rPr>
          <w:bCs/>
        </w:rPr>
        <w:t xml:space="preserve"> </w:t>
      </w:r>
      <w:r w:rsidR="00BE63BC">
        <w:rPr>
          <w:bCs/>
        </w:rPr>
        <w:t>Dále je nutné</w:t>
      </w:r>
      <w:r w:rsidRPr="00E51E6F">
        <w:rPr>
          <w:bCs/>
        </w:rPr>
        <w:t xml:space="preserve"> zajistit potřebné vstupy pro výrobu pokročilého biometanu</w:t>
      </w:r>
      <w:r w:rsidR="00BE63BC">
        <w:rPr>
          <w:bCs/>
        </w:rPr>
        <w:t xml:space="preserve">, </w:t>
      </w:r>
      <w:r w:rsidR="00BE63BC" w:rsidRPr="00BE63BC">
        <w:rPr>
          <w:bCs/>
        </w:rPr>
        <w:t>v</w:t>
      </w:r>
      <w:r w:rsidR="005A1247">
        <w:rPr>
          <w:bCs/>
        </w:rPr>
        <w:t> </w:t>
      </w:r>
      <w:r w:rsidR="00BE63BC" w:rsidRPr="00BE63BC">
        <w:rPr>
          <w:bCs/>
        </w:rPr>
        <w:t>potřebném rozsahu zajistit úpravu stávajících plynárenských sítí</w:t>
      </w:r>
      <w:r w:rsidRPr="00E51E6F">
        <w:rPr>
          <w:bCs/>
        </w:rPr>
        <w:t xml:space="preserve"> a</w:t>
      </w:r>
      <w:r w:rsidR="005A1247">
        <w:rPr>
          <w:bCs/>
        </w:rPr>
        <w:t> </w:t>
      </w:r>
      <w:r w:rsidRPr="00E51E6F">
        <w:rPr>
          <w:bCs/>
        </w:rPr>
        <w:t>v</w:t>
      </w:r>
      <w:r w:rsidR="000F2439">
        <w:rPr>
          <w:bCs/>
        </w:rPr>
        <w:t> </w:t>
      </w:r>
      <w:r w:rsidRPr="00E51E6F">
        <w:rPr>
          <w:bCs/>
        </w:rPr>
        <w:t xml:space="preserve">maximální míře zjednodušit podmínky připojení výroben </w:t>
      </w:r>
      <w:r w:rsidR="00BE63BC">
        <w:rPr>
          <w:bCs/>
        </w:rPr>
        <w:t>LNG a</w:t>
      </w:r>
      <w:r w:rsidR="005A1247">
        <w:rPr>
          <w:bCs/>
        </w:rPr>
        <w:t> </w:t>
      </w:r>
      <w:r w:rsidRPr="00E51E6F">
        <w:rPr>
          <w:bCs/>
        </w:rPr>
        <w:t xml:space="preserve">biometanu do plynárenské sítě. </w:t>
      </w:r>
    </w:p>
    <w:p w14:paraId="22D3CBA0" w14:textId="21425AD7" w:rsidR="00A0449C" w:rsidRDefault="00A0449C" w:rsidP="009A3B7E">
      <w:pPr>
        <w:jc w:val="both"/>
        <w:rPr>
          <w:bCs/>
          <w:color w:val="000000"/>
        </w:rPr>
      </w:pPr>
      <w:r w:rsidRPr="00E51E6F">
        <w:rPr>
          <w:bCs/>
          <w:color w:val="000000"/>
        </w:rPr>
        <w:t xml:space="preserve">Pro dosažení požadované produkce </w:t>
      </w:r>
      <w:r>
        <w:rPr>
          <w:bCs/>
          <w:color w:val="000000"/>
        </w:rPr>
        <w:t>biometan</w:t>
      </w:r>
      <w:r w:rsidRPr="00E51E6F">
        <w:rPr>
          <w:bCs/>
          <w:color w:val="000000"/>
        </w:rPr>
        <w:t>u v</w:t>
      </w:r>
      <w:r w:rsidR="005A1247">
        <w:rPr>
          <w:bCs/>
          <w:color w:val="000000"/>
        </w:rPr>
        <w:t> </w:t>
      </w:r>
      <w:r w:rsidRPr="00E51E6F">
        <w:rPr>
          <w:bCs/>
          <w:color w:val="000000"/>
        </w:rPr>
        <w:t xml:space="preserve">České republice, je důležité, aby provozní podpora na produkci </w:t>
      </w:r>
      <w:r>
        <w:rPr>
          <w:bCs/>
          <w:color w:val="000000"/>
        </w:rPr>
        <w:t>biometan</w:t>
      </w:r>
      <w:r w:rsidRPr="00E51E6F">
        <w:rPr>
          <w:bCs/>
          <w:color w:val="000000"/>
        </w:rPr>
        <w:t xml:space="preserve">u byla umožněna všem výrobnám </w:t>
      </w:r>
      <w:r>
        <w:rPr>
          <w:bCs/>
          <w:color w:val="000000"/>
        </w:rPr>
        <w:t>biometan</w:t>
      </w:r>
      <w:r w:rsidRPr="00E51E6F">
        <w:rPr>
          <w:bCs/>
          <w:color w:val="000000"/>
        </w:rPr>
        <w:t>u, u</w:t>
      </w:r>
      <w:r w:rsidR="005A1247">
        <w:rPr>
          <w:bCs/>
          <w:color w:val="000000"/>
        </w:rPr>
        <w:t> </w:t>
      </w:r>
      <w:r w:rsidRPr="00E51E6F">
        <w:rPr>
          <w:bCs/>
          <w:color w:val="000000"/>
        </w:rPr>
        <w:t>kterých lze prokázat jeho využití v</w:t>
      </w:r>
      <w:r w:rsidR="005A1247">
        <w:rPr>
          <w:bCs/>
          <w:color w:val="000000"/>
        </w:rPr>
        <w:t> </w:t>
      </w:r>
      <w:r w:rsidRPr="00E51E6F">
        <w:rPr>
          <w:bCs/>
          <w:color w:val="000000"/>
        </w:rPr>
        <w:t>dopravě. Strategicky vhodné je zaměřit se na všechny druhy bioplynových stanic, resp. umožnit konverzi všech druhů bioplynových stanic.</w:t>
      </w:r>
    </w:p>
    <w:p w14:paraId="323772BF" w14:textId="4C55088B" w:rsidR="00F32F9F" w:rsidRDefault="00A0449C" w:rsidP="009A3B7E">
      <w:pPr>
        <w:jc w:val="both"/>
        <w:rPr>
          <w:bCs/>
          <w:color w:val="000000"/>
        </w:rPr>
      </w:pPr>
      <w:r w:rsidRPr="00E51E6F">
        <w:rPr>
          <w:bCs/>
          <w:color w:val="000000"/>
        </w:rPr>
        <w:t xml:space="preserve">Bylo by rovněž účinné přijmout taková opatření, která budou výrobcům bioplynu umožňovat konverzi na </w:t>
      </w:r>
      <w:r>
        <w:rPr>
          <w:bCs/>
          <w:color w:val="000000"/>
        </w:rPr>
        <w:t>biometan</w:t>
      </w:r>
      <w:r w:rsidRPr="00E51E6F">
        <w:rPr>
          <w:bCs/>
          <w:color w:val="000000"/>
        </w:rPr>
        <w:t xml:space="preserve"> i</w:t>
      </w:r>
      <w:r w:rsidR="005A1247">
        <w:rPr>
          <w:bCs/>
          <w:color w:val="000000"/>
        </w:rPr>
        <w:t> </w:t>
      </w:r>
      <w:r w:rsidRPr="00E51E6F">
        <w:rPr>
          <w:bCs/>
          <w:color w:val="000000"/>
        </w:rPr>
        <w:t>před ukončením stávající podpory, a</w:t>
      </w:r>
      <w:r w:rsidR="005A1247">
        <w:rPr>
          <w:bCs/>
          <w:color w:val="000000"/>
        </w:rPr>
        <w:t> </w:t>
      </w:r>
      <w:r w:rsidRPr="00E51E6F">
        <w:rPr>
          <w:bCs/>
          <w:color w:val="000000"/>
        </w:rPr>
        <w:t>to za obdobných (nikoli výrazně horších) ekonomických podmínek.</w:t>
      </w:r>
    </w:p>
    <w:p w14:paraId="1439D704" w14:textId="23623817" w:rsidR="00A0449C" w:rsidRDefault="00A0449C" w:rsidP="009A3B7E">
      <w:pPr>
        <w:pStyle w:val="Nadpis3"/>
        <w:jc w:val="both"/>
      </w:pPr>
      <w:r>
        <w:t xml:space="preserve">Vytváření podmínek pro lepší vnímání </w:t>
      </w:r>
      <w:r w:rsidR="00EB5DB8">
        <w:t xml:space="preserve">zemního plynu coby </w:t>
      </w:r>
      <w:r>
        <w:t>alternativníh</w:t>
      </w:r>
      <w:r w:rsidR="00EB5DB8">
        <w:t>o</w:t>
      </w:r>
      <w:r>
        <w:t xml:space="preserve"> paliv</w:t>
      </w:r>
      <w:r w:rsidR="00EB5DB8">
        <w:t>a</w:t>
      </w:r>
      <w:r>
        <w:t xml:space="preserve"> na straně potenciálních zákazníků a</w:t>
      </w:r>
      <w:r w:rsidR="005A1247">
        <w:t> </w:t>
      </w:r>
      <w:r>
        <w:t>podmínek pro rozvoj vozového parku</w:t>
      </w:r>
    </w:p>
    <w:p w14:paraId="09FA6ED3" w14:textId="48138D6D" w:rsidR="00A0449C" w:rsidRDefault="00A0449C" w:rsidP="009A3B7E">
      <w:pPr>
        <w:jc w:val="both"/>
      </w:pPr>
      <w:r>
        <w:t>Je třeba usilovat o</w:t>
      </w:r>
      <w:r w:rsidR="005A1247">
        <w:t> </w:t>
      </w:r>
      <w:r>
        <w:t xml:space="preserve">odstranění všech bariér, které působí negativně při vnímání alternativních paliv veřejností. Konkrétním případem může být například nediskriminační garážování vozidel </w:t>
      </w:r>
      <w:r>
        <w:lastRenderedPageBreak/>
        <w:t>na CNG ve veřejných garážích</w:t>
      </w:r>
      <w:r w:rsidR="00776C90">
        <w:t xml:space="preserve"> ať už formou úpravy legislativy v</w:t>
      </w:r>
      <w:r w:rsidR="005A1247">
        <w:t> </w:t>
      </w:r>
      <w:r w:rsidR="00776C90">
        <w:t>případě nově budovaných garáží nebo prostřednictvím podpory v</w:t>
      </w:r>
      <w:r w:rsidR="005A1247">
        <w:t> </w:t>
      </w:r>
      <w:r w:rsidR="00776C90">
        <w:t>případě existujících garáží</w:t>
      </w:r>
      <w:r>
        <w:t>.</w:t>
      </w:r>
    </w:p>
    <w:p w14:paraId="677A5B3C" w14:textId="280C8165" w:rsidR="00F32F9F" w:rsidRPr="00E51E6F" w:rsidRDefault="00F32F9F" w:rsidP="009A3B7E">
      <w:pPr>
        <w:jc w:val="both"/>
      </w:pPr>
      <w:r w:rsidRPr="00E51E6F">
        <w:t>Aktualizace Národního akčního plánu čisté mobility má za cíl podporovat rozvoj vozidel na alternativní paliva při zachování principu technologické neutrality napříč alternativními palivy. Pokud má být zemní plyn širší veřejností, a</w:t>
      </w:r>
      <w:r w:rsidR="005A1247">
        <w:t> </w:t>
      </w:r>
      <w:r w:rsidRPr="00E51E6F">
        <w:t>tudíž potenciálními zákazníky</w:t>
      </w:r>
      <w:r w:rsidR="006564D5">
        <w:t>,</w:t>
      </w:r>
      <w:r w:rsidRPr="00E51E6F">
        <w:t xml:space="preserve"> vnímán jako standardní palivo, je třeba usilovat o</w:t>
      </w:r>
      <w:r w:rsidR="005A1247">
        <w:t> </w:t>
      </w:r>
      <w:r w:rsidRPr="00E51E6F">
        <w:t>odstranění veškerých překážek, které tomuto pohledu brání a</w:t>
      </w:r>
      <w:r w:rsidR="005A1247">
        <w:t> </w:t>
      </w:r>
      <w:r w:rsidRPr="00E51E6F">
        <w:t>současně dále posilovat informovanost potenciálních zákazníků ohledně výhod využívání vozidel na plyn. Nemělo by proto docháze</w:t>
      </w:r>
      <w:r>
        <w:t>t</w:t>
      </w:r>
      <w:r w:rsidRPr="00E51E6F">
        <w:t xml:space="preserve"> ke znevýhodňování jednoho druhu alternativního paliva oproti ostatním. </w:t>
      </w:r>
    </w:p>
    <w:p w14:paraId="5C0AEAAE" w14:textId="2E98DD9C" w:rsidR="00F32F9F" w:rsidRDefault="00F32F9F" w:rsidP="009A3B7E">
      <w:pPr>
        <w:jc w:val="both"/>
      </w:pPr>
      <w:r w:rsidRPr="00E51E6F">
        <w:t>Přetrvávající</w:t>
      </w:r>
      <w:r w:rsidR="00212E29">
        <w:t>m</w:t>
      </w:r>
      <w:r w:rsidRPr="00E51E6F">
        <w:t xml:space="preserve"> </w:t>
      </w:r>
      <w:r w:rsidR="00212E29">
        <w:t>problémem</w:t>
      </w:r>
      <w:r w:rsidRPr="00E51E6F">
        <w:t xml:space="preserve"> pro rozvoj vozidel na CNG představuje legislativ</w:t>
      </w:r>
      <w:r w:rsidR="00D11210">
        <w:t>n</w:t>
      </w:r>
      <w:r w:rsidRPr="00E51E6F">
        <w:t xml:space="preserve">ě zakotvený požadavek </w:t>
      </w:r>
      <w:r w:rsidR="00212E29">
        <w:t>na zajištění odpovídající bezpečnostní úrovně z</w:t>
      </w:r>
      <w:r w:rsidR="005A1247">
        <w:t> </w:t>
      </w:r>
      <w:r w:rsidR="00212E29">
        <w:t xml:space="preserve">hlediska požární ochrany </w:t>
      </w:r>
      <w:r w:rsidRPr="00E51E6F">
        <w:t>ze současného znění vyhlášky MV č. 268/2011 o</w:t>
      </w:r>
      <w:r w:rsidR="005A1247">
        <w:t> </w:t>
      </w:r>
      <w:r w:rsidRPr="00E51E6F">
        <w:t xml:space="preserve">technických podmínkách požární ochrany staveb, který odkazuje na ČSN 73 6058. </w:t>
      </w:r>
      <w:r w:rsidR="006564D5">
        <w:t>Pro j</w:t>
      </w:r>
      <w:r w:rsidRPr="00E51E6F">
        <w:t>ednotlivé, řadové a</w:t>
      </w:r>
      <w:r w:rsidR="005A1247">
        <w:t> </w:t>
      </w:r>
      <w:r w:rsidRPr="00E51E6F">
        <w:t>hromadné garáže předepisuj</w:t>
      </w:r>
      <w:r w:rsidR="006564D5">
        <w:t>e</w:t>
      </w:r>
      <w:r w:rsidRPr="00E51E6F">
        <w:t xml:space="preserve"> vybavení garáží tak, jako by CNG vozidla vnášela do garáží vyšší požární riziko než benzínová vozidla. Proto řada provozovatelů hromadných garáží v</w:t>
      </w:r>
      <w:r w:rsidR="005A1247">
        <w:t> </w:t>
      </w:r>
      <w:r w:rsidRPr="00E51E6F">
        <w:t>ČR raději osazuje vjezd garáží dopravní značkou se zákazem vjezdu pro CNG vozidla. Nediskriminační garážování vozidel na CNG ve veřejných hromadných garážích je jedním z</w:t>
      </w:r>
      <w:r w:rsidR="005A1247">
        <w:t> </w:t>
      </w:r>
      <w:r w:rsidRPr="00E51E6F">
        <w:t>dílčích cílů komplexního řešení otázky zajištění bezpečnosti garážování vozidel všech dostupných paliv. Neodstranění této bariéry bude i</w:t>
      </w:r>
      <w:r w:rsidR="005A1247">
        <w:t> </w:t>
      </w:r>
      <w:r w:rsidRPr="00E51E6F">
        <w:t>nadále negativně ovlivňovat vnímání veřejnosti a</w:t>
      </w:r>
      <w:r w:rsidR="005A1247">
        <w:t> </w:t>
      </w:r>
      <w:r w:rsidRPr="00E51E6F">
        <w:t>bude mít citelný dopad na růst počtu vozidel s</w:t>
      </w:r>
      <w:r w:rsidR="005A1247">
        <w:t> </w:t>
      </w:r>
      <w:r w:rsidRPr="00E51E6F">
        <w:t>tímto alternativním pohonem, než se kterým počítají výše uvedené predikce rozvoje trhu vozidel na CNG. Současný stav je proto zcela nežádoucí. Tento strategický cíl zcela pokrývá oblast jak nově budovaných tak i</w:t>
      </w:r>
      <w:r w:rsidR="005A1247">
        <w:t> </w:t>
      </w:r>
      <w:r w:rsidRPr="00E51E6F">
        <w:t>existujících hromadných garáží a</w:t>
      </w:r>
      <w:r w:rsidR="005A1247">
        <w:t> </w:t>
      </w:r>
      <w:r w:rsidRPr="00E51E6F">
        <w:t>vyžaduje úpravu příslušné legislativy</w:t>
      </w:r>
      <w:r w:rsidR="004406CE">
        <w:t>,</w:t>
      </w:r>
      <w:r w:rsidRPr="00E51E6F">
        <w:t xml:space="preserve"> případně vytvoření podpůrných programů na technologická řešení, která vybavení </w:t>
      </w:r>
      <w:r w:rsidR="00C95BB1">
        <w:t>či</w:t>
      </w:r>
      <w:r w:rsidRPr="00E51E6F">
        <w:t xml:space="preserve"> dovybavení garáží usnadní.</w:t>
      </w:r>
    </w:p>
    <w:p w14:paraId="29DA05E8" w14:textId="77777777" w:rsidR="006F3602" w:rsidRDefault="006F3602" w:rsidP="009A3B7E">
      <w:pPr>
        <w:pStyle w:val="Nadpis2"/>
        <w:jc w:val="both"/>
      </w:pPr>
      <w:bookmarkStart w:id="42" w:name="_Toc34387141"/>
      <w:r>
        <w:t>Klíčová opatření pro plnění cílů</w:t>
      </w:r>
      <w:bookmarkEnd w:id="42"/>
    </w:p>
    <w:p w14:paraId="2C214FF4" w14:textId="77777777" w:rsidR="007C5FE8" w:rsidRDefault="007C5FE8" w:rsidP="009A3B7E">
      <w:pPr>
        <w:jc w:val="both"/>
      </w:pPr>
      <w:r w:rsidRPr="00984178">
        <w:t xml:space="preserve">Mezi </w:t>
      </w:r>
      <w:r>
        <w:t xml:space="preserve">vybraná </w:t>
      </w:r>
      <w:r w:rsidRPr="00984178">
        <w:t>klíčová opatření pro plnění cílů lze považovat následující</w:t>
      </w:r>
      <w:r w:rsidRPr="0052396B">
        <w:t xml:space="preserve"> </w:t>
      </w:r>
      <w:r>
        <w:t>opatření:</w:t>
      </w:r>
    </w:p>
    <w:p w14:paraId="1504FFBC" w14:textId="77777777" w:rsidR="0034311C" w:rsidRDefault="0034311C" w:rsidP="009A3B7E">
      <w:pPr>
        <w:pStyle w:val="Odrka1"/>
        <w:jc w:val="both"/>
      </w:pPr>
      <w:r w:rsidRPr="00457CC4">
        <w:t>Právní/legislativní</w:t>
      </w:r>
    </w:p>
    <w:p w14:paraId="7BD39CB2" w14:textId="70A6C8CE" w:rsidR="0034311C" w:rsidRDefault="0034311C" w:rsidP="009A3B7E">
      <w:pPr>
        <w:pStyle w:val="Odrka2"/>
        <w:jc w:val="both"/>
      </w:pPr>
      <w:r>
        <w:t>Odstranění bariér v</w:t>
      </w:r>
      <w:r w:rsidR="005A1247">
        <w:t> </w:t>
      </w:r>
      <w:r>
        <w:t>oblasti servisu vozidel na LNG a</w:t>
      </w:r>
      <w:r w:rsidR="005A1247">
        <w:t> </w:t>
      </w:r>
      <w:r>
        <w:t>vodík</w:t>
      </w:r>
    </w:p>
    <w:p w14:paraId="028741D7" w14:textId="49969DAC" w:rsidR="009A2782" w:rsidRDefault="009A2782" w:rsidP="009A2782">
      <w:pPr>
        <w:pStyle w:val="Odrka2"/>
      </w:pPr>
      <w:r w:rsidRPr="009A2782">
        <w:t>Odstranění bariér v</w:t>
      </w:r>
      <w:r w:rsidR="005A1247">
        <w:t> </w:t>
      </w:r>
      <w:r w:rsidRPr="009A2782">
        <w:t>oblasti garážování vozidel na zemní plyn</w:t>
      </w:r>
    </w:p>
    <w:p w14:paraId="002F4ADC" w14:textId="7CFC8B90" w:rsidR="0034311C" w:rsidRDefault="00272A4E" w:rsidP="009A3B7E">
      <w:pPr>
        <w:pStyle w:val="Odrka2"/>
        <w:jc w:val="both"/>
      </w:pPr>
      <w:r>
        <w:t>I</w:t>
      </w:r>
      <w:r w:rsidR="0034311C">
        <w:t>mplementace směrnice EU o</w:t>
      </w:r>
      <w:r w:rsidR="005A1247">
        <w:t> </w:t>
      </w:r>
      <w:r w:rsidR="0034311C">
        <w:t>čistých a</w:t>
      </w:r>
      <w:r w:rsidR="005A1247">
        <w:t> </w:t>
      </w:r>
      <w:r w:rsidR="0034311C">
        <w:t>energeticky účinných vozidlech</w:t>
      </w:r>
    </w:p>
    <w:p w14:paraId="31578681" w14:textId="63795626" w:rsidR="0034311C" w:rsidRDefault="00272A4E" w:rsidP="009A3B7E">
      <w:pPr>
        <w:pStyle w:val="Odrka2"/>
        <w:jc w:val="both"/>
      </w:pPr>
      <w:r>
        <w:t>I</w:t>
      </w:r>
      <w:r w:rsidR="0034311C">
        <w:t>mplementace směrnice EU o</w:t>
      </w:r>
      <w:r w:rsidR="005A1247">
        <w:t> </w:t>
      </w:r>
      <w:r w:rsidR="0034311C">
        <w:t xml:space="preserve">energetické </w:t>
      </w:r>
      <w:r>
        <w:t>náročnosti</w:t>
      </w:r>
      <w:r w:rsidR="0034311C">
        <w:t xml:space="preserve"> budov</w:t>
      </w:r>
    </w:p>
    <w:p w14:paraId="05CFDFA1" w14:textId="0BEFFD7A" w:rsidR="0034311C" w:rsidRDefault="0034311C" w:rsidP="009A3B7E">
      <w:pPr>
        <w:pStyle w:val="Odrka2"/>
        <w:jc w:val="both"/>
      </w:pPr>
      <w:r>
        <w:t>Zohlednění potřeb infrastruktury alternativních paliv v</w:t>
      </w:r>
      <w:r w:rsidR="005A1247">
        <w:t> </w:t>
      </w:r>
      <w:r>
        <w:t>rámci Koncepce dálničních odpočívek</w:t>
      </w:r>
    </w:p>
    <w:p w14:paraId="12C2E068" w14:textId="5F6971D5" w:rsidR="00C779C7" w:rsidRDefault="00C779C7" w:rsidP="00C779C7">
      <w:pPr>
        <w:pStyle w:val="Odrka2"/>
      </w:pPr>
      <w:r>
        <w:t>Uvolnění limitu stáří v</w:t>
      </w:r>
      <w:r w:rsidR="005A1247">
        <w:t> </w:t>
      </w:r>
      <w:r>
        <w:t>nařízení vlády 63/2011 pro bezemisní vozidla</w:t>
      </w:r>
    </w:p>
    <w:p w14:paraId="5927C31B" w14:textId="46025B4D" w:rsidR="00C779C7" w:rsidRDefault="00C779C7" w:rsidP="00C779C7">
      <w:pPr>
        <w:pStyle w:val="Odrka2"/>
      </w:pPr>
      <w:r>
        <w:t>Sjednocení a</w:t>
      </w:r>
      <w:r w:rsidR="005A1247">
        <w:t> </w:t>
      </w:r>
      <w:r>
        <w:t>zjednodušení procesu schvalování výstavby infrastruktury dobíjecích a</w:t>
      </w:r>
      <w:r w:rsidR="005A1247">
        <w:t> </w:t>
      </w:r>
      <w:r>
        <w:t>plnicích stanic CNG/LNG</w:t>
      </w:r>
    </w:p>
    <w:p w14:paraId="6574CE07" w14:textId="77777777" w:rsidR="0034311C" w:rsidRDefault="0034311C" w:rsidP="002A418E">
      <w:pPr>
        <w:pStyle w:val="Odrka2"/>
        <w:jc w:val="both"/>
      </w:pPr>
      <w:r>
        <w:t xml:space="preserve">Zjednodušení podmínek připojení výroben biometanu do plynárenské sítě </w:t>
      </w:r>
    </w:p>
    <w:p w14:paraId="4D10DFF9" w14:textId="2CFE9903" w:rsidR="0034311C" w:rsidRDefault="0034311C" w:rsidP="009A3B7E">
      <w:pPr>
        <w:pStyle w:val="Odrka1"/>
        <w:jc w:val="both"/>
      </w:pPr>
      <w:r w:rsidRPr="00457CC4">
        <w:t>Přímé pobídky k</w:t>
      </w:r>
      <w:r w:rsidR="005A1247">
        <w:t> </w:t>
      </w:r>
      <w:r w:rsidRPr="00457CC4">
        <w:t>nákupu vozidel</w:t>
      </w:r>
    </w:p>
    <w:p w14:paraId="50C260A9" w14:textId="55656FF7" w:rsidR="009C2B07" w:rsidRDefault="0034311C" w:rsidP="009C2B07">
      <w:pPr>
        <w:pStyle w:val="Odrka2"/>
      </w:pPr>
      <w:r>
        <w:t>Pořizování vozidel na alternativní paliva do flotil komunálních podniků provozujících vozidla svozu komunálního odpadu</w:t>
      </w:r>
      <w:r w:rsidR="009C2B07" w:rsidRPr="009C2B07">
        <w:t xml:space="preserve"> a</w:t>
      </w:r>
      <w:r w:rsidR="005A1247">
        <w:t> </w:t>
      </w:r>
      <w:r w:rsidR="009C2B07" w:rsidRPr="009C2B07">
        <w:t>obdobné činnosti při správě veřejného prostoru</w:t>
      </w:r>
    </w:p>
    <w:p w14:paraId="1B6D2FD9" w14:textId="77777777" w:rsidR="0034311C" w:rsidRDefault="0034311C" w:rsidP="007E541C">
      <w:pPr>
        <w:pStyle w:val="Odrka2"/>
        <w:numPr>
          <w:ilvl w:val="0"/>
          <w:numId w:val="0"/>
        </w:numPr>
        <w:ind w:left="567"/>
        <w:jc w:val="both"/>
      </w:pPr>
    </w:p>
    <w:p w14:paraId="46D149E2" w14:textId="26B8BF47" w:rsidR="0034311C" w:rsidRDefault="0034311C" w:rsidP="009A3B7E">
      <w:pPr>
        <w:pStyle w:val="Odrka2"/>
        <w:jc w:val="both"/>
      </w:pPr>
      <w:r>
        <w:lastRenderedPageBreak/>
        <w:t>Podpora pořízení vozidel na alternativní paliva do flotil dopravních podniků a</w:t>
      </w:r>
      <w:r w:rsidR="005A1247">
        <w:t> </w:t>
      </w:r>
      <w:r>
        <w:t xml:space="preserve">do flotil dopravců zajišťujících </w:t>
      </w:r>
      <w:r w:rsidR="00C779C7">
        <w:t>veřejnou dopravu</w:t>
      </w:r>
      <w:r>
        <w:t xml:space="preserve"> </w:t>
      </w:r>
    </w:p>
    <w:p w14:paraId="660C49D4" w14:textId="77777777" w:rsidR="0034311C" w:rsidRDefault="0034311C" w:rsidP="009A3B7E">
      <w:pPr>
        <w:pStyle w:val="Odrka2"/>
        <w:jc w:val="both"/>
      </w:pPr>
      <w:r>
        <w:t>Podpora nákupu vozidla na alternativní paliva pro podnikatele (pro účely podnikání)</w:t>
      </w:r>
    </w:p>
    <w:p w14:paraId="007924FC" w14:textId="5BA14C50" w:rsidR="0034311C" w:rsidRDefault="0034311C" w:rsidP="009A3B7E">
      <w:pPr>
        <w:pStyle w:val="Odrka2"/>
        <w:jc w:val="both"/>
      </w:pPr>
      <w:r>
        <w:t>Podpora na pořízení vozidla s</w:t>
      </w:r>
      <w:r w:rsidR="005A1247">
        <w:t> </w:t>
      </w:r>
      <w:r>
        <w:t>alternativním pohonem pro subjekty státní správy a</w:t>
      </w:r>
      <w:r w:rsidR="005A1247">
        <w:t> </w:t>
      </w:r>
      <w:r>
        <w:t>samosprávy a</w:t>
      </w:r>
      <w:r w:rsidR="005A1247">
        <w:t> </w:t>
      </w:r>
      <w:r>
        <w:t>jimi zřízené organizace</w:t>
      </w:r>
    </w:p>
    <w:p w14:paraId="4D704349" w14:textId="5E04963A" w:rsidR="0065516A" w:rsidRDefault="0065516A" w:rsidP="009A3B7E">
      <w:pPr>
        <w:pStyle w:val="Odrka2"/>
        <w:jc w:val="both"/>
      </w:pPr>
      <w:r w:rsidRPr="00823214">
        <w:rPr>
          <w:szCs w:val="22"/>
        </w:rPr>
        <w:t>Podpora nákupu osobních vozidel šetrných k</w:t>
      </w:r>
      <w:r w:rsidR="005A1247">
        <w:rPr>
          <w:szCs w:val="22"/>
        </w:rPr>
        <w:t> </w:t>
      </w:r>
      <w:r w:rsidRPr="00823214">
        <w:rPr>
          <w:szCs w:val="22"/>
        </w:rPr>
        <w:t>životnímu prostředí</w:t>
      </w:r>
    </w:p>
    <w:p w14:paraId="428C784A" w14:textId="77777777" w:rsidR="0034311C" w:rsidRDefault="0034311C" w:rsidP="009A3B7E">
      <w:pPr>
        <w:pStyle w:val="Odrka2"/>
        <w:jc w:val="both"/>
      </w:pPr>
      <w:r>
        <w:t xml:space="preserve">Podpora pořizování nákladních vozidel </w:t>
      </w:r>
      <w:r w:rsidR="00644BC7">
        <w:t xml:space="preserve">- </w:t>
      </w:r>
      <w:r>
        <w:t xml:space="preserve">vodík, LNG, elektro </w:t>
      </w:r>
    </w:p>
    <w:p w14:paraId="21EF9730" w14:textId="77777777" w:rsidR="0034311C" w:rsidRDefault="0034311C" w:rsidP="009A3B7E">
      <w:pPr>
        <w:pStyle w:val="Odrka2"/>
        <w:jc w:val="both"/>
      </w:pPr>
      <w:r>
        <w:t xml:space="preserve">Podpora rozvoje čisté mobility ve vnitrozemské vodní dopravě </w:t>
      </w:r>
    </w:p>
    <w:p w14:paraId="7F87C561" w14:textId="43F61762" w:rsidR="0034311C" w:rsidRDefault="0034311C" w:rsidP="009A3B7E">
      <w:pPr>
        <w:pStyle w:val="Odrka2"/>
        <w:jc w:val="both"/>
      </w:pPr>
      <w:r>
        <w:t>Analýza potenciálu výroby bioLPG a</w:t>
      </w:r>
      <w:r w:rsidR="005A1247">
        <w:t> </w:t>
      </w:r>
      <w:r>
        <w:t>syntetických paliv</w:t>
      </w:r>
    </w:p>
    <w:p w14:paraId="16AC1C3E" w14:textId="0E5590E1" w:rsidR="004347B9" w:rsidRDefault="004347B9" w:rsidP="00571C45">
      <w:pPr>
        <w:pStyle w:val="Odrka2"/>
        <w:jc w:val="both"/>
      </w:pPr>
      <w:r>
        <w:t xml:space="preserve">Nulová sazba </w:t>
      </w:r>
      <w:r w:rsidR="00F164D9">
        <w:t xml:space="preserve">složky mýtného </w:t>
      </w:r>
      <w:r>
        <w:t>za znečištění pro nízkoemisní vozidla (včetně vozidel na zemní plyn) </w:t>
      </w:r>
    </w:p>
    <w:p w14:paraId="63C42FB1" w14:textId="4017842B" w:rsidR="0034311C" w:rsidRDefault="0034311C" w:rsidP="009A3B7E">
      <w:pPr>
        <w:pStyle w:val="Odrka1"/>
        <w:jc w:val="both"/>
      </w:pPr>
      <w:r w:rsidRPr="00457CC4">
        <w:t>Přímé pobídky k</w:t>
      </w:r>
      <w:r w:rsidR="005A1247">
        <w:t> </w:t>
      </w:r>
      <w:r w:rsidRPr="00457CC4">
        <w:t>budování infrastruktury pro alternativní paliva</w:t>
      </w:r>
    </w:p>
    <w:p w14:paraId="786689D7" w14:textId="77777777" w:rsidR="0034311C" w:rsidRDefault="0034311C" w:rsidP="009A3B7E">
      <w:pPr>
        <w:pStyle w:val="Odrka2"/>
        <w:jc w:val="both"/>
      </w:pPr>
      <w:r>
        <w:t>Podpora budování veřejné infrastruktury pro vozidla na alternativní paliva (LNG, elektro, vodík)</w:t>
      </w:r>
    </w:p>
    <w:p w14:paraId="05E51D80" w14:textId="1953B621" w:rsidR="00BE63BC" w:rsidRDefault="00BE63BC" w:rsidP="00BE63BC">
      <w:pPr>
        <w:pStyle w:val="Odrka2"/>
      </w:pPr>
      <w:r w:rsidRPr="00BE63BC">
        <w:t>Podpora výstavby zkapalňovacích stanic na LNG</w:t>
      </w:r>
    </w:p>
    <w:p w14:paraId="10C2F691" w14:textId="22250EC1" w:rsidR="0034311C" w:rsidRDefault="0034311C" w:rsidP="009A3B7E">
      <w:pPr>
        <w:pStyle w:val="Odrka2"/>
        <w:jc w:val="both"/>
      </w:pPr>
    </w:p>
    <w:p w14:paraId="2279DD16" w14:textId="77777777" w:rsidR="0034311C" w:rsidRDefault="0034311C" w:rsidP="009A3B7E">
      <w:pPr>
        <w:pStyle w:val="Odrka2"/>
        <w:jc w:val="both"/>
      </w:pPr>
      <w:r>
        <w:t>Podpora rozvoje infrastruktury pro alternativní paliva ve vnitrozemské vodní dopravě</w:t>
      </w:r>
    </w:p>
    <w:p w14:paraId="3823689D" w14:textId="77777777" w:rsidR="00587983" w:rsidRDefault="00587983" w:rsidP="00587983">
      <w:pPr>
        <w:pStyle w:val="Odrka2"/>
      </w:pPr>
      <w:r w:rsidRPr="006A447D">
        <w:t>Podpora budování neveřejné dobíjecí/plnicí infrastruktury pro veřejnou dopravu</w:t>
      </w:r>
    </w:p>
    <w:p w14:paraId="272C7D03" w14:textId="7A8C13C2" w:rsidR="007B3794" w:rsidRDefault="007B3794" w:rsidP="00587983">
      <w:pPr>
        <w:pStyle w:val="Odrka2"/>
      </w:pPr>
      <w:r>
        <w:t>Podpora budování neveřejných plnících stanic v</w:t>
      </w:r>
      <w:r w:rsidR="005A1247">
        <w:t> </w:t>
      </w:r>
      <w:r>
        <w:t>podnicích</w:t>
      </w:r>
    </w:p>
    <w:p w14:paraId="41711DC9" w14:textId="77777777" w:rsidR="0034311C" w:rsidRDefault="0034311C" w:rsidP="009A3B7E">
      <w:pPr>
        <w:pStyle w:val="Odrka2"/>
        <w:jc w:val="both"/>
      </w:pPr>
      <w:r>
        <w:t>Konverze BPS na výrobny biometanu pro dopravu</w:t>
      </w:r>
    </w:p>
    <w:p w14:paraId="2B907E30" w14:textId="0670E1B9" w:rsidR="0034311C" w:rsidRDefault="0034311C" w:rsidP="009A3B7E">
      <w:pPr>
        <w:jc w:val="both"/>
      </w:pPr>
      <w:r>
        <w:t>Další oblasti v</w:t>
      </w:r>
      <w:r w:rsidR="005A1247">
        <w:t> </w:t>
      </w:r>
      <w:r>
        <w:t>rámci jednotlivých kategorií opatření</w:t>
      </w:r>
    </w:p>
    <w:p w14:paraId="6145CCEE" w14:textId="77777777" w:rsidR="0034311C" w:rsidRPr="00457CC4" w:rsidRDefault="0034311C" w:rsidP="009A3B7E">
      <w:pPr>
        <w:pStyle w:val="Odrka1"/>
        <w:jc w:val="both"/>
      </w:pPr>
      <w:r w:rsidRPr="00457CC4">
        <w:t xml:space="preserve">Nefinanční pobídky na straně poptávky </w:t>
      </w:r>
    </w:p>
    <w:p w14:paraId="4DD3A9F7" w14:textId="3A688998" w:rsidR="0034311C" w:rsidRPr="00457CC4" w:rsidRDefault="0034311C" w:rsidP="009A3B7E">
      <w:pPr>
        <w:pStyle w:val="Odrka1"/>
        <w:jc w:val="both"/>
      </w:pPr>
      <w:r w:rsidRPr="00457CC4">
        <w:t>Výzkum, technologický rozvoj a</w:t>
      </w:r>
      <w:r w:rsidR="005A1247">
        <w:t> </w:t>
      </w:r>
      <w:r w:rsidRPr="00457CC4">
        <w:t xml:space="preserve">demonstrace </w:t>
      </w:r>
    </w:p>
    <w:p w14:paraId="4C2C4AF6" w14:textId="77777777" w:rsidR="0034311C" w:rsidRPr="00457CC4" w:rsidRDefault="0034311C" w:rsidP="009A3B7E">
      <w:pPr>
        <w:pStyle w:val="Odrka1"/>
        <w:jc w:val="both"/>
      </w:pPr>
      <w:r w:rsidRPr="00457CC4">
        <w:t xml:space="preserve">Ostatní opatření </w:t>
      </w:r>
    </w:p>
    <w:p w14:paraId="5A449E3A" w14:textId="77777777" w:rsidR="0034311C" w:rsidRDefault="0034311C" w:rsidP="009A3B7E">
      <w:pPr>
        <w:pStyle w:val="Odrka1"/>
        <w:jc w:val="both"/>
      </w:pPr>
      <w:r w:rsidRPr="00457CC4">
        <w:t>Opatření širšího rázu pro zlepšení struktury vozového parku</w:t>
      </w:r>
    </w:p>
    <w:p w14:paraId="1576EF44" w14:textId="015E5C48" w:rsidR="0034311C" w:rsidRPr="00FD7A23" w:rsidRDefault="0034311C" w:rsidP="009A3B7E">
      <w:pPr>
        <w:jc w:val="both"/>
      </w:pPr>
      <w:r>
        <w:t>jsou uvedeny</w:t>
      </w:r>
      <w:r w:rsidRPr="00FD7A23">
        <w:t xml:space="preserve"> v</w:t>
      </w:r>
      <w:r w:rsidR="005A1247">
        <w:t> </w:t>
      </w:r>
      <w:r w:rsidRPr="00FD7A23">
        <w:t xml:space="preserve">Kapitole </w:t>
      </w:r>
      <w:r w:rsidRPr="00FD7A23">
        <w:fldChar w:fldCharType="begin"/>
      </w:r>
      <w:r w:rsidRPr="00FD7A23">
        <w:instrText xml:space="preserve"> REF _Ref21001662 \r \h </w:instrText>
      </w:r>
      <w:r>
        <w:instrText xml:space="preserve"> \* MERGEFORMAT </w:instrText>
      </w:r>
      <w:r w:rsidRPr="00FD7A23">
        <w:fldChar w:fldCharType="separate"/>
      </w:r>
      <w:r w:rsidR="00D944E5">
        <w:t>8</w:t>
      </w:r>
      <w:r w:rsidRPr="00FD7A23">
        <w:fldChar w:fldCharType="end"/>
      </w:r>
      <w:r w:rsidRPr="00FD7A23">
        <w:t>.</w:t>
      </w:r>
    </w:p>
    <w:p w14:paraId="0EC5AF2A" w14:textId="77777777" w:rsidR="0007313B" w:rsidRDefault="0007313B" w:rsidP="009A3B7E">
      <w:pPr>
        <w:jc w:val="both"/>
      </w:pPr>
    </w:p>
    <w:p w14:paraId="50DD9F38" w14:textId="77777777" w:rsidR="0007313B" w:rsidRDefault="0007313B" w:rsidP="009A3B7E">
      <w:pPr>
        <w:spacing w:before="0" w:after="200" w:line="276" w:lineRule="auto"/>
        <w:jc w:val="both"/>
        <w:rPr>
          <w:rFonts w:cs="Arial"/>
          <w:b/>
          <w:bCs/>
          <w:kern w:val="32"/>
          <w:sz w:val="28"/>
          <w:szCs w:val="32"/>
        </w:rPr>
      </w:pPr>
      <w:r>
        <w:br w:type="page"/>
      </w:r>
    </w:p>
    <w:p w14:paraId="613213B0" w14:textId="4E15D65B" w:rsidR="00A0449C" w:rsidRDefault="00A0449C" w:rsidP="009A3B7E">
      <w:pPr>
        <w:pStyle w:val="Nadpis1"/>
        <w:jc w:val="both"/>
      </w:pPr>
      <w:bookmarkStart w:id="43" w:name="_Ref21597608"/>
      <w:bookmarkStart w:id="44" w:name="_Ref21597927"/>
      <w:bookmarkStart w:id="45" w:name="_Toc34387142"/>
      <w:r>
        <w:lastRenderedPageBreak/>
        <w:t>Vodík</w:t>
      </w:r>
      <w:r w:rsidR="00236D49">
        <w:t>ová elektromobilita v</w:t>
      </w:r>
      <w:r w:rsidR="005A1247">
        <w:t> </w:t>
      </w:r>
      <w:r w:rsidR="00236D49">
        <w:t>silniční dopravě</w:t>
      </w:r>
      <w:bookmarkEnd w:id="43"/>
      <w:bookmarkEnd w:id="44"/>
      <w:bookmarkEnd w:id="45"/>
      <w:r w:rsidR="00236D49">
        <w:t xml:space="preserve"> </w:t>
      </w:r>
    </w:p>
    <w:p w14:paraId="592A39CD" w14:textId="77777777" w:rsidR="00A0449C" w:rsidRPr="00FE2161" w:rsidRDefault="00A0449C" w:rsidP="009A3B7E">
      <w:pPr>
        <w:pStyle w:val="Nadpis2"/>
        <w:jc w:val="both"/>
      </w:pPr>
      <w:bookmarkStart w:id="46" w:name="_Toc34387143"/>
      <w:r w:rsidRPr="00FE2161">
        <w:t>Východiska</w:t>
      </w:r>
      <w:bookmarkEnd w:id="46"/>
    </w:p>
    <w:p w14:paraId="43F858C5" w14:textId="51CACDD1" w:rsidR="00A0449C" w:rsidRDefault="00A0449C" w:rsidP="009A3B7E">
      <w:pPr>
        <w:jc w:val="both"/>
      </w:pPr>
      <w:r>
        <w:t xml:space="preserve">Východiskem kapitoly vodíková </w:t>
      </w:r>
      <w:r w:rsidR="008E1A19">
        <w:t>elektro</w:t>
      </w:r>
      <w:r>
        <w:t>mobilita v</w:t>
      </w:r>
      <w:r w:rsidR="005A1247">
        <w:t> </w:t>
      </w:r>
      <w:r>
        <w:t>rámci aktualizovaného Národního akčního plánu je rekapitulace východisek aktuálního stavu rozvoje vodíkové mobility v</w:t>
      </w:r>
      <w:r w:rsidR="005A1247">
        <w:t> </w:t>
      </w:r>
      <w:r>
        <w:t>ČR respektive aktivit v</w:t>
      </w:r>
      <w:r w:rsidR="005A1247">
        <w:t> </w:t>
      </w:r>
      <w:r>
        <w:t>rámci EU a</w:t>
      </w:r>
      <w:r w:rsidR="005A1247">
        <w:t> </w:t>
      </w:r>
      <w:r>
        <w:t>plnění cílů a</w:t>
      </w:r>
      <w:r w:rsidR="005A1247">
        <w:t> </w:t>
      </w:r>
      <w:r>
        <w:t>opatření předchozí verze NAP CM.</w:t>
      </w:r>
    </w:p>
    <w:p w14:paraId="29725B9A" w14:textId="42C4579D" w:rsidR="00BD4010" w:rsidRDefault="00BD4010" w:rsidP="009A3B7E">
      <w:pPr>
        <w:jc w:val="both"/>
      </w:pPr>
      <w:r>
        <w:t>Kromě informací uvedených v</w:t>
      </w:r>
      <w:r w:rsidR="005A1247">
        <w:t> </w:t>
      </w:r>
      <w:r>
        <w:t xml:space="preserve">této části </w:t>
      </w:r>
      <w:r w:rsidR="00F24F63">
        <w:t xml:space="preserve">dokumentu </w:t>
      </w:r>
      <w:r>
        <w:t>jsou podrobnější informace uvedeny v</w:t>
      </w:r>
      <w:r w:rsidR="005A1247">
        <w:t> </w:t>
      </w:r>
      <w:r>
        <w:t>rámci analytického materiálu</w:t>
      </w:r>
      <w:r w:rsidR="004E6087">
        <w:t>.</w:t>
      </w:r>
      <w:r w:rsidR="008E1A19">
        <w:t xml:space="preserve"> Z</w:t>
      </w:r>
      <w:r w:rsidR="005A1247">
        <w:t> </w:t>
      </w:r>
      <w:r w:rsidR="008E1A19">
        <w:t>této analytické části zejména vyplývá zdůvodnění, proč je v</w:t>
      </w:r>
      <w:r w:rsidR="005A1247">
        <w:t> </w:t>
      </w:r>
      <w:r w:rsidR="008E1A19">
        <w:t>souvislosti s</w:t>
      </w:r>
      <w:r w:rsidR="005A1247">
        <w:t> </w:t>
      </w:r>
      <w:r w:rsidR="008E1A19">
        <w:t>využíváním vodíku v</w:t>
      </w:r>
      <w:r w:rsidR="005A1247">
        <w:t> </w:t>
      </w:r>
      <w:r w:rsidR="008E1A19">
        <w:t>silniční dopravu žádoucí hovořit o</w:t>
      </w:r>
      <w:r w:rsidR="005A1247">
        <w:t> </w:t>
      </w:r>
      <w:r w:rsidR="008E1A19">
        <w:t>„vodíkové elektromobilitě“ a</w:t>
      </w:r>
      <w:r w:rsidR="005A1247">
        <w:t> </w:t>
      </w:r>
      <w:r w:rsidR="008E1A19">
        <w:t xml:space="preserve">proč by se </w:t>
      </w:r>
      <w:r w:rsidR="00F40807">
        <w:t xml:space="preserve">tak </w:t>
      </w:r>
      <w:r w:rsidR="008E1A19">
        <w:t>na vozidla s</w:t>
      </w:r>
      <w:r w:rsidR="005A1247">
        <w:t> </w:t>
      </w:r>
      <w:r w:rsidR="008E1A19">
        <w:t>palivovými články měla vztahovat veškerá existující legislativa platná pro vozidla s</w:t>
      </w:r>
      <w:r w:rsidR="005A1247">
        <w:t> </w:t>
      </w:r>
      <w:r w:rsidR="008E1A19">
        <w:t>elektrickým pohonem, včetně osvobození z</w:t>
      </w:r>
      <w:r w:rsidR="005A1247">
        <w:t> </w:t>
      </w:r>
      <w:r w:rsidR="008E1A19">
        <w:t xml:space="preserve">placení silniční daně.  </w:t>
      </w:r>
    </w:p>
    <w:p w14:paraId="2330FB37" w14:textId="601B7928" w:rsidR="00A0449C" w:rsidRDefault="00A0449C" w:rsidP="009A3B7E">
      <w:pPr>
        <w:jc w:val="both"/>
      </w:pPr>
      <w:r>
        <w:t>V</w:t>
      </w:r>
      <w:r w:rsidR="004E6087">
        <w:t xml:space="preserve"> </w:t>
      </w:r>
      <w:r>
        <w:t>původním NAP CM byl vodíkové mobilitě věnován pouze omezený prostor. Bylo přitom konstatováno, že vodíkový pohon se sice zatím v</w:t>
      </w:r>
      <w:r w:rsidR="005A1247">
        <w:t> </w:t>
      </w:r>
      <w:r>
        <w:t>ČR nachází spíše v</w:t>
      </w:r>
      <w:r w:rsidR="005A1247">
        <w:t> </w:t>
      </w:r>
      <w:r>
        <w:t>demonstrační fázi, celosvětové a</w:t>
      </w:r>
      <w:r w:rsidR="005A1247">
        <w:t> </w:t>
      </w:r>
      <w:r>
        <w:t>celoevropské trendy však ukazují, že by v</w:t>
      </w:r>
      <w:r w:rsidR="005A1247">
        <w:t> </w:t>
      </w:r>
      <w:r>
        <w:t>této oblasti mohlo v</w:t>
      </w:r>
      <w:r w:rsidR="005A1247">
        <w:t> </w:t>
      </w:r>
      <w:r>
        <w:t>příštích 8-10 letech dojít k</w:t>
      </w:r>
      <w:r w:rsidR="005A1247">
        <w:t> </w:t>
      </w:r>
      <w:r>
        <w:t>přechodu do počáteční fáze komercializace. Za strategický cíl v</w:t>
      </w:r>
      <w:r w:rsidR="005A1247">
        <w:t> </w:t>
      </w:r>
      <w:r>
        <w:t>této oblasti bylo označeno nastartování rozvoje vodíkové technologie v</w:t>
      </w:r>
      <w:r w:rsidR="005A1247">
        <w:t> </w:t>
      </w:r>
      <w:r>
        <w:t>dopravě. Byl rovněž stanoven specifický cíl ve vztahu k</w:t>
      </w:r>
      <w:r w:rsidR="005A1247">
        <w:t> </w:t>
      </w:r>
      <w:r>
        <w:t>rozvoji veřejně přístupných vodíkových plnicích stanic pro motorová vozidla do roku 2025. V</w:t>
      </w:r>
      <w:r w:rsidR="005A1247">
        <w:t> </w:t>
      </w:r>
      <w:r>
        <w:t>tomto směru původní NAP CM stanovil, že by do roku 2025 mělo vzniknout minimálně 3-5 vodíkových stanic s</w:t>
      </w:r>
      <w:r w:rsidR="005A1247">
        <w:t> </w:t>
      </w:r>
      <w:r>
        <w:t>tím, že bylo konstatováno, že tento cíl může být v</w:t>
      </w:r>
      <w:r w:rsidR="005A1247">
        <w:t> </w:t>
      </w:r>
      <w:r>
        <w:t>rámci příští aktualizace NAP CM revidován v</w:t>
      </w:r>
      <w:r w:rsidR="005A1247">
        <w:t> </w:t>
      </w:r>
      <w:r>
        <w:t>návaznosti na přepokládanou studii zaměřenou na posouzení potenciálu pro využití vodíkového pohonu v</w:t>
      </w:r>
      <w:r w:rsidR="005A1247">
        <w:t> </w:t>
      </w:r>
      <w:r>
        <w:t xml:space="preserve">ČR. </w:t>
      </w:r>
    </w:p>
    <w:p w14:paraId="29221F69" w14:textId="3EFB5FA6" w:rsidR="00A0449C" w:rsidRDefault="00A0449C" w:rsidP="009A3B7E">
      <w:pPr>
        <w:jc w:val="both"/>
      </w:pPr>
      <w:r>
        <w:t xml:space="preserve">V roce 2017 byla zpracována </w:t>
      </w:r>
      <w:r w:rsidRPr="004F707E">
        <w:t>Studie s</w:t>
      </w:r>
      <w:r w:rsidR="005A1247">
        <w:t> </w:t>
      </w:r>
      <w:r w:rsidRPr="004F707E">
        <w:t xml:space="preserve">názvem </w:t>
      </w:r>
      <w:r w:rsidRPr="004F707E">
        <w:rPr>
          <w:i/>
        </w:rPr>
        <w:t>Využití vodíkového pohonu v</w:t>
      </w:r>
      <w:r w:rsidR="005A1247">
        <w:rPr>
          <w:i/>
        </w:rPr>
        <w:t> </w:t>
      </w:r>
      <w:r w:rsidRPr="004F707E">
        <w:rPr>
          <w:i/>
        </w:rPr>
        <w:t>dopravě v</w:t>
      </w:r>
      <w:r w:rsidR="005A1247">
        <w:rPr>
          <w:i/>
        </w:rPr>
        <w:t> </w:t>
      </w:r>
      <w:r w:rsidRPr="004F707E">
        <w:rPr>
          <w:i/>
        </w:rPr>
        <w:t>České republice</w:t>
      </w:r>
      <w:r w:rsidRPr="00CA20DD">
        <w:t xml:space="preserve">, která </w:t>
      </w:r>
      <w:r w:rsidRPr="004F707E">
        <w:t>v</w:t>
      </w:r>
      <w:r w:rsidR="005A1247">
        <w:t> </w:t>
      </w:r>
      <w:r w:rsidRPr="004F707E">
        <w:t>první řadě upozorňuje na skutečnost, že s</w:t>
      </w:r>
      <w:r w:rsidR="005A1247">
        <w:t> </w:t>
      </w:r>
      <w:r w:rsidRPr="004F707E">
        <w:t>ohledem na zkušenosti ze zahraničí a</w:t>
      </w:r>
      <w:r w:rsidR="005A1247">
        <w:t> </w:t>
      </w:r>
      <w:r w:rsidRPr="004F707E">
        <w:t xml:space="preserve">na základě vyjádření zainteresovaných subjektů je žádoucí, aby byla stanovena </w:t>
      </w:r>
      <w:r w:rsidRPr="004F707E">
        <w:rPr>
          <w:b/>
        </w:rPr>
        <w:t xml:space="preserve">jednoznačná vize ve formě jasně definované koncepce vládní podpory vodíkové mobility. </w:t>
      </w:r>
      <w:r w:rsidRPr="004F707E">
        <w:t>V</w:t>
      </w:r>
      <w:r w:rsidR="005A1247">
        <w:t> </w:t>
      </w:r>
      <w:r w:rsidRPr="004F707E">
        <w:t xml:space="preserve">rámci této aktualizace NAP CM je proto </w:t>
      </w:r>
      <w:r>
        <w:t xml:space="preserve">navrženo </w:t>
      </w:r>
      <w:r w:rsidRPr="004F707E">
        <w:t>výrazné rozšíření části tohoto dokumentu, která se týká vodíkové mobility a</w:t>
      </w:r>
      <w:r w:rsidR="005A1247">
        <w:t> </w:t>
      </w:r>
      <w:r w:rsidRPr="004F707E">
        <w:t xml:space="preserve">zohlednit </w:t>
      </w:r>
      <w:r w:rsidR="00F65F59">
        <w:t xml:space="preserve">přitom </w:t>
      </w:r>
      <w:r w:rsidRPr="004F707E">
        <w:t>hlavní doporučení vyplývající z</w:t>
      </w:r>
      <w:r w:rsidR="005A1247">
        <w:t> </w:t>
      </w:r>
      <w:r w:rsidRPr="004F707E">
        <w:t>této studie.</w:t>
      </w:r>
    </w:p>
    <w:p w14:paraId="1D1BBBFD" w14:textId="0EE85F4E" w:rsidR="00A0449C" w:rsidRDefault="00A0449C" w:rsidP="009A3B7E">
      <w:pPr>
        <w:jc w:val="both"/>
      </w:pPr>
      <w:r w:rsidRPr="004F707E">
        <w:t>I když se v</w:t>
      </w:r>
      <w:r w:rsidR="005A1247">
        <w:t> </w:t>
      </w:r>
      <w:r w:rsidRPr="004F707E">
        <w:t>současnosti může zdát, že hlavním směrem čisté mobility bude bateriová elektromobilita, některé strategické dokumenty Evropské komise a</w:t>
      </w:r>
      <w:r w:rsidR="005A1247">
        <w:t> </w:t>
      </w:r>
      <w:r w:rsidRPr="004F707E">
        <w:t>studie ukazují, že elektrizace dopravy nemusí být řešením pro všechny druhy dopravy.</w:t>
      </w:r>
      <w:r w:rsidR="00D62740">
        <w:t xml:space="preserve"> A</w:t>
      </w:r>
      <w:r w:rsidR="00D62740" w:rsidRPr="004F707E">
        <w:t>ktualizace NAP CM</w:t>
      </w:r>
      <w:r w:rsidR="00D62740">
        <w:t xml:space="preserve"> </w:t>
      </w:r>
      <w:r w:rsidR="00F65F59">
        <w:t>v</w:t>
      </w:r>
      <w:r w:rsidR="005A1247">
        <w:t> </w:t>
      </w:r>
      <w:r w:rsidR="00F65F59">
        <w:t xml:space="preserve">tomto směru </w:t>
      </w:r>
      <w:r w:rsidR="00D62740">
        <w:t>zohledňuje i</w:t>
      </w:r>
      <w:r w:rsidR="005A1247">
        <w:t> </w:t>
      </w:r>
      <w:r w:rsidR="00D62740">
        <w:t>současné vývoj</w:t>
      </w:r>
      <w:r w:rsidR="00E4181C">
        <w:t xml:space="preserve">ové </w:t>
      </w:r>
      <w:r w:rsidR="00D62740">
        <w:t>trendy a</w:t>
      </w:r>
      <w:r w:rsidR="005A1247">
        <w:t> </w:t>
      </w:r>
      <w:r w:rsidR="00D62740">
        <w:t>plány některých</w:t>
      </w:r>
      <w:r w:rsidR="001214BF">
        <w:t>,</w:t>
      </w:r>
      <w:r w:rsidR="00D62740">
        <w:t xml:space="preserve"> zejména asijských</w:t>
      </w:r>
      <w:r w:rsidR="001214BF">
        <w:t>,</w:t>
      </w:r>
      <w:r w:rsidR="00D62740">
        <w:t xml:space="preserve"> automobilek ve vztahu k</w:t>
      </w:r>
      <w:r w:rsidR="005A1247">
        <w:t> </w:t>
      </w:r>
      <w:r w:rsidR="00D62740">
        <w:t xml:space="preserve">vodíkové elektromobilitě.     </w:t>
      </w:r>
    </w:p>
    <w:p w14:paraId="4C079F44" w14:textId="71FBF4C6" w:rsidR="00E4181C" w:rsidRDefault="00E4181C" w:rsidP="009A3B7E">
      <w:pPr>
        <w:jc w:val="both"/>
      </w:pPr>
      <w:r>
        <w:t>Z nich jednoznačně vyplývá, že t</w:t>
      </w:r>
      <w:r w:rsidR="00A0449C" w:rsidRPr="004F707E">
        <w:t>echnologie vodíkových palivových článků umožňuje nasazení nejen v</w:t>
      </w:r>
      <w:r w:rsidR="005A1247">
        <w:t> </w:t>
      </w:r>
      <w:r w:rsidR="00A0449C" w:rsidRPr="004F707E">
        <w:t>oblasti osobní silniční dopravy, ale i</w:t>
      </w:r>
      <w:r w:rsidR="005A1247">
        <w:t> </w:t>
      </w:r>
      <w:r w:rsidR="0019610D">
        <w:t xml:space="preserve">v </w:t>
      </w:r>
      <w:r w:rsidR="00A0449C" w:rsidRPr="004F707E">
        <w:t>nákladní silniční doprav</w:t>
      </w:r>
      <w:r>
        <w:t xml:space="preserve">ě, kde může mít dokonce do budoucna větší využití než technologie bateriová.  </w:t>
      </w:r>
    </w:p>
    <w:p w14:paraId="5B75E30C" w14:textId="11886604" w:rsidR="00A0449C" w:rsidRDefault="00A0449C" w:rsidP="009A3B7E">
      <w:pPr>
        <w:jc w:val="both"/>
      </w:pPr>
      <w:r w:rsidRPr="004F707E">
        <w:t>Výhledově</w:t>
      </w:r>
      <w:r>
        <w:t xml:space="preserve"> je plánováno </w:t>
      </w:r>
      <w:r w:rsidRPr="004F707E">
        <w:t>vodík využít v</w:t>
      </w:r>
      <w:r w:rsidR="005A1247">
        <w:t> </w:t>
      </w:r>
      <w:r w:rsidRPr="004F707E">
        <w:t>podstatě ve všech druzích dopravy (včetně letecké dopravy v</w:t>
      </w:r>
      <w:r w:rsidR="005A1247">
        <w:t> </w:t>
      </w:r>
      <w:r w:rsidRPr="004F707E">
        <w:t>podobě syntetického paliva vyráběného na bázi vodíku).</w:t>
      </w:r>
      <w:r w:rsidR="00E4181C">
        <w:t xml:space="preserve"> Rozvoj vodíkové mobility v</w:t>
      </w:r>
      <w:r w:rsidR="005A1247">
        <w:t> </w:t>
      </w:r>
      <w:r w:rsidR="00E4181C">
        <w:t>nesilničních druzích dopra</w:t>
      </w:r>
      <w:r w:rsidR="00875E3D">
        <w:t>vy je řešen v</w:t>
      </w:r>
      <w:r w:rsidR="005A1247">
        <w:t> </w:t>
      </w:r>
      <w:r w:rsidR="00875E3D">
        <w:t xml:space="preserve">samotné kapitole </w:t>
      </w:r>
      <w:r w:rsidR="00875E3D">
        <w:fldChar w:fldCharType="begin"/>
      </w:r>
      <w:r w:rsidR="00875E3D">
        <w:instrText xml:space="preserve"> REF _Ref21597642 \r \h </w:instrText>
      </w:r>
      <w:r w:rsidR="009A3B7E">
        <w:instrText xml:space="preserve"> \* MERGEFORMAT </w:instrText>
      </w:r>
      <w:r w:rsidR="00875E3D">
        <w:fldChar w:fldCharType="separate"/>
      </w:r>
      <w:r w:rsidR="00D944E5">
        <w:t>6</w:t>
      </w:r>
      <w:r w:rsidR="00875E3D">
        <w:fldChar w:fldCharType="end"/>
      </w:r>
      <w:r w:rsidR="00E4181C">
        <w:t xml:space="preserve"> tohoto dokumentu.   </w:t>
      </w:r>
    </w:p>
    <w:p w14:paraId="54941A0D" w14:textId="77777777" w:rsidR="00A0449C" w:rsidRPr="00FE2161" w:rsidRDefault="00A0449C" w:rsidP="009A3B7E">
      <w:pPr>
        <w:pStyle w:val="Nadpis2"/>
        <w:jc w:val="both"/>
      </w:pPr>
      <w:bookmarkStart w:id="47" w:name="_Toc34387144"/>
      <w:r w:rsidRPr="00FE2161">
        <w:t>Očekávaný vývoj</w:t>
      </w:r>
      <w:bookmarkEnd w:id="47"/>
      <w:r w:rsidR="00D62740">
        <w:t xml:space="preserve"> </w:t>
      </w:r>
    </w:p>
    <w:p w14:paraId="50B844A1" w14:textId="086744A3" w:rsidR="00A0449C" w:rsidRDefault="00A0449C" w:rsidP="009A3B7E">
      <w:pPr>
        <w:jc w:val="both"/>
      </w:pPr>
      <w:r>
        <w:t xml:space="preserve">V rámci aktualizace NAP CM byla využita predikce aktualizované studie </w:t>
      </w:r>
      <w:r w:rsidRPr="00CA20DD">
        <w:rPr>
          <w:i/>
        </w:rPr>
        <w:t>Využití vodíkového pohonu v</w:t>
      </w:r>
      <w:r w:rsidR="005A1247">
        <w:rPr>
          <w:i/>
        </w:rPr>
        <w:t> </w:t>
      </w:r>
      <w:r w:rsidRPr="00CA20DD">
        <w:rPr>
          <w:i/>
        </w:rPr>
        <w:t>dopravě v</w:t>
      </w:r>
      <w:r w:rsidR="005A1247">
        <w:rPr>
          <w:i/>
        </w:rPr>
        <w:t> </w:t>
      </w:r>
      <w:r w:rsidRPr="00CA20DD">
        <w:rPr>
          <w:i/>
        </w:rPr>
        <w:t>České republice</w:t>
      </w:r>
      <w:r w:rsidRPr="007D75AB">
        <w:t xml:space="preserve"> </w:t>
      </w:r>
      <w:r>
        <w:t>z</w:t>
      </w:r>
      <w:r w:rsidR="005A1247">
        <w:t> </w:t>
      </w:r>
      <w:r>
        <w:t xml:space="preserve">roku 2017 (aktualizace predikcí </w:t>
      </w:r>
      <w:r w:rsidR="00FF116C">
        <w:t>v</w:t>
      </w:r>
      <w:r w:rsidR="005A1247">
        <w:t> </w:t>
      </w:r>
      <w:r w:rsidR="00FF116C">
        <w:t>roce</w:t>
      </w:r>
      <w:r>
        <w:t xml:space="preserve"> 2019), která předpovídá k</w:t>
      </w:r>
      <w:r w:rsidR="005A1247">
        <w:t> </w:t>
      </w:r>
      <w:r>
        <w:t>roku 2030 rozvoj vodíkových autobusů v</w:t>
      </w:r>
      <w:r w:rsidR="005A1247">
        <w:t> </w:t>
      </w:r>
      <w:r>
        <w:t>počtu 870 ks a</w:t>
      </w:r>
      <w:r w:rsidR="005A1247">
        <w:t> </w:t>
      </w:r>
      <w:r>
        <w:t>dále přibližně 58 000 osobních automobilů.</w:t>
      </w:r>
    </w:p>
    <w:p w14:paraId="482DC182" w14:textId="0922A279" w:rsidR="00A0449C" w:rsidRDefault="00A0449C" w:rsidP="009A3B7E">
      <w:pPr>
        <w:jc w:val="both"/>
      </w:pPr>
      <w:r>
        <w:lastRenderedPageBreak/>
        <w:t>Rostoucí podíl vozidel bude vyžadovat i</w:t>
      </w:r>
      <w:r w:rsidR="005A1247">
        <w:t> </w:t>
      </w:r>
      <w:r>
        <w:t>odpovídající infrastrukturu, kdy je predikováno 80 vodíkových plnících stanic k</w:t>
      </w:r>
      <w:r w:rsidR="005A1247">
        <w:t> </w:t>
      </w:r>
      <w:r>
        <w:t>roku 2030.</w:t>
      </w:r>
    </w:p>
    <w:p w14:paraId="1E657D15" w14:textId="77777777" w:rsidR="00A0449C" w:rsidRPr="00FE2161" w:rsidRDefault="00A0449C" w:rsidP="009A3B7E">
      <w:pPr>
        <w:pStyle w:val="Nadpis2"/>
        <w:jc w:val="both"/>
      </w:pPr>
      <w:bookmarkStart w:id="48" w:name="_Toc34387145"/>
      <w:r w:rsidRPr="00FE2161">
        <w:t>Strategické cíle</w:t>
      </w:r>
      <w:bookmarkEnd w:id="48"/>
    </w:p>
    <w:p w14:paraId="367C54D6" w14:textId="77777777" w:rsidR="00A0449C" w:rsidRDefault="00A0449C" w:rsidP="009A3B7E">
      <w:pPr>
        <w:jc w:val="both"/>
      </w:pPr>
      <w:r>
        <w:t>Pro období do roku 2030 byly zvoleny následující strategické cíle:</w:t>
      </w:r>
    </w:p>
    <w:p w14:paraId="5ACF7726" w14:textId="77777777" w:rsidR="00A0449C" w:rsidRPr="00FE2161" w:rsidRDefault="00432262" w:rsidP="009A3B7E">
      <w:pPr>
        <w:pStyle w:val="Nadpis3"/>
        <w:jc w:val="both"/>
      </w:pPr>
      <w:r>
        <w:t>Rozvoj trhu vodíkových v</w:t>
      </w:r>
      <w:r w:rsidR="00A0449C" w:rsidRPr="00FE2161">
        <w:t>ozid</w:t>
      </w:r>
      <w:r>
        <w:t>e</w:t>
      </w:r>
      <w:r w:rsidR="00A0449C" w:rsidRPr="00FE2161">
        <w:t>l</w:t>
      </w:r>
    </w:p>
    <w:p w14:paraId="641ACBBD" w14:textId="77777777" w:rsidR="00F0163E" w:rsidRPr="00876832" w:rsidRDefault="00F0163E" w:rsidP="009A3B7E">
      <w:pPr>
        <w:jc w:val="both"/>
        <w:rPr>
          <w:b/>
        </w:rPr>
      </w:pPr>
      <w:bookmarkStart w:id="49" w:name="_Toc13732623"/>
      <w:bookmarkStart w:id="50" w:name="_Toc19792374"/>
      <w:r w:rsidRPr="00876832">
        <w:rPr>
          <w:b/>
        </w:rPr>
        <w:t>Rozvoj vodíkové autobusové dopravy coby prioritní segment vodíkové mobility</w:t>
      </w:r>
      <w:bookmarkEnd w:id="49"/>
      <w:bookmarkEnd w:id="50"/>
      <w:r w:rsidRPr="00876832">
        <w:rPr>
          <w:b/>
        </w:rPr>
        <w:t xml:space="preserve"> </w:t>
      </w:r>
    </w:p>
    <w:p w14:paraId="7306F0D1" w14:textId="3E3B39D6" w:rsidR="00F0163E" w:rsidRPr="004F707E" w:rsidRDefault="00432262" w:rsidP="009A3B7E">
      <w:pPr>
        <w:jc w:val="both"/>
      </w:pPr>
      <w:r>
        <w:rPr>
          <w:rFonts w:cstheme="minorHAnsi"/>
        </w:rPr>
        <w:t>Z</w:t>
      </w:r>
      <w:r w:rsidR="00D62740">
        <w:rPr>
          <w:rFonts w:cstheme="minorHAnsi"/>
        </w:rPr>
        <w:t xml:space="preserve"> „vodíkové“ </w:t>
      </w:r>
      <w:r w:rsidR="00F0163E" w:rsidRPr="004F707E">
        <w:rPr>
          <w:rFonts w:cstheme="minorHAnsi"/>
        </w:rPr>
        <w:t>studie</w:t>
      </w:r>
      <w:r>
        <w:rPr>
          <w:rFonts w:cstheme="minorHAnsi"/>
        </w:rPr>
        <w:t xml:space="preserve"> vyplývá</w:t>
      </w:r>
      <w:r w:rsidR="00644BC7">
        <w:rPr>
          <w:rFonts w:cstheme="minorHAnsi"/>
        </w:rPr>
        <w:t xml:space="preserve"> </w:t>
      </w:r>
      <w:r w:rsidR="00644BC7" w:rsidRPr="004F707E">
        <w:rPr>
          <w:rFonts w:cstheme="minorHAnsi"/>
        </w:rPr>
        <w:t>(</w:t>
      </w:r>
      <w:r w:rsidR="00644BC7">
        <w:rPr>
          <w:rFonts w:cstheme="minorHAnsi"/>
        </w:rPr>
        <w:t xml:space="preserve">blíže </w:t>
      </w:r>
      <w:r w:rsidR="00644BC7" w:rsidRPr="004F707E">
        <w:rPr>
          <w:rFonts w:cstheme="minorHAnsi"/>
        </w:rPr>
        <w:t xml:space="preserve">viz </w:t>
      </w:r>
      <w:r w:rsidR="004E6087">
        <w:rPr>
          <w:rFonts w:cstheme="minorHAnsi"/>
        </w:rPr>
        <w:t>analytický materiál</w:t>
      </w:r>
      <w:r w:rsidR="00644BC7" w:rsidRPr="009E21A8">
        <w:rPr>
          <w:rFonts w:cstheme="minorHAnsi"/>
        </w:rPr>
        <w:t>)</w:t>
      </w:r>
      <w:r>
        <w:rPr>
          <w:rFonts w:cstheme="minorHAnsi"/>
        </w:rPr>
        <w:t xml:space="preserve">, že </w:t>
      </w:r>
      <w:r w:rsidR="00F0163E" w:rsidRPr="009E21A8">
        <w:t>podpora</w:t>
      </w:r>
      <w:r w:rsidR="00F0163E" w:rsidRPr="004F707E">
        <w:t xml:space="preserve"> autobusů na vodíkový pohon se především v</w:t>
      </w:r>
      <w:r w:rsidR="005A1247">
        <w:t> </w:t>
      </w:r>
      <w:r w:rsidR="00F0163E" w:rsidRPr="004F707E">
        <w:t>1. fázi vývoje jeví z</w:t>
      </w:r>
      <w:r w:rsidR="005A1247">
        <w:t> </w:t>
      </w:r>
      <w:r w:rsidR="00F0163E" w:rsidRPr="004F707E">
        <w:t>nákladového hlediska jako výrazně efektivnější, kdy 8 % celkových nákladů potře</w:t>
      </w:r>
      <w:r w:rsidR="00F0163E">
        <w:t>b</w:t>
      </w:r>
      <w:r w:rsidR="00F0163E" w:rsidRPr="004F707E">
        <w:t>ných na investiční podporu do vodíkových vozidel přináší podíl na celkové úspoře emisí CO</w:t>
      </w:r>
      <w:r w:rsidR="00F0163E" w:rsidRPr="004F707E">
        <w:rPr>
          <w:vertAlign w:val="subscript"/>
        </w:rPr>
        <w:t>2</w:t>
      </w:r>
      <w:r w:rsidR="00F0163E" w:rsidRPr="004F707E">
        <w:t xml:space="preserve"> vzniklé používáním vodíkových vozidel ve výši 32 %. </w:t>
      </w:r>
    </w:p>
    <w:p w14:paraId="6C5175FD" w14:textId="6BB531DD" w:rsidR="00F0163E" w:rsidRPr="004F707E" w:rsidRDefault="00F0163E" w:rsidP="009A3B7E">
      <w:pPr>
        <w:jc w:val="both"/>
        <w:rPr>
          <w:rFonts w:cstheme="minorHAnsi"/>
          <w:b/>
        </w:rPr>
      </w:pPr>
      <w:r w:rsidRPr="004F707E">
        <w:t>Z tohoto hlediska by rozvoj v</w:t>
      </w:r>
      <w:r w:rsidR="005A1247">
        <w:t> </w:t>
      </w:r>
      <w:r w:rsidRPr="004F707E">
        <w:t>oblasti vodíkových autobusů měl představovat klíčovou prioritu celkové strategie ČR v</w:t>
      </w:r>
      <w:r w:rsidR="005A1247">
        <w:t> </w:t>
      </w:r>
      <w:r w:rsidRPr="004F707E">
        <w:t xml:space="preserve">oblasti vodíkové mobility. Pro účely NAP CM plně přejímáme predikci obsaženou </w:t>
      </w:r>
      <w:r w:rsidRPr="004F707E">
        <w:rPr>
          <w:rFonts w:cstheme="minorHAnsi"/>
        </w:rPr>
        <w:t>ve výše uvedené vodíkové studii, resp. z</w:t>
      </w:r>
      <w:r w:rsidR="005A1247">
        <w:rPr>
          <w:rFonts w:cstheme="minorHAnsi"/>
        </w:rPr>
        <w:t> </w:t>
      </w:r>
      <w:r w:rsidRPr="004F707E">
        <w:rPr>
          <w:rFonts w:cstheme="minorHAnsi"/>
        </w:rPr>
        <w:t>její aktualizace z</w:t>
      </w:r>
      <w:r w:rsidR="005A1247">
        <w:rPr>
          <w:rFonts w:cstheme="minorHAnsi"/>
        </w:rPr>
        <w:t> </w:t>
      </w:r>
      <w:r w:rsidRPr="004F707E">
        <w:rPr>
          <w:rFonts w:cstheme="minorHAnsi"/>
        </w:rPr>
        <w:t xml:space="preserve">roku 2019. </w:t>
      </w:r>
      <w:r w:rsidRPr="004F707E">
        <w:rPr>
          <w:rFonts w:cstheme="minorHAnsi"/>
          <w:b/>
        </w:rPr>
        <w:t>NAP CM tak v</w:t>
      </w:r>
      <w:r w:rsidR="005A1247">
        <w:rPr>
          <w:rFonts w:cstheme="minorHAnsi"/>
          <w:b/>
        </w:rPr>
        <w:t> </w:t>
      </w:r>
      <w:r w:rsidRPr="004F707E">
        <w:rPr>
          <w:rFonts w:cstheme="minorHAnsi"/>
          <w:b/>
        </w:rPr>
        <w:t>této oblasti cílí na dosažení 95 vodíkových autobusů k</w:t>
      </w:r>
      <w:r w:rsidR="005A1247">
        <w:rPr>
          <w:rFonts w:cstheme="minorHAnsi"/>
          <w:b/>
        </w:rPr>
        <w:t> </w:t>
      </w:r>
      <w:r w:rsidRPr="004F707E">
        <w:rPr>
          <w:rFonts w:cstheme="minorHAnsi"/>
          <w:b/>
        </w:rPr>
        <w:t>roku 2025 a</w:t>
      </w:r>
      <w:r w:rsidR="005A1247">
        <w:rPr>
          <w:rFonts w:cstheme="minorHAnsi"/>
          <w:b/>
        </w:rPr>
        <w:t> </w:t>
      </w:r>
      <w:r w:rsidRPr="004F707E">
        <w:rPr>
          <w:rFonts w:cstheme="minorHAnsi"/>
          <w:b/>
        </w:rPr>
        <w:t>870 vodíkových autobusů k</w:t>
      </w:r>
      <w:r w:rsidR="005A1247">
        <w:rPr>
          <w:rFonts w:cstheme="minorHAnsi"/>
          <w:b/>
        </w:rPr>
        <w:t> </w:t>
      </w:r>
      <w:r w:rsidRPr="004F707E">
        <w:rPr>
          <w:rFonts w:cstheme="minorHAnsi"/>
          <w:b/>
        </w:rPr>
        <w:t xml:space="preserve">roku 2030. </w:t>
      </w:r>
    </w:p>
    <w:p w14:paraId="0C2852B0" w14:textId="29C84D04" w:rsidR="00F0163E" w:rsidRPr="004F707E" w:rsidRDefault="00F0163E" w:rsidP="009A3B7E">
      <w:pPr>
        <w:jc w:val="both"/>
        <w:rPr>
          <w:rFonts w:cstheme="minorHAnsi"/>
        </w:rPr>
      </w:pPr>
      <w:r w:rsidRPr="004F707E">
        <w:t>Na dané predikci je postaven i</w:t>
      </w:r>
      <w:r w:rsidR="005A1247">
        <w:t> </w:t>
      </w:r>
      <w:r w:rsidRPr="004F707E">
        <w:t>celkový odhad finanční náročnosti rozvoje vodíkové autobusové mobility do roku 2030. Podle tohoto odhadu by za tímto účelem mělo být do roku 2030 ze strany soukromých i</w:t>
      </w:r>
      <w:r w:rsidR="005A1247">
        <w:t> </w:t>
      </w:r>
      <w:r w:rsidRPr="004F707E">
        <w:t xml:space="preserve">veřejných subjektů vynaloženo kumulativně cca 2,4 mld. Kč. </w:t>
      </w:r>
    </w:p>
    <w:p w14:paraId="01F8F372" w14:textId="71692BA9" w:rsidR="00F0163E" w:rsidRPr="004F707E" w:rsidRDefault="00F0163E" w:rsidP="009A3B7E">
      <w:pPr>
        <w:jc w:val="both"/>
      </w:pPr>
      <w:r w:rsidRPr="004F707E">
        <w:t>Naplnění cíle si vyžádá výraznou finanční podporu z</w:t>
      </w:r>
      <w:r w:rsidR="005A1247">
        <w:t> </w:t>
      </w:r>
      <w:r w:rsidRPr="004F707E">
        <w:t>veřejných zdrojů, přičemž v</w:t>
      </w:r>
      <w:r w:rsidR="005A1247">
        <w:t> </w:t>
      </w:r>
      <w:r w:rsidRPr="004F707E">
        <w:t>převážné míře by mělo jít o</w:t>
      </w:r>
      <w:r w:rsidR="005A1247">
        <w:t> </w:t>
      </w:r>
      <w:r w:rsidRPr="004F707E">
        <w:t>podporu z</w:t>
      </w:r>
      <w:r w:rsidR="005A1247">
        <w:t> </w:t>
      </w:r>
      <w:r w:rsidRPr="004F707E">
        <w:t>EU fondů</w:t>
      </w:r>
      <w:r w:rsidR="003E3367">
        <w:t xml:space="preserve">, </w:t>
      </w:r>
      <w:r w:rsidR="00947846">
        <w:t>případně národních zdrojů financování</w:t>
      </w:r>
      <w:r w:rsidR="003E3367">
        <w:t xml:space="preserve"> (např. z</w:t>
      </w:r>
      <w:r w:rsidR="005A1247">
        <w:t> </w:t>
      </w:r>
      <w:r w:rsidR="003E3367">
        <w:t>Modernizačního fondu</w:t>
      </w:r>
      <w:r w:rsidR="00947846">
        <w:t>)</w:t>
      </w:r>
      <w:r w:rsidRPr="004F707E">
        <w:t xml:space="preserve">. Dotace na podporu čistých autobusů by měly být nastaveny tak, aby umožnily, že </w:t>
      </w:r>
      <w:r w:rsidR="00325E88" w:rsidRPr="00325E88">
        <w:t>významná část</w:t>
      </w:r>
      <w:r w:rsidRPr="00325E88">
        <w:t xml:space="preserve"> alokace na podporu v</w:t>
      </w:r>
      <w:r w:rsidR="005A1247">
        <w:t> </w:t>
      </w:r>
      <w:r w:rsidRPr="00325E88">
        <w:t xml:space="preserve">této oblasti </w:t>
      </w:r>
      <w:r w:rsidR="00325E88" w:rsidRPr="00325E88">
        <w:t>bude</w:t>
      </w:r>
      <w:r w:rsidRPr="00325E88">
        <w:t xml:space="preserve"> směřov</w:t>
      </w:r>
      <w:r w:rsidR="00325E88" w:rsidRPr="00325E88">
        <w:t>at</w:t>
      </w:r>
      <w:r w:rsidRPr="00325E88">
        <w:t xml:space="preserve"> na podporu vodíkových autobusů</w:t>
      </w:r>
      <w:r w:rsidRPr="004F707E">
        <w:t>. Ke stimulaci poptávky po vodíkových autobusech však v</w:t>
      </w:r>
      <w:r w:rsidR="005A1247">
        <w:t> </w:t>
      </w:r>
      <w:r w:rsidRPr="004F707E">
        <w:t>budoucnosti přispěje i</w:t>
      </w:r>
      <w:r w:rsidR="005A1247">
        <w:t> </w:t>
      </w:r>
      <w:r w:rsidRPr="004F707E">
        <w:t>nutnost naplnit požadavky novely směrnice 2009/33 o</w:t>
      </w:r>
      <w:r w:rsidR="005A1247">
        <w:t> </w:t>
      </w:r>
      <w:r w:rsidRPr="004F707E">
        <w:t>podpoře čistých vozidel, a</w:t>
      </w:r>
      <w:r w:rsidR="005A1247">
        <w:t> </w:t>
      </w:r>
      <w:r w:rsidRPr="004F707E">
        <w:t>to zejména požadavek, aby 50 % cíle pro české veřejné zadavatele ve vztahu k</w:t>
      </w:r>
      <w:r w:rsidR="005A1247">
        <w:t> </w:t>
      </w:r>
      <w:r w:rsidRPr="004F707E">
        <w:t>čistým autobusům byl plněn bezemisními vozidly. České orgány zodpovědné za plnění tohoto požadavku by měly usilovat o</w:t>
      </w:r>
      <w:r w:rsidR="005A1247">
        <w:t> </w:t>
      </w:r>
      <w:r w:rsidRPr="004F707E">
        <w:t xml:space="preserve">to, aby minimálně polovina všech bezemisních autobusů byla na vodík. </w:t>
      </w:r>
    </w:p>
    <w:p w14:paraId="46A01728" w14:textId="5303F3F9" w:rsidR="00F0163E" w:rsidRPr="004F707E" w:rsidRDefault="00F0163E" w:rsidP="009A3B7E">
      <w:pPr>
        <w:jc w:val="both"/>
      </w:pPr>
      <w:r w:rsidRPr="004F707E">
        <w:t>Vodíková autobusová doprava by však mohla mít potenciál též v</w:t>
      </w:r>
      <w:r w:rsidR="005A1247">
        <w:t> </w:t>
      </w:r>
      <w:r w:rsidRPr="004F707E">
        <w:t>oblasti dálkové dopravy mezi ČR a</w:t>
      </w:r>
      <w:r w:rsidR="005A1247">
        <w:t> </w:t>
      </w:r>
      <w:r w:rsidRPr="004F707E">
        <w:t>sousedními státy. Především se to týká autobusového spojení mezi ČR a</w:t>
      </w:r>
      <w:r w:rsidR="005A1247">
        <w:t> </w:t>
      </w:r>
      <w:r w:rsidRPr="004F707E">
        <w:t>Německem, kde v</w:t>
      </w:r>
      <w:r w:rsidR="005A1247">
        <w:t> </w:t>
      </w:r>
      <w:r w:rsidRPr="004F707E">
        <w:t>současnosti byly zahájeny práce na přípravě studie proveditelnosti možné autobusové linky Praha – Berlín. Pokud budou závěry studie pozitivní, je žádoucí využít možností, které by v</w:t>
      </w:r>
      <w:r w:rsidR="005A1247">
        <w:t> </w:t>
      </w:r>
      <w:r w:rsidRPr="004F707E">
        <w:t>tomto směru mohl nabízet fond CEF, a</w:t>
      </w:r>
      <w:r w:rsidR="005A1247">
        <w:t> </w:t>
      </w:r>
      <w:r w:rsidRPr="004F707E">
        <w:t>to především v</w:t>
      </w:r>
      <w:r w:rsidR="005A1247">
        <w:t> </w:t>
      </w:r>
      <w:r w:rsidRPr="004F707E">
        <w:t>kontextu toho, že by šlo o</w:t>
      </w:r>
      <w:r w:rsidR="005A1247">
        <w:t> </w:t>
      </w:r>
      <w:r w:rsidRPr="004F707E">
        <w:t xml:space="preserve">přeshraniční projekt. </w:t>
      </w:r>
    </w:p>
    <w:p w14:paraId="06A542F6" w14:textId="29CD2B90" w:rsidR="00F0163E" w:rsidRDefault="00F0163E" w:rsidP="009A3B7E">
      <w:pPr>
        <w:jc w:val="both"/>
      </w:pPr>
      <w:r w:rsidRPr="004F707E">
        <w:t>Klíčovým faktorem pro naplnění výše uvedeného cíle bude samozřejmě odhadovaný pokles ceny vodíkových autobusů, resp. odhad klesajícího rozdílu mezi cenou vodíkového autobusu oproti autobusu na konvenční pohon. Zatímco v</w:t>
      </w:r>
      <w:r w:rsidR="005A1247">
        <w:t> </w:t>
      </w:r>
      <w:r w:rsidRPr="004F707E">
        <w:t>roce 2020 by tento rozdíl měl pravděpodobně činit kolem 6 mil. Kč, v</w:t>
      </w:r>
      <w:r w:rsidR="005A1247">
        <w:t> </w:t>
      </w:r>
      <w:r w:rsidRPr="004F707E">
        <w:t>roce 2025 již jen 3,6 mil. Kč a</w:t>
      </w:r>
      <w:r w:rsidR="005A1247">
        <w:t> </w:t>
      </w:r>
      <w:r w:rsidRPr="004F707E">
        <w:t>v</w:t>
      </w:r>
      <w:r w:rsidR="000F2439">
        <w:t> </w:t>
      </w:r>
      <w:r w:rsidRPr="004F707E">
        <w:t>roce 2030 pak jen 2 mil. Kč.</w:t>
      </w:r>
    </w:p>
    <w:p w14:paraId="0D06914A" w14:textId="71F24C05" w:rsidR="00F0163E" w:rsidRPr="00876832" w:rsidRDefault="00F0163E" w:rsidP="009A3B7E">
      <w:pPr>
        <w:jc w:val="both"/>
        <w:rPr>
          <w:b/>
        </w:rPr>
      </w:pPr>
      <w:bookmarkStart w:id="51" w:name="_Toc13732624"/>
      <w:bookmarkStart w:id="52" w:name="_Toc19792375"/>
      <w:r w:rsidRPr="00876832">
        <w:rPr>
          <w:b/>
        </w:rPr>
        <w:t>Podpora využití vodíku v</w:t>
      </w:r>
      <w:r w:rsidR="005A1247">
        <w:rPr>
          <w:b/>
        </w:rPr>
        <w:t> </w:t>
      </w:r>
      <w:r w:rsidRPr="00876832">
        <w:rPr>
          <w:b/>
        </w:rPr>
        <w:t>osobní silniční dopravě</w:t>
      </w:r>
      <w:bookmarkEnd w:id="51"/>
      <w:bookmarkEnd w:id="52"/>
      <w:r w:rsidRPr="00876832">
        <w:rPr>
          <w:b/>
        </w:rPr>
        <w:t xml:space="preserve"> </w:t>
      </w:r>
    </w:p>
    <w:p w14:paraId="50008705" w14:textId="47235256" w:rsidR="00F0163E" w:rsidRPr="004F707E" w:rsidRDefault="00F0163E" w:rsidP="009A3B7E">
      <w:pPr>
        <w:jc w:val="both"/>
      </w:pPr>
      <w:r w:rsidRPr="004F707E">
        <w:rPr>
          <w:rFonts w:cstheme="minorHAnsi"/>
        </w:rPr>
        <w:t>Jak vyplývá z</w:t>
      </w:r>
      <w:r w:rsidR="005A1247">
        <w:rPr>
          <w:rFonts w:cstheme="minorHAnsi"/>
        </w:rPr>
        <w:t> </w:t>
      </w:r>
      <w:r w:rsidRPr="004F707E">
        <w:rPr>
          <w:rFonts w:cstheme="minorHAnsi"/>
        </w:rPr>
        <w:t>predikce obsažené ve výše uvedené vodíkové studii, resp. v</w:t>
      </w:r>
      <w:r w:rsidR="005A1247">
        <w:rPr>
          <w:rFonts w:cstheme="minorHAnsi"/>
        </w:rPr>
        <w:t> </w:t>
      </w:r>
      <w:r w:rsidRPr="004F707E">
        <w:rPr>
          <w:rFonts w:cstheme="minorHAnsi"/>
        </w:rPr>
        <w:t>její aktualizaci z</w:t>
      </w:r>
      <w:r w:rsidR="005A1247">
        <w:rPr>
          <w:rFonts w:cstheme="minorHAnsi"/>
        </w:rPr>
        <w:t> </w:t>
      </w:r>
      <w:r w:rsidRPr="004F707E">
        <w:rPr>
          <w:rFonts w:cstheme="minorHAnsi"/>
        </w:rPr>
        <w:t xml:space="preserve">roku 2019, </w:t>
      </w:r>
      <w:r w:rsidRPr="004F707E">
        <w:t>měl by počet vodíkových automobilů v</w:t>
      </w:r>
      <w:r w:rsidR="005A1247">
        <w:t> </w:t>
      </w:r>
      <w:r w:rsidRPr="004F707E">
        <w:t xml:space="preserve">ČR do roku 2030 vzrůst na </w:t>
      </w:r>
      <w:r w:rsidR="00F82193">
        <w:t>přibližně 58 000</w:t>
      </w:r>
      <w:r w:rsidRPr="004F707E">
        <w:t>. Tyto údaje se však především v</w:t>
      </w:r>
      <w:r w:rsidR="005A1247">
        <w:t> </w:t>
      </w:r>
      <w:r w:rsidRPr="004F707E">
        <w:t>kontextu predikcí v</w:t>
      </w:r>
      <w:r w:rsidR="005A1247">
        <w:t> </w:t>
      </w:r>
      <w:r w:rsidRPr="004F707E">
        <w:t>oblasti elektromobility jeví jako poněkud optimistické. A</w:t>
      </w:r>
      <w:r w:rsidR="005A1247">
        <w:t> </w:t>
      </w:r>
      <w:r w:rsidRPr="004F707E">
        <w:t>to i</w:t>
      </w:r>
      <w:r w:rsidR="005A1247">
        <w:t> </w:t>
      </w:r>
      <w:r w:rsidRPr="004F707E">
        <w:t>přesto, že celoevropské predikce ukazují, že by za jistých okolností (masivní finanční podpory ze strany státu) nemusely být úplně nereálné.</w:t>
      </w:r>
      <w:r w:rsidR="0060271B">
        <w:t xml:space="preserve"> </w:t>
      </w:r>
    </w:p>
    <w:p w14:paraId="3F489B11" w14:textId="44D49CF2" w:rsidR="00F0163E" w:rsidRDefault="00B31113" w:rsidP="009A3B7E">
      <w:pPr>
        <w:jc w:val="both"/>
      </w:pPr>
      <w:r>
        <w:rPr>
          <w:noProof/>
        </w:rPr>
        <w:lastRenderedPageBreak/>
        <mc:AlternateContent>
          <mc:Choice Requires="wps">
            <w:drawing>
              <wp:anchor distT="0" distB="0" distL="114300" distR="114300" simplePos="0" relativeHeight="251679744" behindDoc="0" locked="0" layoutInCell="1" allowOverlap="1" wp14:anchorId="553CE1FD" wp14:editId="1BB69CB3">
                <wp:simplePos x="0" y="0"/>
                <wp:positionH relativeFrom="column">
                  <wp:posOffset>52705</wp:posOffset>
                </wp:positionH>
                <wp:positionV relativeFrom="paragraph">
                  <wp:posOffset>712470</wp:posOffset>
                </wp:positionV>
                <wp:extent cx="4981575" cy="457200"/>
                <wp:effectExtent l="0" t="0" r="9525" b="0"/>
                <wp:wrapTopAndBottom/>
                <wp:docPr id="1128" name="Textové pole 1128"/>
                <wp:cNvGraphicFramePr/>
                <a:graphic xmlns:a="http://schemas.openxmlformats.org/drawingml/2006/main">
                  <a:graphicData uri="http://schemas.microsoft.com/office/word/2010/wordprocessingShape">
                    <wps:wsp>
                      <wps:cNvSpPr txBox="1"/>
                      <wps:spPr>
                        <a:xfrm>
                          <a:off x="0" y="0"/>
                          <a:ext cx="4981575" cy="457200"/>
                        </a:xfrm>
                        <a:prstGeom prst="rect">
                          <a:avLst/>
                        </a:prstGeom>
                        <a:solidFill>
                          <a:prstClr val="white"/>
                        </a:solidFill>
                        <a:ln>
                          <a:noFill/>
                        </a:ln>
                        <a:effectLst/>
                      </wps:spPr>
                      <wps:txbx>
                        <w:txbxContent>
                          <w:p w14:paraId="08671545" w14:textId="03D71D77" w:rsidR="005A1247" w:rsidRPr="004A08A7" w:rsidRDefault="005A1247" w:rsidP="00B31113">
                            <w:pPr>
                              <w:pStyle w:val="Titulek"/>
                              <w:rPr>
                                <w:noProof/>
                                <w:szCs w:val="24"/>
                              </w:rPr>
                            </w:pPr>
                            <w:bookmarkStart w:id="53" w:name="_Toc25127947"/>
                            <w:bookmarkStart w:id="54" w:name="_Toc25128873"/>
                            <w:bookmarkStart w:id="55" w:name="_Toc34298594"/>
                            <w:r>
                              <w:t xml:space="preserve">Graf </w:t>
                            </w:r>
                            <w:r>
                              <w:rPr>
                                <w:noProof/>
                              </w:rPr>
                              <w:fldChar w:fldCharType="begin"/>
                            </w:r>
                            <w:r>
                              <w:rPr>
                                <w:noProof/>
                              </w:rPr>
                              <w:instrText xml:space="preserve"> SEQ Graf \* ARABIC </w:instrText>
                            </w:r>
                            <w:r>
                              <w:rPr>
                                <w:noProof/>
                              </w:rPr>
                              <w:fldChar w:fldCharType="separate"/>
                            </w:r>
                            <w:r>
                              <w:rPr>
                                <w:noProof/>
                              </w:rPr>
                              <w:t>4</w:t>
                            </w:r>
                            <w:r>
                              <w:rPr>
                                <w:noProof/>
                              </w:rPr>
                              <w:fldChar w:fldCharType="end"/>
                            </w:r>
                            <w:r>
                              <w:t xml:space="preserve"> Cíle vývoje osobních vodíkových vozidel do roku 2030</w:t>
                            </w:r>
                            <w:bookmarkEnd w:id="53"/>
                            <w:bookmarkEnd w:id="54"/>
                            <w:bookmarkEnd w:id="5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53CE1FD" id="_x0000_t202" coordsize="21600,21600" o:spt="202" path="m,l,21600r21600,l21600,xe">
                <v:stroke joinstyle="miter"/>
                <v:path gradientshapeok="t" o:connecttype="rect"/>
              </v:shapetype>
              <v:shape id="Textové pole 1128" o:spid="_x0000_s1026" type="#_x0000_t202" style="position:absolute;left:0;text-align:left;margin-left:4.15pt;margin-top:56.1pt;width:392.25pt;height:3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" stroked="f">
                <v:textbox inset="0,0,0,0">
                  <w:txbxContent>
                    <w:p w14:paraId="08671545" w14:textId="03D71D77" w:rsidR="005A1247" w:rsidRPr="004A08A7" w:rsidRDefault="005A1247" w:rsidP="00B31113">
                      <w:pPr>
                        <w:pStyle w:val="Titulek"/>
                        <w:rPr>
                          <w:noProof/>
                          <w:szCs w:val="24"/>
                        </w:rPr>
                      </w:pPr>
                      <w:bookmarkStart w:id="56" w:name="_Toc25127947"/>
                      <w:bookmarkStart w:id="57" w:name="_Toc25128873"/>
                      <w:bookmarkStart w:id="58" w:name="_Toc34298594"/>
                      <w:r>
                        <w:t xml:space="preserve">Graf </w:t>
                      </w:r>
                      <w:r>
                        <w:rPr>
                          <w:noProof/>
                        </w:rPr>
                        <w:fldChar w:fldCharType="begin"/>
                      </w:r>
                      <w:r>
                        <w:rPr>
                          <w:noProof/>
                        </w:rPr>
                        <w:instrText xml:space="preserve"> SEQ Graf \* ARABIC </w:instrText>
                      </w:r>
                      <w:r>
                        <w:rPr>
                          <w:noProof/>
                        </w:rPr>
                        <w:fldChar w:fldCharType="separate"/>
                      </w:r>
                      <w:r>
                        <w:rPr>
                          <w:noProof/>
                        </w:rPr>
                        <w:t>4</w:t>
                      </w:r>
                      <w:r>
                        <w:rPr>
                          <w:noProof/>
                        </w:rPr>
                        <w:fldChar w:fldCharType="end"/>
                      </w:r>
                      <w:r>
                        <w:t xml:space="preserve"> Cíle vývoje osobních vodíkových vozidel do roku 2030</w:t>
                      </w:r>
                      <w:bookmarkEnd w:id="56"/>
                      <w:bookmarkEnd w:id="57"/>
                      <w:bookmarkEnd w:id="58"/>
                    </w:p>
                  </w:txbxContent>
                </v:textbox>
                <w10:wrap type="topAndBottom"/>
              </v:shape>
            </w:pict>
          </mc:Fallback>
        </mc:AlternateContent>
      </w:r>
      <w:r w:rsidR="00F0163E" w:rsidRPr="004F707E">
        <w:t>NAP CM v</w:t>
      </w:r>
      <w:r w:rsidR="005A1247">
        <w:t> </w:t>
      </w:r>
      <w:r w:rsidR="00F0163E" w:rsidRPr="004F707E">
        <w:t xml:space="preserve">tomto směru proto cílí na </w:t>
      </w:r>
      <w:r w:rsidR="00F0163E" w:rsidRPr="004F707E">
        <w:rPr>
          <w:b/>
        </w:rPr>
        <w:t xml:space="preserve">dosažení rozmezí 40–50 tisíc osobních vodíkových vozidel do roku 2030. </w:t>
      </w:r>
      <w:r w:rsidR="00F0163E" w:rsidRPr="004F707E">
        <w:t>To představuje přibližně jednu čtvrtinu cíle v</w:t>
      </w:r>
      <w:r w:rsidR="005A1247">
        <w:t> </w:t>
      </w:r>
      <w:r w:rsidR="00F0163E" w:rsidRPr="004F707E">
        <w:t>oblasti bateriové elektromobility.</w:t>
      </w:r>
    </w:p>
    <w:p w14:paraId="5F71A341" w14:textId="65BFE053" w:rsidR="00474B32" w:rsidRDefault="00C374D6" w:rsidP="009A3B7E">
      <w:pPr>
        <w:jc w:val="both"/>
        <w:rPr>
          <w:b/>
        </w:rPr>
      </w:pPr>
      <w:r>
        <w:rPr>
          <w:noProof/>
        </w:rPr>
        <w:drawing>
          <wp:anchor distT="0" distB="0" distL="114300" distR="114300" simplePos="0" relativeHeight="251689984" behindDoc="0" locked="0" layoutInCell="1" allowOverlap="1" wp14:anchorId="2A6D67AC" wp14:editId="0665FB6F">
            <wp:simplePos x="0" y="0"/>
            <wp:positionH relativeFrom="column">
              <wp:posOffset>-5080</wp:posOffset>
            </wp:positionH>
            <wp:positionV relativeFrom="page">
              <wp:posOffset>2609850</wp:posOffset>
            </wp:positionV>
            <wp:extent cx="5819775" cy="2905125"/>
            <wp:effectExtent l="0" t="0" r="9525" b="9525"/>
            <wp:wrapTopAndBottom/>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p>
    <w:p w14:paraId="5D76A49F" w14:textId="77777777" w:rsidR="00474B32" w:rsidRPr="00474B32" w:rsidRDefault="00474B32" w:rsidP="009A3B7E">
      <w:pPr>
        <w:jc w:val="both"/>
        <w:rPr>
          <w:sz w:val="18"/>
          <w:szCs w:val="18"/>
        </w:rPr>
      </w:pPr>
      <w:r w:rsidRPr="00474B32">
        <w:rPr>
          <w:sz w:val="18"/>
          <w:szCs w:val="18"/>
        </w:rPr>
        <w:t>Zdroj: propočty MPO</w:t>
      </w:r>
    </w:p>
    <w:p w14:paraId="2B965083" w14:textId="77777777" w:rsidR="00474B32" w:rsidRDefault="00474B32" w:rsidP="009A3B7E">
      <w:pPr>
        <w:jc w:val="both"/>
      </w:pPr>
    </w:p>
    <w:p w14:paraId="409B88E2" w14:textId="1DF9704D" w:rsidR="00F0163E" w:rsidRPr="004F707E" w:rsidRDefault="00F0163E" w:rsidP="009A3B7E">
      <w:pPr>
        <w:jc w:val="both"/>
      </w:pPr>
      <w:r w:rsidRPr="004F707E">
        <w:t>I naplnění tohoto méně ambiciózního cíle si však vyžádá přijetí některých podpůrných opatření, a</w:t>
      </w:r>
      <w:r w:rsidR="005A1247">
        <w:t> </w:t>
      </w:r>
      <w:r w:rsidRPr="004F707E">
        <w:t>to zejména v</w:t>
      </w:r>
      <w:r w:rsidR="005A1247">
        <w:t> </w:t>
      </w:r>
      <w:r w:rsidRPr="004F707E">
        <w:t>podobě přímé finanční podpory, která by měla být nastavena v</w:t>
      </w:r>
      <w:r w:rsidR="005A1247">
        <w:t> </w:t>
      </w:r>
      <w:r w:rsidRPr="004F707E">
        <w:t>podobném režimu, jako v</w:t>
      </w:r>
      <w:r w:rsidR="005A1247">
        <w:t> </w:t>
      </w:r>
      <w:r w:rsidRPr="004F707E">
        <w:t>případě podpory bateriových elektrických vozidel. Klíčové též je, aby vodíková osobní vozidla byla v</w:t>
      </w:r>
      <w:r w:rsidR="005A1247">
        <w:t> </w:t>
      </w:r>
      <w:r w:rsidRPr="004F707E">
        <w:t>budoucnosti nakupována orgány veřejné správy, což by mělo být zajištěno zejména na základě plnění požadavků novely směrnice 2009/33 o</w:t>
      </w:r>
      <w:r w:rsidR="005A1247">
        <w:t> </w:t>
      </w:r>
      <w:r w:rsidRPr="004F707E">
        <w:t xml:space="preserve">podpoře čistých vozidel. </w:t>
      </w:r>
    </w:p>
    <w:p w14:paraId="29DF1108" w14:textId="4A50D08A" w:rsidR="00F0163E" w:rsidRPr="004F707E" w:rsidRDefault="00F0163E" w:rsidP="009A3B7E">
      <w:pPr>
        <w:jc w:val="both"/>
      </w:pPr>
      <w:r w:rsidRPr="004F707E">
        <w:t>Pro odpovídající rozvoj vodíkové mobility v</w:t>
      </w:r>
      <w:r w:rsidR="005A1247">
        <w:t> </w:t>
      </w:r>
      <w:r w:rsidRPr="004F707E">
        <w:t>oblasti osobních vozidel bude třeba vyřešit rovněž oblast parkování těchto vozidel v</w:t>
      </w:r>
      <w:r w:rsidR="005A1247">
        <w:t> </w:t>
      </w:r>
      <w:r w:rsidRPr="004F707E">
        <w:t>garážích, a</w:t>
      </w:r>
      <w:r w:rsidR="005A1247">
        <w:t> </w:t>
      </w:r>
      <w:r w:rsidRPr="004F707E">
        <w:t>to v</w:t>
      </w:r>
      <w:r w:rsidR="005A1247">
        <w:t> </w:t>
      </w:r>
      <w:r w:rsidRPr="004F707E">
        <w:t xml:space="preserve">podobném režimu, který je navrhován pro vozidla na zemní plyn. </w:t>
      </w:r>
    </w:p>
    <w:p w14:paraId="6D9D2BF5" w14:textId="00741D51" w:rsidR="00F0163E" w:rsidRDefault="00F0163E" w:rsidP="009A3B7E">
      <w:pPr>
        <w:jc w:val="both"/>
      </w:pPr>
      <w:r w:rsidRPr="004F707E">
        <w:t>Klíčovým faktorem pro naplnění výše uvedeného cíle bude (stejně jako v</w:t>
      </w:r>
      <w:r w:rsidR="005A1247">
        <w:t> </w:t>
      </w:r>
      <w:r w:rsidRPr="004F707E">
        <w:t>případě vodíkových autobusů) odhadovaný pokles ceny vodíkových vozidel, resp. odhad klesajícího rozdílu mezi cenou vodíkového vozidla oproti vozidlu na konvenční pohon.</w:t>
      </w:r>
      <w:r w:rsidR="0060271B">
        <w:t xml:space="preserve"> </w:t>
      </w:r>
      <w:r w:rsidRPr="004F707E">
        <w:t>Zatímco v</w:t>
      </w:r>
      <w:r w:rsidR="005A1247">
        <w:t> </w:t>
      </w:r>
      <w:r w:rsidRPr="004F707E">
        <w:t>roce 2020 by tento rozdíl měl činit kolem 700 tisíc Kč, již v</w:t>
      </w:r>
      <w:r w:rsidR="005A1247">
        <w:t> </w:t>
      </w:r>
      <w:r w:rsidRPr="004F707E">
        <w:t>roce 2025 by to mělo být téměř o</w:t>
      </w:r>
      <w:r w:rsidR="005A1247">
        <w:t> </w:t>
      </w:r>
      <w:r w:rsidRPr="004F707E">
        <w:t>300 tisíc méně (417 tisíc Kč), v</w:t>
      </w:r>
      <w:r w:rsidR="005A1247">
        <w:t> </w:t>
      </w:r>
      <w:r w:rsidRPr="004F707E">
        <w:t>roce 2030 by dle odhadu měl tento rozdíl činit pouze 84 tisíc. To do značné míry vysvětluje fakt, proč uvedená predikce počítá s</w:t>
      </w:r>
      <w:r w:rsidR="005A1247">
        <w:t> </w:t>
      </w:r>
      <w:r w:rsidRPr="004F707E">
        <w:t>výrazným nárůstem počtu osobních vodíkových vozidel mezi lety 2025 a</w:t>
      </w:r>
      <w:r w:rsidR="005A1247">
        <w:t> </w:t>
      </w:r>
      <w:r w:rsidRPr="004F707E">
        <w:t>2030. Na těchto odhadech je postaven celkový odhad finanční náročnosti rozvoje vodíkové mobility do roku 2030. Také lze předpokládat, že ceny vozidel s</w:t>
      </w:r>
      <w:r w:rsidR="005A1247">
        <w:t> </w:t>
      </w:r>
      <w:r w:rsidRPr="004F707E">
        <w:t>konvenčním pohonem porostou pravděpodobně více, než je nyní předpokládáno z</w:t>
      </w:r>
      <w:r w:rsidR="005A1247">
        <w:t> </w:t>
      </w:r>
      <w:r w:rsidRPr="004F707E">
        <w:t>důvodu implementace restriktivní legislativy EU. Z</w:t>
      </w:r>
      <w:r w:rsidR="005A1247">
        <w:t> </w:t>
      </w:r>
      <w:r w:rsidRPr="004F707E">
        <w:t>aktuálních predikcí vyplívá, že náklady na vodíkové automobily, které by měly vyložit jak veřejné, tak i</w:t>
      </w:r>
      <w:r w:rsidR="005A1247">
        <w:t> </w:t>
      </w:r>
      <w:r w:rsidRPr="004F707E">
        <w:t>soukromé subjekty, dosahují kumulativní úrovně 28 mld. Kč do roku 2030.</w:t>
      </w:r>
    </w:p>
    <w:p w14:paraId="41AC3DDB" w14:textId="5C1C809D" w:rsidR="00EC2BF5" w:rsidRPr="00876832" w:rsidRDefault="00EC2BF5" w:rsidP="009A3B7E">
      <w:pPr>
        <w:jc w:val="both"/>
        <w:rPr>
          <w:b/>
        </w:rPr>
      </w:pPr>
      <w:bookmarkStart w:id="56" w:name="_Toc13732625"/>
      <w:bookmarkStart w:id="57" w:name="_Toc19792376"/>
      <w:r w:rsidRPr="00876832">
        <w:rPr>
          <w:b/>
        </w:rPr>
        <w:lastRenderedPageBreak/>
        <w:t>Podpora využití vodíku v</w:t>
      </w:r>
      <w:r w:rsidR="005A1247">
        <w:rPr>
          <w:b/>
        </w:rPr>
        <w:t> </w:t>
      </w:r>
      <w:r w:rsidRPr="00876832">
        <w:rPr>
          <w:b/>
        </w:rPr>
        <w:t>oblasti nákladní dopravy</w:t>
      </w:r>
      <w:bookmarkEnd w:id="56"/>
      <w:bookmarkEnd w:id="57"/>
      <w:r w:rsidRPr="00876832">
        <w:rPr>
          <w:b/>
        </w:rPr>
        <w:t xml:space="preserve"> </w:t>
      </w:r>
    </w:p>
    <w:p w14:paraId="07CDCB1C" w14:textId="4426B922" w:rsidR="00EC2BF5" w:rsidRPr="004F707E" w:rsidRDefault="00EC2BF5" w:rsidP="009A3B7E">
      <w:pPr>
        <w:jc w:val="both"/>
      </w:pPr>
      <w:r w:rsidRPr="004F707E">
        <w:t>NAP CM cílí též k</w:t>
      </w:r>
      <w:r w:rsidR="005A1247">
        <w:t> </w:t>
      </w:r>
      <w:r w:rsidRPr="004F707E">
        <w:t>nastartování využití vodíku v</w:t>
      </w:r>
      <w:r w:rsidR="005A1247">
        <w:t> </w:t>
      </w:r>
      <w:r w:rsidRPr="004F707E">
        <w:t>oblasti nákladní dopravy, a</w:t>
      </w:r>
      <w:r w:rsidR="005A1247">
        <w:t> </w:t>
      </w:r>
      <w:r w:rsidRPr="004F707E">
        <w:t>to především ve střednědobém a</w:t>
      </w:r>
      <w:r w:rsidR="005A1247">
        <w:t> </w:t>
      </w:r>
      <w:r w:rsidRPr="004F707E">
        <w:t>dlouhodobém horizontu. Nelze předpokládat podobný nástup využití nákladních vozidel jako u</w:t>
      </w:r>
      <w:r w:rsidR="005A1247">
        <w:t> </w:t>
      </w:r>
      <w:r w:rsidRPr="004F707E">
        <w:t>autobusové či osobní dopravy co do počtu vozů do roku 2030.</w:t>
      </w:r>
      <w:r w:rsidRPr="004F707E">
        <w:rPr>
          <w:rFonts w:cstheme="minorHAnsi"/>
        </w:rPr>
        <w:t xml:space="preserve"> Dokument Hydrogen Roadmap Europe predikuje, že by vodíková nákladní vozidla mohla dosáhnout 1 % ročního objemu prodeje v</w:t>
      </w:r>
      <w:r w:rsidR="005A1247">
        <w:rPr>
          <w:rFonts w:cstheme="minorHAnsi"/>
        </w:rPr>
        <w:t> </w:t>
      </w:r>
      <w:r w:rsidRPr="004F707E">
        <w:rPr>
          <w:rFonts w:cstheme="minorHAnsi"/>
        </w:rPr>
        <w:t>roce 2030 v</w:t>
      </w:r>
      <w:r w:rsidR="005A1247">
        <w:rPr>
          <w:rFonts w:cstheme="minorHAnsi"/>
        </w:rPr>
        <w:t> </w:t>
      </w:r>
      <w:r w:rsidRPr="004F707E">
        <w:rPr>
          <w:rFonts w:cstheme="minorHAnsi"/>
        </w:rPr>
        <w:t>Evropě (tedy zhruba 4-6 tis. vozidel).</w:t>
      </w:r>
    </w:p>
    <w:p w14:paraId="7CF5AEC2" w14:textId="3B1CDD9A" w:rsidR="00EC2BF5" w:rsidRPr="004F707E" w:rsidRDefault="00C71F27" w:rsidP="009A3B7E">
      <w:pPr>
        <w:jc w:val="both"/>
        <w:rPr>
          <w:rFonts w:cstheme="minorHAnsi"/>
        </w:rPr>
      </w:pPr>
      <w:r>
        <w:rPr>
          <w:rFonts w:cstheme="minorHAnsi"/>
        </w:rPr>
        <w:t>Výhodou vodíkové technologie v</w:t>
      </w:r>
      <w:r w:rsidR="005A1247">
        <w:rPr>
          <w:rFonts w:cstheme="minorHAnsi"/>
        </w:rPr>
        <w:t> </w:t>
      </w:r>
      <w:r>
        <w:rPr>
          <w:rFonts w:cstheme="minorHAnsi"/>
        </w:rPr>
        <w:t xml:space="preserve">oblasti </w:t>
      </w:r>
      <w:r w:rsidR="00EC2BF5" w:rsidRPr="004F707E">
        <w:rPr>
          <w:rFonts w:cstheme="minorHAnsi"/>
        </w:rPr>
        <w:t>nákladní silniční doprav</w:t>
      </w:r>
      <w:r>
        <w:rPr>
          <w:rFonts w:cstheme="minorHAnsi"/>
        </w:rPr>
        <w:t>y</w:t>
      </w:r>
      <w:r w:rsidR="00EC2BF5" w:rsidRPr="004F707E">
        <w:rPr>
          <w:rFonts w:cstheme="minorHAnsi"/>
        </w:rPr>
        <w:t xml:space="preserve"> nad vzdálenost 100 km v</w:t>
      </w:r>
      <w:r w:rsidR="005A1247">
        <w:rPr>
          <w:rFonts w:cstheme="minorHAnsi"/>
        </w:rPr>
        <w:t> </w:t>
      </w:r>
      <w:r w:rsidR="00EC2BF5" w:rsidRPr="004F707E">
        <w:rPr>
          <w:rFonts w:cstheme="minorHAnsi"/>
        </w:rPr>
        <w:t>porovnání s</w:t>
      </w:r>
      <w:r w:rsidR="005A1247">
        <w:rPr>
          <w:rFonts w:cstheme="minorHAnsi"/>
        </w:rPr>
        <w:t> </w:t>
      </w:r>
      <w:r w:rsidR="00EC2BF5" w:rsidRPr="004F707E">
        <w:rPr>
          <w:rFonts w:cstheme="minorHAnsi"/>
        </w:rPr>
        <w:t xml:space="preserve">bateriovou elektromobilitou </w:t>
      </w:r>
      <w:r>
        <w:rPr>
          <w:rFonts w:cstheme="minorHAnsi"/>
        </w:rPr>
        <w:t xml:space="preserve">je vyšší </w:t>
      </w:r>
      <w:r w:rsidR="00EC2BF5" w:rsidRPr="004F707E">
        <w:rPr>
          <w:rFonts w:cstheme="minorHAnsi"/>
        </w:rPr>
        <w:t>nákladov</w:t>
      </w:r>
      <w:r>
        <w:rPr>
          <w:rFonts w:cstheme="minorHAnsi"/>
        </w:rPr>
        <w:t>á</w:t>
      </w:r>
      <w:r w:rsidR="00EC2BF5" w:rsidRPr="004F707E">
        <w:rPr>
          <w:rFonts w:cstheme="minorHAnsi"/>
        </w:rPr>
        <w:t xml:space="preserve"> efektivn</w:t>
      </w:r>
      <w:r>
        <w:rPr>
          <w:rFonts w:cstheme="minorHAnsi"/>
        </w:rPr>
        <w:t xml:space="preserve">ost. Ta je dána např. tím, že </w:t>
      </w:r>
      <w:r w:rsidR="00EC2BF5" w:rsidRPr="004F707E">
        <w:rPr>
          <w:rFonts w:cstheme="minorHAnsi"/>
        </w:rPr>
        <w:t>dobíjení nákladního vozidla na ultrarychlé rychlodobíjecí stanici je cca 15krát pomalejší než při využití vodíku. Zároveň vodíková vozidla uvezou více nákladu a</w:t>
      </w:r>
      <w:r w:rsidR="005A1247">
        <w:rPr>
          <w:rFonts w:cstheme="minorHAnsi"/>
        </w:rPr>
        <w:t> </w:t>
      </w:r>
      <w:r w:rsidR="00EC2BF5" w:rsidRPr="004F707E">
        <w:rPr>
          <w:rFonts w:cstheme="minorHAnsi"/>
        </w:rPr>
        <w:t xml:space="preserve">mají delší dojezd. Lze nicméně konstatovat, </w:t>
      </w:r>
      <w:r w:rsidR="001B648F" w:rsidRPr="004F707E">
        <w:rPr>
          <w:rFonts w:cstheme="minorHAnsi"/>
        </w:rPr>
        <w:t>že aktuálně</w:t>
      </w:r>
      <w:r w:rsidR="00EC2BF5" w:rsidRPr="004F707E">
        <w:rPr>
          <w:rFonts w:cstheme="minorHAnsi"/>
        </w:rPr>
        <w:t xml:space="preserve"> </w:t>
      </w:r>
      <w:r w:rsidR="009E21A8">
        <w:rPr>
          <w:rFonts w:cstheme="minorHAnsi"/>
        </w:rPr>
        <w:t xml:space="preserve">je </w:t>
      </w:r>
      <w:r w:rsidR="00EC2BF5" w:rsidRPr="004F707E">
        <w:rPr>
          <w:rFonts w:cstheme="minorHAnsi"/>
        </w:rPr>
        <w:t xml:space="preserve">technologie vodíkových nákladních vozů méně </w:t>
      </w:r>
      <w:r w:rsidR="001B648F" w:rsidRPr="004F707E">
        <w:rPr>
          <w:rFonts w:cstheme="minorHAnsi"/>
        </w:rPr>
        <w:t>vyspělá</w:t>
      </w:r>
      <w:r w:rsidR="00EC2BF5" w:rsidRPr="004F707E">
        <w:rPr>
          <w:rFonts w:cstheme="minorHAnsi"/>
        </w:rPr>
        <w:t xml:space="preserve"> než například u</w:t>
      </w:r>
      <w:r w:rsidR="005A1247">
        <w:rPr>
          <w:rFonts w:cstheme="minorHAnsi"/>
        </w:rPr>
        <w:t> </w:t>
      </w:r>
      <w:r w:rsidR="00EC2BF5" w:rsidRPr="004F707E">
        <w:rPr>
          <w:rFonts w:cstheme="minorHAnsi"/>
        </w:rPr>
        <w:t>osobních automobilů, a</w:t>
      </w:r>
      <w:r w:rsidR="005A1247">
        <w:rPr>
          <w:rFonts w:cstheme="minorHAnsi"/>
        </w:rPr>
        <w:t> </w:t>
      </w:r>
      <w:r w:rsidR="00EC2BF5" w:rsidRPr="004F707E">
        <w:rPr>
          <w:rFonts w:cstheme="minorHAnsi"/>
        </w:rPr>
        <w:t>proto se předpokládá pozdější využití této technologie ve větším měřítku</w:t>
      </w:r>
      <w:r w:rsidR="00512504">
        <w:rPr>
          <w:rFonts w:cstheme="minorHAnsi"/>
        </w:rPr>
        <w:t xml:space="preserve"> (např. svoz odpadu apod.)</w:t>
      </w:r>
      <w:r w:rsidR="00EC2BF5" w:rsidRPr="004F707E">
        <w:rPr>
          <w:rFonts w:cstheme="minorHAnsi"/>
        </w:rPr>
        <w:t xml:space="preserve">. </w:t>
      </w:r>
    </w:p>
    <w:p w14:paraId="783E5484" w14:textId="14B7254B" w:rsidR="00AA3E2A" w:rsidRDefault="00EC2BF5" w:rsidP="00474B32">
      <w:pPr>
        <w:jc w:val="both"/>
        <w:rPr>
          <w:rFonts w:cstheme="minorHAnsi"/>
        </w:rPr>
      </w:pPr>
      <w:r w:rsidRPr="004F707E">
        <w:rPr>
          <w:rFonts w:cstheme="minorHAnsi"/>
        </w:rPr>
        <w:t xml:space="preserve">V současné době nejsou vytvořeny žádné specifické dotace či finanční zvýhodnění zaměřené specificky na vodíkovou nákladní mobilitu. Strategie NAP CM </w:t>
      </w:r>
      <w:r w:rsidR="00C71F27">
        <w:rPr>
          <w:rFonts w:cstheme="minorHAnsi"/>
        </w:rPr>
        <w:t>proto</w:t>
      </w:r>
      <w:r w:rsidRPr="004F707E">
        <w:rPr>
          <w:rFonts w:cstheme="minorHAnsi"/>
        </w:rPr>
        <w:t xml:space="preserve"> cílí na zavedení finanční podpory také pro nákladní vodíkovou dopravu, jelikož obdobně jako u</w:t>
      </w:r>
      <w:r w:rsidR="005A1247">
        <w:rPr>
          <w:rFonts w:cstheme="minorHAnsi"/>
        </w:rPr>
        <w:t> </w:t>
      </w:r>
      <w:r w:rsidRPr="004F707E">
        <w:rPr>
          <w:rFonts w:cstheme="minorHAnsi"/>
        </w:rPr>
        <w:t>osobních automobilů jsou počáteční investice do nákladních vozidel na vodík velmi vysoké. Aktuální predikce ohledně ceny nákladních vozidel se pohybuje řádově 2krát výše, než je cena nákladního vozidla na konvenční palivo. Podpora by tedy měla též směřovat k</w:t>
      </w:r>
      <w:r w:rsidR="005A1247">
        <w:rPr>
          <w:rFonts w:cstheme="minorHAnsi"/>
        </w:rPr>
        <w:t> </w:t>
      </w:r>
      <w:r w:rsidRPr="004F707E">
        <w:rPr>
          <w:rFonts w:cstheme="minorHAnsi"/>
        </w:rPr>
        <w:t>vytvoření infrastruktury pro možný vstup zahraničních vozidel s</w:t>
      </w:r>
      <w:r w:rsidR="005A1247">
        <w:rPr>
          <w:rFonts w:cstheme="minorHAnsi"/>
        </w:rPr>
        <w:t> </w:t>
      </w:r>
      <w:r w:rsidRPr="004F707E">
        <w:rPr>
          <w:rFonts w:cstheme="minorHAnsi"/>
        </w:rPr>
        <w:t xml:space="preserve">vodíkovým pohonem. Rozvoj nákladní vodíkové dopravy </w:t>
      </w:r>
      <w:r w:rsidR="00F65F59">
        <w:rPr>
          <w:rFonts w:cstheme="minorHAnsi"/>
        </w:rPr>
        <w:t xml:space="preserve">může </w:t>
      </w:r>
      <w:r w:rsidRPr="004F707E">
        <w:rPr>
          <w:rFonts w:cstheme="minorHAnsi"/>
        </w:rPr>
        <w:t>podpoř</w:t>
      </w:r>
      <w:r w:rsidR="00F65F59">
        <w:rPr>
          <w:rFonts w:cstheme="minorHAnsi"/>
        </w:rPr>
        <w:t xml:space="preserve">it skutečnost, </w:t>
      </w:r>
      <w:r w:rsidR="001B648F">
        <w:rPr>
          <w:rFonts w:cstheme="minorHAnsi"/>
        </w:rPr>
        <w:t>že vodíková</w:t>
      </w:r>
      <w:r w:rsidR="00F65F59">
        <w:rPr>
          <w:rFonts w:cstheme="minorHAnsi"/>
        </w:rPr>
        <w:t xml:space="preserve"> vozidla (stejně jako ostatní typy elektrických vozidel jsou již </w:t>
      </w:r>
      <w:r w:rsidR="00C71F27">
        <w:rPr>
          <w:rFonts w:cstheme="minorHAnsi"/>
        </w:rPr>
        <w:t>d</w:t>
      </w:r>
      <w:r w:rsidR="00F65F59">
        <w:rPr>
          <w:rFonts w:cstheme="minorHAnsi"/>
        </w:rPr>
        <w:t xml:space="preserve">nes vyjmuta ze </w:t>
      </w:r>
      <w:r w:rsidR="00C71F27">
        <w:rPr>
          <w:rFonts w:cstheme="minorHAnsi"/>
        </w:rPr>
        <w:t xml:space="preserve">systému </w:t>
      </w:r>
      <w:r w:rsidR="00F65F59">
        <w:rPr>
          <w:rFonts w:cstheme="minorHAnsi"/>
        </w:rPr>
        <w:t>zpoplatnění</w:t>
      </w:r>
      <w:r w:rsidR="00C71F27">
        <w:rPr>
          <w:rFonts w:cstheme="minorHAnsi"/>
        </w:rPr>
        <w:t xml:space="preserve"> (jak v</w:t>
      </w:r>
      <w:r w:rsidR="005A1247">
        <w:rPr>
          <w:rFonts w:cstheme="minorHAnsi"/>
        </w:rPr>
        <w:t> </w:t>
      </w:r>
      <w:r w:rsidR="00C71F27">
        <w:rPr>
          <w:rFonts w:cstheme="minorHAnsi"/>
        </w:rPr>
        <w:t>podobě časového tak i</w:t>
      </w:r>
      <w:r w:rsidR="005A1247">
        <w:rPr>
          <w:rFonts w:cstheme="minorHAnsi"/>
        </w:rPr>
        <w:t> </w:t>
      </w:r>
      <w:r w:rsidR="00C71F27">
        <w:rPr>
          <w:rFonts w:cstheme="minorHAnsi"/>
        </w:rPr>
        <w:t xml:space="preserve">výkonového – mýtné). </w:t>
      </w:r>
      <w:r w:rsidR="00F65F59">
        <w:rPr>
          <w:rFonts w:cstheme="minorHAnsi"/>
        </w:rPr>
        <w:t xml:space="preserve"> </w:t>
      </w:r>
      <w:bookmarkStart w:id="58" w:name="_Toc13732626"/>
      <w:bookmarkStart w:id="59" w:name="_Toc19792377"/>
    </w:p>
    <w:p w14:paraId="0A3D3887" w14:textId="77777777" w:rsidR="00A0449C" w:rsidRPr="008F23C7" w:rsidRDefault="00432262" w:rsidP="009A3B7E">
      <w:pPr>
        <w:pStyle w:val="Nadpis3"/>
        <w:jc w:val="both"/>
      </w:pPr>
      <w:r>
        <w:t>Rozvoj infrastruktury vodíkových plnících</w:t>
      </w:r>
      <w:bookmarkStart w:id="60" w:name="_Toc21508924"/>
      <w:bookmarkStart w:id="61" w:name="_Toc21508928"/>
      <w:bookmarkStart w:id="62" w:name="_Ref20310816"/>
      <w:bookmarkEnd w:id="58"/>
      <w:bookmarkEnd w:id="59"/>
      <w:bookmarkEnd w:id="60"/>
      <w:bookmarkEnd w:id="61"/>
      <w:r w:rsidR="00A0449C" w:rsidRPr="008F23C7">
        <w:t xml:space="preserve"> stanic</w:t>
      </w:r>
      <w:bookmarkEnd w:id="62"/>
    </w:p>
    <w:p w14:paraId="69AE4E29" w14:textId="182CEA23" w:rsidR="00EC2BF5" w:rsidRPr="00876832" w:rsidRDefault="00EB5DB8" w:rsidP="009A3B7E">
      <w:pPr>
        <w:jc w:val="both"/>
        <w:rPr>
          <w:b/>
        </w:rPr>
      </w:pPr>
      <w:r>
        <w:t xml:space="preserve"> </w:t>
      </w:r>
      <w:bookmarkStart w:id="63" w:name="_Toc13732622"/>
      <w:bookmarkStart w:id="64" w:name="_Toc19792373"/>
      <w:r w:rsidR="00EC2BF5" w:rsidRPr="00876832">
        <w:rPr>
          <w:b/>
        </w:rPr>
        <w:t>Rozvoj dostatečné husté veřejné i</w:t>
      </w:r>
      <w:r w:rsidR="005A1247">
        <w:rPr>
          <w:b/>
        </w:rPr>
        <w:t> </w:t>
      </w:r>
      <w:r w:rsidR="00EC2BF5" w:rsidRPr="00876832">
        <w:rPr>
          <w:b/>
        </w:rPr>
        <w:t>neveřejné infrastruktury vodíkových plnicích stanic</w:t>
      </w:r>
      <w:bookmarkEnd w:id="63"/>
      <w:bookmarkEnd w:id="64"/>
      <w:r w:rsidR="00EC2BF5" w:rsidRPr="00876832">
        <w:rPr>
          <w:b/>
        </w:rPr>
        <w:t xml:space="preserve"> </w:t>
      </w:r>
    </w:p>
    <w:p w14:paraId="5EF960CC" w14:textId="585840F3" w:rsidR="00EC2BF5" w:rsidRPr="004F707E" w:rsidRDefault="00EC2BF5" w:rsidP="009A3B7E">
      <w:pPr>
        <w:jc w:val="both"/>
      </w:pPr>
      <w:r w:rsidRPr="004F707E">
        <w:t>Jak vyplývá z</w:t>
      </w:r>
      <w:r w:rsidR="005A1247">
        <w:t> </w:t>
      </w:r>
      <w:r w:rsidRPr="004F707E">
        <w:t xml:space="preserve"> vodíkové studie (viz </w:t>
      </w:r>
      <w:r w:rsidR="004E6087">
        <w:t>analytický materiál</w:t>
      </w:r>
      <w:r w:rsidRPr="004F707E">
        <w:t>), rozvoj infrastruktury vodíkových stanic je zcela nezbytnou podmínkou rozvoje vodíkové mobility. Vzhledem k</w:t>
      </w:r>
      <w:r w:rsidR="005A1247">
        <w:t> </w:t>
      </w:r>
      <w:r w:rsidRPr="004F707E">
        <w:t>výraznému potenciálu vodíkové mobility v</w:t>
      </w:r>
      <w:r w:rsidR="005A1247">
        <w:t> </w:t>
      </w:r>
      <w:r w:rsidRPr="004F707E">
        <w:t>oblasti veřejné hromadné dopravy je přitom třeba myslet na jistá specifika tohoto segmentu (viz zejména potřeba budování dostatečně kapacitních plnících stanic). Infrastrukturu vodíkových stanic, které by měly zajistit obsluhu vodíkových autobusů, je přitom možné rozvíjet buď na bázi neveřejných stanic umístěných např. v</w:t>
      </w:r>
      <w:r w:rsidR="005A1247">
        <w:t> </w:t>
      </w:r>
      <w:r w:rsidRPr="004F707E">
        <w:t>depech dopravních podniků, nebo v</w:t>
      </w:r>
      <w:r w:rsidR="005A1247">
        <w:t> </w:t>
      </w:r>
      <w:r w:rsidRPr="004F707E">
        <w:t>kombinaci s</w:t>
      </w:r>
      <w:r w:rsidR="005A1247">
        <w:t> </w:t>
      </w:r>
      <w:r w:rsidRPr="004F707E">
        <w:t>obsluhou vodíkových osobních vozidel jako infrastrukturu veřejnou. Zde je ale třeba myslet na to, že hodnota počáteční investice u</w:t>
      </w:r>
      <w:r w:rsidR="005A1247">
        <w:t> </w:t>
      </w:r>
      <w:r w:rsidRPr="004F707E">
        <w:t>takovéto „kombinované“ vodíkové stanice může být několikanásobně vyšší než u</w:t>
      </w:r>
      <w:r w:rsidR="005A1247">
        <w:t> </w:t>
      </w:r>
      <w:r w:rsidRPr="004F707E">
        <w:t>vodíkové stanice sloužící výhradně pro osobní dopravu. Zároveň je však nutné vnímat, že výše finanční podpory v</w:t>
      </w:r>
      <w:r w:rsidR="005A1247">
        <w:t> </w:t>
      </w:r>
      <w:r w:rsidRPr="004F707E">
        <w:t>tomto případě v</w:t>
      </w:r>
      <w:r w:rsidR="005A1247">
        <w:t> </w:t>
      </w:r>
      <w:r w:rsidRPr="004F707E">
        <w:t>časovém horizontu klesá. Co se navíc sítě vodíkových plnicích stanic týče, nemusí být z</w:t>
      </w:r>
      <w:r w:rsidR="005A1247">
        <w:t> </w:t>
      </w:r>
      <w:r w:rsidRPr="004F707E">
        <w:t>hlediska veřejné dopravy tak hustá, jako v</w:t>
      </w:r>
      <w:r w:rsidR="005A1247">
        <w:t> </w:t>
      </w:r>
      <w:r w:rsidRPr="004F707E">
        <w:t>případě osobních vozidel.</w:t>
      </w:r>
      <w:r w:rsidR="0060271B">
        <w:t xml:space="preserve"> </w:t>
      </w:r>
    </w:p>
    <w:p w14:paraId="20034D26" w14:textId="5244EBFC" w:rsidR="00EC2BF5" w:rsidRPr="004F707E" w:rsidRDefault="00EC2BF5" w:rsidP="009A3B7E">
      <w:pPr>
        <w:jc w:val="both"/>
      </w:pPr>
      <w:r w:rsidRPr="004F707E">
        <w:t>Speciálním bodem zájmu by se dle NAP CM měla stát podpora neveřejných vodíkových plnících stanic. Je předpokládáno využití neveřejných stanic především ze strany dopravních podniků, nákladní dopravy nebo třeba velkých firemních flotil. Neveřejné plnící stanice skýtají řadu výhod ať už v</w:t>
      </w:r>
      <w:r w:rsidR="005A1247">
        <w:t> </w:t>
      </w:r>
      <w:r w:rsidRPr="004F707E">
        <w:t>efektivitě provozu (otevírací doba nemusí být 24/7, plánování importu či výroby vodíku) nebo v</w:t>
      </w:r>
      <w:r w:rsidR="005A1247">
        <w:t> </w:t>
      </w:r>
      <w:r w:rsidRPr="004F707E">
        <w:t xml:space="preserve">dispozičním řešení samotné stanice. </w:t>
      </w:r>
    </w:p>
    <w:p w14:paraId="39B378E1" w14:textId="77AF3934" w:rsidR="00EC2BF5" w:rsidRPr="004F707E" w:rsidRDefault="00EC2BF5" w:rsidP="009A3B7E">
      <w:pPr>
        <w:jc w:val="both"/>
      </w:pPr>
      <w:r w:rsidRPr="004F707E">
        <w:t>Finanční náročnost spojená s</w:t>
      </w:r>
      <w:r w:rsidR="005A1247">
        <w:t> </w:t>
      </w:r>
      <w:r w:rsidRPr="004F707E">
        <w:t>vybudováním dostatečně husté sítě je spjatá s</w:t>
      </w:r>
      <w:r w:rsidR="005A1247">
        <w:t> </w:t>
      </w:r>
      <w:r w:rsidRPr="004F707E">
        <w:t>potřebností určité penetrace sítě vůči počtu vozidel a</w:t>
      </w:r>
      <w:r w:rsidR="005A1247">
        <w:t> </w:t>
      </w:r>
      <w:r w:rsidRPr="004F707E">
        <w:t>jejich umístění v</w:t>
      </w:r>
      <w:r w:rsidR="005A1247">
        <w:t> </w:t>
      </w:r>
      <w:r w:rsidRPr="004F707E">
        <w:t xml:space="preserve">celém prostoru ČR. </w:t>
      </w:r>
      <w:r w:rsidRPr="004F707E">
        <w:rPr>
          <w:b/>
        </w:rPr>
        <w:t>Plánovaný/odhadovaný počet stanic v</w:t>
      </w:r>
      <w:r w:rsidR="005A1247">
        <w:rPr>
          <w:b/>
        </w:rPr>
        <w:t> </w:t>
      </w:r>
      <w:r w:rsidRPr="004F707E">
        <w:rPr>
          <w:b/>
        </w:rPr>
        <w:t>roce 2030 je odvozen z</w:t>
      </w:r>
      <w:r w:rsidR="005A1247">
        <w:rPr>
          <w:b/>
        </w:rPr>
        <w:t> </w:t>
      </w:r>
      <w:r w:rsidRPr="004F707E">
        <w:rPr>
          <w:b/>
        </w:rPr>
        <w:t>počtu vozidel. Po celé ČR by v</w:t>
      </w:r>
      <w:r w:rsidR="005A1247">
        <w:rPr>
          <w:b/>
        </w:rPr>
        <w:t> </w:t>
      </w:r>
      <w:r w:rsidRPr="004F707E">
        <w:rPr>
          <w:b/>
        </w:rPr>
        <w:t>té době mělo být 80 stanic pro optimální pokrytí republiky a</w:t>
      </w:r>
      <w:r w:rsidR="005A1247">
        <w:rPr>
          <w:b/>
        </w:rPr>
        <w:t> </w:t>
      </w:r>
      <w:r w:rsidRPr="004F707E">
        <w:rPr>
          <w:b/>
        </w:rPr>
        <w:t>dostupnost plnění pro zákazníky</w:t>
      </w:r>
      <w:r w:rsidR="004A40EF">
        <w:rPr>
          <w:b/>
        </w:rPr>
        <w:t>,</w:t>
      </w:r>
      <w:r w:rsidR="004A40EF" w:rsidRPr="004A40EF">
        <w:t xml:space="preserve"> </w:t>
      </w:r>
      <w:r w:rsidR="004A40EF">
        <w:t>přičemž tento cíl může být ještě upřesněn v</w:t>
      </w:r>
      <w:r w:rsidR="005A1247">
        <w:t> </w:t>
      </w:r>
      <w:r w:rsidR="004A40EF">
        <w:t>další aktualizaci NAP CM v</w:t>
      </w:r>
      <w:r w:rsidR="005A1247">
        <w:t> </w:t>
      </w:r>
      <w:r w:rsidR="004A40EF">
        <w:t xml:space="preserve">návaznosti </w:t>
      </w:r>
      <w:r w:rsidR="004A40EF">
        <w:lastRenderedPageBreak/>
        <w:t>na další vývoj na trhu vodíkových vozidel nejen v</w:t>
      </w:r>
      <w:r w:rsidR="005A1247">
        <w:t> </w:t>
      </w:r>
      <w:r w:rsidR="004A40EF">
        <w:t>ĆR ale i</w:t>
      </w:r>
      <w:r w:rsidR="005A1247">
        <w:t> </w:t>
      </w:r>
      <w:r w:rsidR="004A40EF">
        <w:t>v celé EU</w:t>
      </w:r>
      <w:r w:rsidRPr="004F707E">
        <w:rPr>
          <w:b/>
        </w:rPr>
        <w:t>.</w:t>
      </w:r>
      <w:r w:rsidRPr="004F707E">
        <w:t xml:space="preserve"> Náklady na tyto stanice budou kumulovaně skoro 3,5 mld. Kč do roku 2030.</w:t>
      </w:r>
    </w:p>
    <w:p w14:paraId="353133EB" w14:textId="0D14EFA4" w:rsidR="00EC2BF5" w:rsidRPr="004F707E" w:rsidRDefault="00EC2BF5" w:rsidP="009A3B7E">
      <w:pPr>
        <w:jc w:val="both"/>
        <w:rPr>
          <w:b/>
        </w:rPr>
      </w:pPr>
      <w:r w:rsidRPr="004F707E">
        <w:t>Zároveň je třeba říct, že je třeba stanovit minimální cíl v</w:t>
      </w:r>
      <w:r w:rsidR="005A1247">
        <w:t> </w:t>
      </w:r>
      <w:r w:rsidRPr="004F707E">
        <w:t>počtu stanic pro rok 2025, aby došlo k</w:t>
      </w:r>
      <w:r w:rsidR="005A1247">
        <w:t> </w:t>
      </w:r>
      <w:r w:rsidRPr="004F707E">
        <w:t>rozvoji tohoto druhu paliva v</w:t>
      </w:r>
      <w:r w:rsidR="005A1247">
        <w:t> </w:t>
      </w:r>
      <w:r w:rsidRPr="004F707E">
        <w:t>dopravě. Při úvaze, kde by takové stanice mohly stát, se nabízí hlavní dálniční tahy a</w:t>
      </w:r>
      <w:r w:rsidR="005A1247">
        <w:t> </w:t>
      </w:r>
      <w:r w:rsidRPr="004F707E">
        <w:t>krajská (pravděpodobně ne všechna) města</w:t>
      </w:r>
      <w:r w:rsidR="00CD6636">
        <w:t>.</w:t>
      </w:r>
      <w:r w:rsidRPr="004F707E">
        <w:t xml:space="preserve"> </w:t>
      </w:r>
      <w:r w:rsidR="009D7E4E" w:rsidRPr="009D7E4E">
        <w:rPr>
          <w:b/>
        </w:rPr>
        <w:t>C</w:t>
      </w:r>
      <w:r w:rsidRPr="004F707E">
        <w:rPr>
          <w:b/>
        </w:rPr>
        <w:t>ílovou hodnotou je tedy cca 15 vodíkových plnících stanic fungujících v</w:t>
      </w:r>
      <w:r w:rsidR="005A1247">
        <w:rPr>
          <w:b/>
        </w:rPr>
        <w:t> </w:t>
      </w:r>
      <w:r w:rsidRPr="004F707E">
        <w:rPr>
          <w:b/>
        </w:rPr>
        <w:t xml:space="preserve">roce 2025 napříč ČR. </w:t>
      </w:r>
      <w:r w:rsidRPr="002E707C">
        <w:t>Tento počet vodíkových stanic lze přitom považovat za naprosté minimum pro řádný rozjezd vodíkové mobility v</w:t>
      </w:r>
      <w:r w:rsidR="005A1247">
        <w:t> </w:t>
      </w:r>
      <w:r w:rsidRPr="002E707C">
        <w:t>ČR a</w:t>
      </w:r>
      <w:r w:rsidR="005A1247">
        <w:t> </w:t>
      </w:r>
      <w:r w:rsidRPr="002E707C">
        <w:t>daná infrastruktura by tak měla (např. po vzoru Německa) vzniknout bez ohledu na to, jaký bude v</w:t>
      </w:r>
      <w:r w:rsidR="005A1247">
        <w:t> </w:t>
      </w:r>
      <w:r w:rsidRPr="002E707C">
        <w:t>ČR další vývoj v</w:t>
      </w:r>
      <w:r w:rsidR="005A1247">
        <w:t> </w:t>
      </w:r>
      <w:r w:rsidRPr="002E707C">
        <w:t>tomto segmentu trhu.</w:t>
      </w:r>
      <w:r w:rsidR="0060271B" w:rsidRPr="002E707C">
        <w:t xml:space="preserve"> </w:t>
      </w:r>
    </w:p>
    <w:p w14:paraId="3BA19297" w14:textId="0A9EE16B" w:rsidR="00A0449C" w:rsidRPr="00FE2161" w:rsidRDefault="00797C43" w:rsidP="00797C43">
      <w:pPr>
        <w:pStyle w:val="Nadpis3"/>
      </w:pPr>
      <w:r w:rsidRPr="00797C43">
        <w:t>Rozvoj mezinárodní spolupráce v</w:t>
      </w:r>
      <w:r w:rsidR="005A1247">
        <w:t> </w:t>
      </w:r>
      <w:r w:rsidRPr="00797C43">
        <w:t>oblasti vodíkové mobility</w:t>
      </w:r>
      <w:r w:rsidRPr="00797C43" w:rsidDel="00797C43">
        <w:t xml:space="preserve"> </w:t>
      </w:r>
    </w:p>
    <w:p w14:paraId="40818AFD" w14:textId="729070D1" w:rsidR="00EC2BF5" w:rsidRPr="004F707E" w:rsidRDefault="00EC2BF5" w:rsidP="009A3B7E">
      <w:pPr>
        <w:jc w:val="both"/>
        <w:rPr>
          <w:rFonts w:cstheme="minorHAnsi"/>
        </w:rPr>
      </w:pPr>
      <w:r w:rsidRPr="004F707E">
        <w:t>Jedním z</w:t>
      </w:r>
      <w:r w:rsidR="00432262">
        <w:t>e strategických</w:t>
      </w:r>
      <w:r w:rsidRPr="004F707E">
        <w:t xml:space="preserve"> cílů NAP CM </w:t>
      </w:r>
      <w:r w:rsidR="00432262">
        <w:t>ve vztahu k</w:t>
      </w:r>
      <w:r w:rsidR="005A1247">
        <w:t> </w:t>
      </w:r>
      <w:r w:rsidR="00432262">
        <w:t xml:space="preserve">vodíkové elektromobilitě </w:t>
      </w:r>
      <w:r w:rsidRPr="004F707E">
        <w:t>je vznik vodíkových regionů</w:t>
      </w:r>
      <w:r w:rsidR="00432262">
        <w:t>,</w:t>
      </w:r>
      <w:r w:rsidRPr="004F707E">
        <w:t xml:space="preserve"> v</w:t>
      </w:r>
      <w:r w:rsidR="005A1247">
        <w:t> </w:t>
      </w:r>
      <w:r w:rsidR="00432262">
        <w:t xml:space="preserve">jejichž </w:t>
      </w:r>
      <w:r w:rsidRPr="004F707E">
        <w:t xml:space="preserve">rámci </w:t>
      </w:r>
      <w:r w:rsidR="00432262">
        <w:t xml:space="preserve">by měly být </w:t>
      </w:r>
      <w:r w:rsidRPr="004F707E">
        <w:t>konsolid</w:t>
      </w:r>
      <w:r w:rsidR="00432262">
        <w:t xml:space="preserve">ovány </w:t>
      </w:r>
      <w:r w:rsidRPr="004F707E">
        <w:t>vešker</w:t>
      </w:r>
      <w:r w:rsidR="00432262">
        <w:t>é</w:t>
      </w:r>
      <w:r w:rsidRPr="004F707E">
        <w:t xml:space="preserve"> typ</w:t>
      </w:r>
      <w:r w:rsidR="00432262">
        <w:t>y</w:t>
      </w:r>
      <w:r w:rsidRPr="004F707E">
        <w:t xml:space="preserve"> vodíkov</w:t>
      </w:r>
      <w:r w:rsidR="00432262">
        <w:t xml:space="preserve">ých </w:t>
      </w:r>
      <w:r w:rsidRPr="004F707E">
        <w:t>přeprav a</w:t>
      </w:r>
      <w:r w:rsidR="005A1247">
        <w:t> </w:t>
      </w:r>
      <w:r w:rsidR="00432262">
        <w:t>kde by došlo k</w:t>
      </w:r>
      <w:r w:rsidR="005A1247">
        <w:t> </w:t>
      </w:r>
      <w:r w:rsidRPr="004F707E">
        <w:t>provázání mobility s</w:t>
      </w:r>
      <w:r w:rsidR="005A1247">
        <w:t> </w:t>
      </w:r>
      <w:r w:rsidRPr="004F707E">
        <w:t>energetikou a</w:t>
      </w:r>
      <w:r w:rsidR="005A1247">
        <w:t> </w:t>
      </w:r>
      <w:r w:rsidRPr="004F707E">
        <w:t>dalšími odvětvími (tzv. sector coupling)</w:t>
      </w:r>
      <w:r w:rsidR="00432262">
        <w:t xml:space="preserve">. </w:t>
      </w:r>
      <w:r w:rsidR="00EB5DB8">
        <w:t>V</w:t>
      </w:r>
      <w:r w:rsidR="005A1247">
        <w:t> </w:t>
      </w:r>
      <w:r w:rsidR="00EB5DB8">
        <w:t xml:space="preserve">tomto ohledu se </w:t>
      </w:r>
      <w:r w:rsidR="00432262">
        <w:t xml:space="preserve">přitom </w:t>
      </w:r>
      <w:r w:rsidR="00EB5DB8">
        <w:t>jedná o</w:t>
      </w:r>
      <w:r w:rsidR="005A1247">
        <w:t> </w:t>
      </w:r>
      <w:r w:rsidR="00432262">
        <w:t xml:space="preserve">celoevropský </w:t>
      </w:r>
      <w:r w:rsidRPr="004F707E">
        <w:t xml:space="preserve">trend. </w:t>
      </w:r>
      <w:r w:rsidR="00EB5DB8">
        <w:t>Jako p</w:t>
      </w:r>
      <w:r w:rsidRPr="004F707E">
        <w:t>říklad</w:t>
      </w:r>
      <w:r w:rsidR="00EB5DB8">
        <w:t xml:space="preserve"> lze uvést </w:t>
      </w:r>
      <w:r w:rsidRPr="004F707E">
        <w:rPr>
          <w:rFonts w:cstheme="minorHAnsi"/>
        </w:rPr>
        <w:t>projekt Hydrogen Valley v</w:t>
      </w:r>
      <w:r w:rsidR="005A1247">
        <w:rPr>
          <w:rFonts w:cstheme="minorHAnsi"/>
        </w:rPr>
        <w:t> </w:t>
      </w:r>
      <w:r w:rsidRPr="004F707E">
        <w:rPr>
          <w:rFonts w:cstheme="minorHAnsi"/>
        </w:rPr>
        <w:t>Dánsku, který umožňuje využívat vyvážené a</w:t>
      </w:r>
      <w:r w:rsidR="005A1247">
        <w:rPr>
          <w:rFonts w:cstheme="minorHAnsi"/>
        </w:rPr>
        <w:t> </w:t>
      </w:r>
      <w:r w:rsidRPr="004F707E">
        <w:rPr>
          <w:rFonts w:cstheme="minorHAnsi"/>
        </w:rPr>
        <w:t>integrované řešení palivových článků a</w:t>
      </w:r>
      <w:r w:rsidR="005A1247">
        <w:rPr>
          <w:rFonts w:cstheme="minorHAnsi"/>
        </w:rPr>
        <w:t> </w:t>
      </w:r>
      <w:r w:rsidRPr="004F707E">
        <w:rPr>
          <w:rFonts w:cstheme="minorHAnsi"/>
        </w:rPr>
        <w:t>vodíku, a</w:t>
      </w:r>
      <w:r w:rsidR="005A1247">
        <w:rPr>
          <w:rFonts w:cstheme="minorHAnsi"/>
        </w:rPr>
        <w:t> </w:t>
      </w:r>
      <w:r w:rsidRPr="004F707E">
        <w:rPr>
          <w:rFonts w:cstheme="minorHAnsi"/>
        </w:rPr>
        <w:t>to jak v</w:t>
      </w:r>
      <w:r w:rsidR="005A1247">
        <w:rPr>
          <w:rFonts w:cstheme="minorHAnsi"/>
        </w:rPr>
        <w:t> </w:t>
      </w:r>
      <w:r w:rsidRPr="004F707E">
        <w:rPr>
          <w:rFonts w:cstheme="minorHAnsi"/>
        </w:rPr>
        <w:t>oblasti energetiky, tak i</w:t>
      </w:r>
      <w:r w:rsidR="005A1247">
        <w:rPr>
          <w:rFonts w:cstheme="minorHAnsi"/>
        </w:rPr>
        <w:t> </w:t>
      </w:r>
      <w:r w:rsidRPr="004F707E">
        <w:rPr>
          <w:rFonts w:cstheme="minorHAnsi"/>
        </w:rPr>
        <w:t>v</w:t>
      </w:r>
      <w:r w:rsidR="000F2439">
        <w:rPr>
          <w:rFonts w:cstheme="minorHAnsi"/>
        </w:rPr>
        <w:t> </w:t>
      </w:r>
      <w:r w:rsidRPr="004F707E">
        <w:rPr>
          <w:rFonts w:cstheme="minorHAnsi"/>
        </w:rPr>
        <w:t>dopravě nebo projekt v</w:t>
      </w:r>
      <w:r w:rsidR="005A1247">
        <w:rPr>
          <w:rFonts w:cstheme="minorHAnsi"/>
        </w:rPr>
        <w:t> </w:t>
      </w:r>
      <w:r w:rsidRPr="004F707E">
        <w:rPr>
          <w:rFonts w:cstheme="minorHAnsi"/>
        </w:rPr>
        <w:t>Číně, jehož cílem je vytvoření města (Rugao) pro vodíkovou ekonomiku.</w:t>
      </w:r>
    </w:p>
    <w:p w14:paraId="44BDE779" w14:textId="391C94A0" w:rsidR="00EC2BF5" w:rsidRPr="004F707E" w:rsidRDefault="00EC2BF5" w:rsidP="009A3B7E">
      <w:pPr>
        <w:jc w:val="both"/>
        <w:rPr>
          <w:rFonts w:cstheme="minorHAnsi"/>
        </w:rPr>
      </w:pPr>
      <w:r w:rsidRPr="004F707E">
        <w:rPr>
          <w:rFonts w:cstheme="minorHAnsi"/>
        </w:rPr>
        <w:t>Nedílnou součástí je zapojení státu/obcí, průmyslového odvětví a</w:t>
      </w:r>
      <w:r w:rsidR="005A1247">
        <w:rPr>
          <w:rFonts w:cstheme="minorHAnsi"/>
        </w:rPr>
        <w:t> </w:t>
      </w:r>
      <w:r w:rsidRPr="004F707E">
        <w:rPr>
          <w:rFonts w:cstheme="minorHAnsi"/>
        </w:rPr>
        <w:t>akademickou obcí, vodíkové regiony by měl</w:t>
      </w:r>
      <w:r>
        <w:rPr>
          <w:rFonts w:cstheme="minorHAnsi"/>
        </w:rPr>
        <w:t>y</w:t>
      </w:r>
      <w:r w:rsidRPr="004F707E">
        <w:rPr>
          <w:rFonts w:cstheme="minorHAnsi"/>
        </w:rPr>
        <w:t xml:space="preserve"> vznikat ale i</w:t>
      </w:r>
      <w:r w:rsidR="005A1247">
        <w:rPr>
          <w:rFonts w:cstheme="minorHAnsi"/>
        </w:rPr>
        <w:t> </w:t>
      </w:r>
      <w:r w:rsidRPr="004F707E">
        <w:rPr>
          <w:rFonts w:cstheme="minorHAnsi"/>
        </w:rPr>
        <w:t>na základě mezistátní spolupráce. V</w:t>
      </w:r>
      <w:r w:rsidR="005A1247">
        <w:rPr>
          <w:rFonts w:cstheme="minorHAnsi"/>
        </w:rPr>
        <w:t> </w:t>
      </w:r>
      <w:r w:rsidRPr="004F707E">
        <w:rPr>
          <w:rFonts w:cstheme="minorHAnsi"/>
        </w:rPr>
        <w:t>rámci přeshraniční spolupráce Česká republika spolupracuje s</w:t>
      </w:r>
      <w:r w:rsidR="005A1247">
        <w:rPr>
          <w:rFonts w:cstheme="minorHAnsi"/>
        </w:rPr>
        <w:t> </w:t>
      </w:r>
      <w:r w:rsidRPr="004F707E">
        <w:rPr>
          <w:rFonts w:cstheme="minorHAnsi"/>
        </w:rPr>
        <w:t>Německem na vytvoření „Vodíkového údolí“, které bude situováno v</w:t>
      </w:r>
      <w:r w:rsidR="005A1247">
        <w:rPr>
          <w:rFonts w:cstheme="minorHAnsi"/>
        </w:rPr>
        <w:t> </w:t>
      </w:r>
      <w:r w:rsidRPr="004F707E">
        <w:rPr>
          <w:rFonts w:cstheme="minorHAnsi"/>
        </w:rPr>
        <w:t>Sasku, Durynsku a</w:t>
      </w:r>
      <w:r w:rsidR="005A1247">
        <w:rPr>
          <w:rFonts w:cstheme="minorHAnsi"/>
        </w:rPr>
        <w:t> </w:t>
      </w:r>
      <w:r w:rsidRPr="004F707E">
        <w:rPr>
          <w:rFonts w:cstheme="minorHAnsi"/>
        </w:rPr>
        <w:t>ČR. Předpokládá se, že část projektu bude financováno z</w:t>
      </w:r>
      <w:r w:rsidR="005A1247">
        <w:rPr>
          <w:rFonts w:cstheme="minorHAnsi"/>
        </w:rPr>
        <w:t> </w:t>
      </w:r>
      <w:r w:rsidRPr="004F707E">
        <w:rPr>
          <w:rFonts w:cstheme="minorHAnsi"/>
        </w:rPr>
        <w:t>iniciativy FCH JU (Fuel Cell Hydrogen Joint Undertaking), část z</w:t>
      </w:r>
      <w:r w:rsidR="005A1247">
        <w:rPr>
          <w:rFonts w:cstheme="minorHAnsi"/>
        </w:rPr>
        <w:t> </w:t>
      </w:r>
      <w:r w:rsidRPr="004F707E">
        <w:rPr>
          <w:rFonts w:cstheme="minorHAnsi"/>
        </w:rPr>
        <w:t>národních a</w:t>
      </w:r>
      <w:r w:rsidR="005A1247">
        <w:rPr>
          <w:rFonts w:cstheme="minorHAnsi"/>
        </w:rPr>
        <w:t> </w:t>
      </w:r>
      <w:r w:rsidRPr="004F707E">
        <w:rPr>
          <w:rFonts w:cstheme="minorHAnsi"/>
        </w:rPr>
        <w:t xml:space="preserve">soukromých zdrojů. </w:t>
      </w:r>
    </w:p>
    <w:p w14:paraId="4465E573" w14:textId="138D06F4" w:rsidR="00EC2BF5" w:rsidRPr="004F707E" w:rsidRDefault="00EC2BF5" w:rsidP="009A3B7E">
      <w:pPr>
        <w:jc w:val="both"/>
        <w:rPr>
          <w:rFonts w:cstheme="minorHAnsi"/>
        </w:rPr>
      </w:pPr>
      <w:r w:rsidRPr="004F707E">
        <w:rPr>
          <w:rFonts w:cstheme="minorHAnsi"/>
        </w:rPr>
        <w:t>Z českých regionů se aktuálně na vodík zaměřuje nejvíce Moravskoslezský kraj, který podepsal memorandum s</w:t>
      </w:r>
      <w:r w:rsidR="005A1247">
        <w:rPr>
          <w:rFonts w:cstheme="minorHAnsi"/>
        </w:rPr>
        <w:t> </w:t>
      </w:r>
      <w:r w:rsidRPr="004F707E">
        <w:rPr>
          <w:rFonts w:cstheme="minorHAnsi"/>
        </w:rPr>
        <w:t xml:space="preserve">městem Ostrava </w:t>
      </w:r>
      <w:r>
        <w:rPr>
          <w:rFonts w:cstheme="minorHAnsi"/>
        </w:rPr>
        <w:t>a</w:t>
      </w:r>
      <w:r w:rsidR="005A1247">
        <w:rPr>
          <w:rFonts w:cstheme="minorHAnsi"/>
        </w:rPr>
        <w:t> </w:t>
      </w:r>
      <w:r>
        <w:rPr>
          <w:rFonts w:cstheme="minorHAnsi"/>
        </w:rPr>
        <w:t xml:space="preserve">se společností Vítkovice Cylinders, a.s., </w:t>
      </w:r>
      <w:r w:rsidRPr="004F707E">
        <w:rPr>
          <w:rFonts w:cstheme="minorHAnsi"/>
        </w:rPr>
        <w:t>ohledně spolupráce v</w:t>
      </w:r>
      <w:r w:rsidR="005A1247">
        <w:rPr>
          <w:rFonts w:cstheme="minorHAnsi"/>
        </w:rPr>
        <w:t> </w:t>
      </w:r>
      <w:r w:rsidRPr="004F707E">
        <w:rPr>
          <w:rFonts w:cstheme="minorHAnsi"/>
        </w:rPr>
        <w:t>rámci vodíkové mobility. NAP CM v</w:t>
      </w:r>
      <w:r w:rsidR="005A1247">
        <w:rPr>
          <w:rFonts w:cstheme="minorHAnsi"/>
        </w:rPr>
        <w:t> </w:t>
      </w:r>
      <w:r w:rsidRPr="004F707E">
        <w:rPr>
          <w:rFonts w:cstheme="minorHAnsi"/>
        </w:rPr>
        <w:t>tomto směru tedy cílí na vznik i</w:t>
      </w:r>
      <w:r w:rsidR="005A1247">
        <w:rPr>
          <w:rFonts w:cstheme="minorHAnsi"/>
        </w:rPr>
        <w:t> </w:t>
      </w:r>
      <w:r w:rsidRPr="004F707E">
        <w:rPr>
          <w:rFonts w:cstheme="minorHAnsi"/>
        </w:rPr>
        <w:t>dalších vodíkových regionů, ve kterých by probíhala podpora různých oblastí vodíkové mobility. Klíčovým faktorem bude stanovení finanční podpory ze strany státu či krajů a</w:t>
      </w:r>
      <w:r w:rsidR="005A1247">
        <w:rPr>
          <w:rFonts w:cstheme="minorHAnsi"/>
        </w:rPr>
        <w:t> </w:t>
      </w:r>
      <w:r w:rsidRPr="004F707E">
        <w:rPr>
          <w:rFonts w:cstheme="minorHAnsi"/>
        </w:rPr>
        <w:t>stanovení roadmap vodíkového hospodářství na úrovni krajů.</w:t>
      </w:r>
    </w:p>
    <w:p w14:paraId="1420341D" w14:textId="20790422" w:rsidR="00876832" w:rsidRPr="004F707E" w:rsidRDefault="00876832" w:rsidP="009A3B7E">
      <w:pPr>
        <w:jc w:val="both"/>
      </w:pPr>
      <w:r w:rsidRPr="004F707E">
        <w:t>Vodíková mobilita představuje v</w:t>
      </w:r>
      <w:r w:rsidR="005A1247">
        <w:t> </w:t>
      </w:r>
      <w:r w:rsidRPr="004F707E">
        <w:t>současnosti téma, které nelze v</w:t>
      </w:r>
      <w:r w:rsidR="005A1247">
        <w:t> </w:t>
      </w:r>
      <w:r w:rsidRPr="004F707E">
        <w:t xml:space="preserve">podmínkách ČR realizovat odděleně bez určité koordinace na mezinárodní úrovni. </w:t>
      </w:r>
      <w:r w:rsidR="00D85AA7">
        <w:t>Toto</w:t>
      </w:r>
      <w:r w:rsidRPr="004F707E">
        <w:t xml:space="preserve"> vyplývá již ze samotného členství ČR v</w:t>
      </w:r>
      <w:r w:rsidR="005A1247">
        <w:t> </w:t>
      </w:r>
      <w:r w:rsidRPr="004F707E">
        <w:t>EU a</w:t>
      </w:r>
      <w:r w:rsidR="005A1247">
        <w:t> </w:t>
      </w:r>
      <w:r w:rsidRPr="004F707E">
        <w:t>skutečnosti, že dané téma je na této úrovni zaštítěno a</w:t>
      </w:r>
      <w:r w:rsidR="005A1247">
        <w:t> </w:t>
      </w:r>
      <w:r w:rsidRPr="004F707E">
        <w:t>koordinováno Společných podnikem pro palivové články a</w:t>
      </w:r>
      <w:r w:rsidR="005A1247">
        <w:t> </w:t>
      </w:r>
      <w:r w:rsidRPr="004F707E">
        <w:t xml:space="preserve">vodík (FCH JU), </w:t>
      </w:r>
      <w:r w:rsidR="00D85AA7">
        <w:t>zároveň</w:t>
      </w:r>
      <w:r w:rsidRPr="004F707E">
        <w:t xml:space="preserve"> ČR sousedí s</w:t>
      </w:r>
      <w:r w:rsidR="005A1247">
        <w:t> </w:t>
      </w:r>
      <w:r w:rsidRPr="004F707E">
        <w:t>Německem, které přikládá tématu vodíkové mobility velkou váhu. Příkladem mezinárodní kooperace může být projekt BENEFEC, který byl započat v</w:t>
      </w:r>
      <w:r w:rsidR="005A1247">
        <w:t> </w:t>
      </w:r>
      <w:r w:rsidRPr="004F707E">
        <w:t>roce 2017 Belgií a</w:t>
      </w:r>
      <w:r w:rsidR="005A1247">
        <w:t> </w:t>
      </w:r>
      <w:r w:rsidRPr="004F707E">
        <w:t>Nizozem</w:t>
      </w:r>
      <w:r w:rsidR="00D85AA7">
        <w:t>skem</w:t>
      </w:r>
      <w:r w:rsidRPr="004F707E">
        <w:t xml:space="preserve"> (přeshraniční infrastruktura).</w:t>
      </w:r>
    </w:p>
    <w:p w14:paraId="327BED04" w14:textId="7DB4523C" w:rsidR="00876832" w:rsidRPr="004F707E" w:rsidRDefault="00876832" w:rsidP="009A3B7E">
      <w:pPr>
        <w:jc w:val="both"/>
      </w:pPr>
      <w:r w:rsidRPr="004F707E">
        <w:t>Z tohoto pohledu se jeví jako žádoucí posílit zastoupení ČR v</w:t>
      </w:r>
      <w:r w:rsidR="005A1247">
        <w:t> </w:t>
      </w:r>
      <w:r w:rsidRPr="004F707E">
        <w:t>rámci FCH JU</w:t>
      </w:r>
      <w:r w:rsidR="00D85AA7">
        <w:t>,</w:t>
      </w:r>
      <w:r w:rsidRPr="004F707E">
        <w:t xml:space="preserve"> aktivně </w:t>
      </w:r>
      <w:r w:rsidR="00D85AA7">
        <w:t>se</w:t>
      </w:r>
      <w:r w:rsidRPr="004F707E">
        <w:t xml:space="preserve"> věnovat diskuzím o</w:t>
      </w:r>
      <w:r w:rsidR="005A1247">
        <w:t> </w:t>
      </w:r>
      <w:r w:rsidRPr="004F707E">
        <w:t>rozvoji vodíkové mobility v</w:t>
      </w:r>
      <w:r w:rsidR="005A1247">
        <w:t> </w:t>
      </w:r>
      <w:r w:rsidRPr="004F707E">
        <w:t>rámci neformálního uskupení členských států (GSG</w:t>
      </w:r>
      <w:r w:rsidRPr="004F707E">
        <w:rPr>
          <w:vertAlign w:val="superscript"/>
        </w:rPr>
        <w:footnoteReference w:id="7"/>
      </w:r>
      <w:r w:rsidRPr="004F707E">
        <w:t>) a</w:t>
      </w:r>
      <w:r w:rsidR="005A1247">
        <w:t> </w:t>
      </w:r>
      <w:r w:rsidRPr="004F707E">
        <w:t xml:space="preserve">dále zintenzivnit spolupráci </w:t>
      </w:r>
      <w:r>
        <w:t>s</w:t>
      </w:r>
      <w:r w:rsidR="005A1247">
        <w:t> </w:t>
      </w:r>
      <w:r w:rsidR="00D85AA7">
        <w:t>Německem</w:t>
      </w:r>
      <w:r w:rsidRPr="004F707E">
        <w:t>, případně se spolkovou zemí Sasko. Zvážit by se měla možnost ustanovit smíšenou česko-německou či česko-saskou pracovní skupinu pro vodíkovou mobilitu, kde by se mohl</w:t>
      </w:r>
      <w:r w:rsidR="00D85AA7">
        <w:t>a</w:t>
      </w:r>
      <w:r w:rsidRPr="004F707E">
        <w:t xml:space="preserve"> diskutovat témata jako přeshraniční spolupráce v</w:t>
      </w:r>
      <w:r w:rsidR="005A1247">
        <w:t> </w:t>
      </w:r>
      <w:r w:rsidRPr="004F707E">
        <w:t>oblasti vodíkové autobusové a</w:t>
      </w:r>
      <w:r w:rsidR="005A1247">
        <w:t> </w:t>
      </w:r>
      <w:r w:rsidRPr="004F707E">
        <w:t>železniční dopravy a</w:t>
      </w:r>
      <w:r w:rsidR="005A1247">
        <w:t> </w:t>
      </w:r>
      <w:r w:rsidRPr="004F707E">
        <w:t>navázat tak na dosavadní aktivity v</w:t>
      </w:r>
      <w:r w:rsidR="005A1247">
        <w:t> </w:t>
      </w:r>
      <w:r w:rsidRPr="004F707E">
        <w:t>této oblasti.</w:t>
      </w:r>
      <w:r w:rsidR="0060271B">
        <w:t xml:space="preserve"> </w:t>
      </w:r>
      <w:r w:rsidRPr="004F707E">
        <w:t>Nabízí se též koordinace v</w:t>
      </w:r>
      <w:r w:rsidR="005A1247">
        <w:t> </w:t>
      </w:r>
      <w:r w:rsidRPr="004F707E">
        <w:t>rámci vzniku vodíkových regionů</w:t>
      </w:r>
      <w:r w:rsidR="00D00D8D">
        <w:t>.</w:t>
      </w:r>
    </w:p>
    <w:p w14:paraId="574079EF" w14:textId="07F25E35" w:rsidR="00876832" w:rsidRDefault="00876832" w:rsidP="009A3B7E">
      <w:pPr>
        <w:jc w:val="both"/>
      </w:pPr>
      <w:r w:rsidRPr="004F707E">
        <w:lastRenderedPageBreak/>
        <w:t>Dalším přirozeným partnerem pro ČR je Slovensko, byť to se oblasti vodíkové mobility zatím věnuje jen velmi okrajově.</w:t>
      </w:r>
      <w:r w:rsidR="0060271B">
        <w:t xml:space="preserve"> </w:t>
      </w:r>
      <w:r w:rsidRPr="004F707E">
        <w:t>Přeshraniční spolupráce se Slovenskem (a případně i</w:t>
      </w:r>
      <w:r w:rsidR="005A1247">
        <w:t> </w:t>
      </w:r>
      <w:r w:rsidRPr="004F707E">
        <w:t>v</w:t>
      </w:r>
      <w:r w:rsidR="000F2439">
        <w:t> </w:t>
      </w:r>
      <w:r w:rsidRPr="004F707E">
        <w:t>rámci celé V4) by však mohla znamenat impuls pro další rozvoj vodíkové mobility v</w:t>
      </w:r>
      <w:r w:rsidR="005A1247">
        <w:t> </w:t>
      </w:r>
      <w:r w:rsidRPr="004F707E">
        <w:t>širším středoevropském regionu.</w:t>
      </w:r>
      <w:r w:rsidR="0060271B">
        <w:t xml:space="preserve"> </w:t>
      </w:r>
      <w:r w:rsidRPr="004F707E">
        <w:t xml:space="preserve">Dále by měla být podnícena užší </w:t>
      </w:r>
      <w:r w:rsidR="00D85AA7">
        <w:t>spolupráce</w:t>
      </w:r>
      <w:r w:rsidRPr="004F707E">
        <w:t xml:space="preserve"> se zahraničními státy a</w:t>
      </w:r>
      <w:r w:rsidR="005A1247">
        <w:t> </w:t>
      </w:r>
      <w:r w:rsidRPr="004F707E">
        <w:t xml:space="preserve">organizacemi </w:t>
      </w:r>
      <w:r w:rsidR="00D85AA7">
        <w:t>i</w:t>
      </w:r>
      <w:r w:rsidR="005A1247">
        <w:t> </w:t>
      </w:r>
      <w:r w:rsidR="00D85AA7">
        <w:t>pro</w:t>
      </w:r>
      <w:r w:rsidRPr="004F707E">
        <w:t xml:space="preserve"> využití </w:t>
      </w:r>
      <w:r w:rsidR="004B7B92">
        <w:t xml:space="preserve">nástroje </w:t>
      </w:r>
      <w:r w:rsidRPr="004F707E">
        <w:t>CEF.</w:t>
      </w:r>
    </w:p>
    <w:p w14:paraId="5F92AA9A" w14:textId="77777777" w:rsidR="00A0449C" w:rsidRPr="00FE2161" w:rsidRDefault="00432262" w:rsidP="009A3B7E">
      <w:pPr>
        <w:pStyle w:val="Nadpis3"/>
        <w:jc w:val="both"/>
      </w:pPr>
      <w:r>
        <w:t>Zlepšení r</w:t>
      </w:r>
      <w:r w:rsidR="00A0449C" w:rsidRPr="00FE2161">
        <w:t>egulatorní</w:t>
      </w:r>
      <w:r>
        <w:t xml:space="preserve">ho </w:t>
      </w:r>
      <w:r w:rsidR="00A0449C" w:rsidRPr="00FE2161">
        <w:t>rámce</w:t>
      </w:r>
      <w:r>
        <w:t xml:space="preserve"> vodíkové elektromobility </w:t>
      </w:r>
    </w:p>
    <w:p w14:paraId="18A7BB8D" w14:textId="53B776D1" w:rsidR="00A0449C" w:rsidRDefault="00A0449C" w:rsidP="009A3B7E">
      <w:pPr>
        <w:jc w:val="both"/>
      </w:pPr>
      <w:r w:rsidRPr="004D6103">
        <w:t xml:space="preserve">Cílem NAP CM je dosáhnout </w:t>
      </w:r>
      <w:r w:rsidR="00432262">
        <w:t>z</w:t>
      </w:r>
      <w:r w:rsidR="005A1247">
        <w:t> </w:t>
      </w:r>
      <w:r w:rsidR="00432262">
        <w:t xml:space="preserve">hlediska regulatorního rámce </w:t>
      </w:r>
      <w:r w:rsidR="00DE1C08">
        <w:t xml:space="preserve">pro vodíkovou elektromobilitu </w:t>
      </w:r>
      <w:r w:rsidRPr="00CA20DD">
        <w:t>stejn</w:t>
      </w:r>
      <w:r w:rsidR="00DE1C08">
        <w:t xml:space="preserve">ou </w:t>
      </w:r>
      <w:r w:rsidRPr="00CA20DD">
        <w:t>pozic</w:t>
      </w:r>
      <w:r w:rsidR="00DE1C08">
        <w:t>i</w:t>
      </w:r>
      <w:r w:rsidRPr="00CA20DD">
        <w:t xml:space="preserve"> jako </w:t>
      </w:r>
      <w:r w:rsidR="00DE1C08">
        <w:t xml:space="preserve">pro </w:t>
      </w:r>
      <w:r w:rsidRPr="00CA20DD">
        <w:t>ostatní alternativní paliva</w:t>
      </w:r>
      <w:r>
        <w:t xml:space="preserve">. </w:t>
      </w:r>
    </w:p>
    <w:p w14:paraId="75D2CF62" w14:textId="5E4F784F" w:rsidR="00A0449C" w:rsidRDefault="000E1FE6" w:rsidP="009A3B7E">
      <w:pPr>
        <w:jc w:val="both"/>
      </w:pPr>
      <w:r>
        <w:t>I když v</w:t>
      </w:r>
      <w:r w:rsidR="005A1247">
        <w:t> </w:t>
      </w:r>
      <w:r>
        <w:t>posledních letech došlo v</w:t>
      </w:r>
      <w:r w:rsidR="005A1247">
        <w:t> </w:t>
      </w:r>
      <w:r>
        <w:t>této oblasti k</w:t>
      </w:r>
      <w:r w:rsidR="005A1247">
        <w:t> </w:t>
      </w:r>
      <w:r>
        <w:t xml:space="preserve">jistému pokroku </w:t>
      </w:r>
      <w:r w:rsidRPr="009B26B6">
        <w:t>(</w:t>
      </w:r>
      <w:r w:rsidRPr="00B502A0">
        <w:t xml:space="preserve">viz např. </w:t>
      </w:r>
      <w:r w:rsidRPr="009B26B6">
        <w:t>novela zákona o</w:t>
      </w:r>
      <w:r w:rsidR="005A1247">
        <w:t> </w:t>
      </w:r>
      <w:r w:rsidRPr="009B26B6">
        <w:t>pohonných hmotách z</w:t>
      </w:r>
      <w:r w:rsidR="005A1247">
        <w:t> </w:t>
      </w:r>
      <w:r w:rsidRPr="009B26B6">
        <w:t>roku 201</w:t>
      </w:r>
      <w:r w:rsidR="00F17093" w:rsidRPr="009B26B6">
        <w:t>7</w:t>
      </w:r>
      <w:r w:rsidRPr="009B26B6">
        <w:t xml:space="preserve">, která již </w:t>
      </w:r>
      <w:r w:rsidRPr="00B502A0">
        <w:t>definuje vodík jakožto palivo) stále platí konstat</w:t>
      </w:r>
      <w:r w:rsidR="0019610D" w:rsidRPr="00B502A0">
        <w:t>ování</w:t>
      </w:r>
      <w:r w:rsidRPr="00B502A0">
        <w:t xml:space="preserve"> </w:t>
      </w:r>
      <w:r w:rsidR="00A0449C" w:rsidRPr="009B26B6">
        <w:t>původního NAP CM</w:t>
      </w:r>
      <w:r w:rsidR="00A0449C" w:rsidRPr="00CA20DD">
        <w:t>, že vodíková</w:t>
      </w:r>
      <w:r>
        <w:t xml:space="preserve"> elektro</w:t>
      </w:r>
      <w:r w:rsidR="00A0449C" w:rsidRPr="00CA20DD">
        <w:t>mobilita je v</w:t>
      </w:r>
      <w:r w:rsidR="005A1247">
        <w:t> </w:t>
      </w:r>
      <w:r w:rsidR="00A0449C" w:rsidRPr="00CA20DD">
        <w:t>porovnání s</w:t>
      </w:r>
      <w:r w:rsidR="005A1247">
        <w:t> </w:t>
      </w:r>
      <w:r w:rsidR="00A0449C" w:rsidRPr="00CA20DD">
        <w:t>ostatními alternativními palivy vystavena jedné konkurenční nevýhodě, a</w:t>
      </w:r>
      <w:r w:rsidR="005A1247">
        <w:t> </w:t>
      </w:r>
      <w:r w:rsidR="00A0449C" w:rsidRPr="00CA20DD">
        <w:t>to v</w:t>
      </w:r>
      <w:r w:rsidR="005A1247">
        <w:t> </w:t>
      </w:r>
      <w:r w:rsidR="00A0449C" w:rsidRPr="00CA20DD">
        <w:t>podobě neexistenc</w:t>
      </w:r>
      <w:r>
        <w:t>e</w:t>
      </w:r>
      <w:r w:rsidR="00A0449C" w:rsidRPr="00CA20DD">
        <w:t xml:space="preserve"> </w:t>
      </w:r>
      <w:r w:rsidR="00C45452">
        <w:t>explicitního</w:t>
      </w:r>
      <w:r w:rsidR="00A0449C" w:rsidRPr="00CA20DD">
        <w:t xml:space="preserve"> osvobození </w:t>
      </w:r>
      <w:r>
        <w:t xml:space="preserve">vodíkových vozidel </w:t>
      </w:r>
      <w:r w:rsidR="00A0449C" w:rsidRPr="00CA20DD">
        <w:t>od placení silniční daně. I</w:t>
      </w:r>
      <w:r w:rsidR="005A1247">
        <w:t> </w:t>
      </w:r>
      <w:r w:rsidR="00A0449C" w:rsidRPr="00CA20DD">
        <w:t>když příslušné opatření bylo zahrnuto již do původního NAP CM, zatím se nepodařilo v</w:t>
      </w:r>
      <w:r w:rsidR="005A1247">
        <w:t> </w:t>
      </w:r>
      <w:r w:rsidR="00A0449C" w:rsidRPr="00CA20DD">
        <w:t>této oblasti pokročit</w:t>
      </w:r>
      <w:r w:rsidR="00F6740E">
        <w:t xml:space="preserve"> (ve smyslu dosažení právní jistoty pro všechny zúčastněné strany)</w:t>
      </w:r>
      <w:r w:rsidR="00A0449C" w:rsidRPr="00CA20DD">
        <w:t>.</w:t>
      </w:r>
      <w:r w:rsidR="00B431D0">
        <w:t xml:space="preserve"> </w:t>
      </w:r>
      <w:r w:rsidR="00F6740E">
        <w:t>Jak je přitom uvedeno v</w:t>
      </w:r>
      <w:r w:rsidR="005A1247">
        <w:t> </w:t>
      </w:r>
      <w:r w:rsidR="00F6740E">
        <w:t>analytické části materiálu v</w:t>
      </w:r>
      <w:r w:rsidR="00B431D0">
        <w:t xml:space="preserve">odíková vozidla </w:t>
      </w:r>
      <w:r w:rsidR="00F6740E">
        <w:t>(resp. vozidla s</w:t>
      </w:r>
      <w:r w:rsidR="005A1247">
        <w:t> </w:t>
      </w:r>
      <w:r w:rsidR="00F6740E">
        <w:t xml:space="preserve">palivovým článkem) </w:t>
      </w:r>
      <w:r w:rsidR="00B431D0">
        <w:t xml:space="preserve">je třeba vnímat jako </w:t>
      </w:r>
      <w:r w:rsidR="00F6740E">
        <w:t>„</w:t>
      </w:r>
      <w:r w:rsidR="00B431D0">
        <w:t>vozidla</w:t>
      </w:r>
      <w:r w:rsidR="00F6740E">
        <w:t xml:space="preserve"> s</w:t>
      </w:r>
      <w:r w:rsidR="005A1247">
        <w:t> </w:t>
      </w:r>
      <w:r w:rsidR="00F6740E">
        <w:t>elektrickým pohonem“</w:t>
      </w:r>
      <w:r w:rsidR="00B431D0">
        <w:t xml:space="preserve">. </w:t>
      </w:r>
    </w:p>
    <w:p w14:paraId="336AE787" w14:textId="77777777" w:rsidR="00A0449C" w:rsidRDefault="00A0449C" w:rsidP="009A3B7E">
      <w:pPr>
        <w:jc w:val="both"/>
      </w:pPr>
      <w:r>
        <w:t>Mezi hlavní identifikované oblasti</w:t>
      </w:r>
      <w:r w:rsidR="00C45452">
        <w:t xml:space="preserve">, kde je třeba dále pokročit ve vytváření regulatorního rámce pro vodíkovou elektromobilitu </w:t>
      </w:r>
      <w:r>
        <w:t>patří zejména:</w:t>
      </w:r>
    </w:p>
    <w:p w14:paraId="2740E283" w14:textId="77777777" w:rsidR="00A0449C" w:rsidRPr="001D6FF1" w:rsidRDefault="00A0449C" w:rsidP="009A3B7E">
      <w:pPr>
        <w:pStyle w:val="Bullet1"/>
        <w:jc w:val="both"/>
      </w:pPr>
      <w:r w:rsidRPr="001D6FF1">
        <w:t>problematika garážování vodíkových vozidel</w:t>
      </w:r>
    </w:p>
    <w:p w14:paraId="7F3E8577" w14:textId="77777777" w:rsidR="00A0449C" w:rsidRPr="001D6FF1" w:rsidRDefault="00A0449C" w:rsidP="009A3B7E">
      <w:pPr>
        <w:pStyle w:val="Bullet1"/>
        <w:jc w:val="both"/>
      </w:pPr>
      <w:r w:rsidRPr="001D6FF1">
        <w:t>úprava procesu povolování výstavby vodíkové infrastruktury</w:t>
      </w:r>
      <w:r w:rsidR="000E1FE6">
        <w:t xml:space="preserve"> </w:t>
      </w:r>
    </w:p>
    <w:p w14:paraId="1C932A2F" w14:textId="77777777" w:rsidR="00A0449C" w:rsidRPr="00EC2BF5" w:rsidRDefault="00A0449C" w:rsidP="009A3B7E">
      <w:pPr>
        <w:pStyle w:val="Bullet1"/>
        <w:jc w:val="both"/>
      </w:pPr>
      <w:r w:rsidRPr="00CA20DD">
        <w:rPr>
          <w:rFonts w:cs="Arial"/>
        </w:rPr>
        <w:t xml:space="preserve">transpozice </w:t>
      </w:r>
      <w:r w:rsidRPr="00CA20DD">
        <w:rPr>
          <w:rFonts w:cstheme="minorHAnsi"/>
        </w:rPr>
        <w:t>stávajících ISO norem pro oblast servisu vozidel do českého legislativního prostředí</w:t>
      </w:r>
      <w:r w:rsidR="00021261">
        <w:rPr>
          <w:rStyle w:val="Znakapoznpodarou"/>
          <w:rFonts w:cstheme="minorHAnsi"/>
        </w:rPr>
        <w:footnoteReference w:id="8"/>
      </w:r>
      <w:r w:rsidRPr="001D6FF1">
        <w:rPr>
          <w:rFonts w:cstheme="minorHAnsi"/>
        </w:rPr>
        <w:t xml:space="preserve"> </w:t>
      </w:r>
    </w:p>
    <w:p w14:paraId="54C5FB9B" w14:textId="2A94ADBC" w:rsidR="00EC2BF5" w:rsidRDefault="000E1FE6" w:rsidP="009A3B7E">
      <w:pPr>
        <w:jc w:val="both"/>
      </w:pPr>
      <w:r>
        <w:t>Pokud jde o</w:t>
      </w:r>
      <w:r w:rsidR="005A1247">
        <w:t> </w:t>
      </w:r>
      <w:r w:rsidR="00EC2BF5" w:rsidRPr="004F707E">
        <w:t xml:space="preserve">problematiku </w:t>
      </w:r>
      <w:r w:rsidR="00EC2BF5" w:rsidRPr="004F707E">
        <w:rPr>
          <w:u w:val="single"/>
        </w:rPr>
        <w:t>garážování vozidel s</w:t>
      </w:r>
      <w:r w:rsidR="005A1247">
        <w:rPr>
          <w:u w:val="single"/>
        </w:rPr>
        <w:t> </w:t>
      </w:r>
      <w:r w:rsidR="00EC2BF5" w:rsidRPr="004F707E">
        <w:rPr>
          <w:u w:val="single"/>
        </w:rPr>
        <w:t>vodíkovým pohonem</w:t>
      </w:r>
      <w:r w:rsidR="00EC2BF5" w:rsidRPr="004F707E">
        <w:t xml:space="preserve">, </w:t>
      </w:r>
      <w:r>
        <w:t>jedná se o</w:t>
      </w:r>
      <w:r w:rsidR="005A1247">
        <w:t> </w:t>
      </w:r>
      <w:r w:rsidR="00EC2BF5" w:rsidRPr="004F707E">
        <w:t>analogický problém, jakému dnes na úrovni vnitrostátní legislativy čelí vozidla na zemní plyn.</w:t>
      </w:r>
      <w:r w:rsidR="0060271B">
        <w:t xml:space="preserve"> </w:t>
      </w:r>
      <w:r w:rsidR="00EC2BF5" w:rsidRPr="004F707E">
        <w:t>Proto je třeba</w:t>
      </w:r>
      <w:r w:rsidR="00212E29">
        <w:t xml:space="preserve"> </w:t>
      </w:r>
      <w:r w:rsidR="00212E29" w:rsidRPr="007E541C">
        <w:rPr>
          <w:szCs w:val="22"/>
        </w:rPr>
        <w:t xml:space="preserve">jednoznačně stanovit zákonnou povinnost </w:t>
      </w:r>
      <w:r w:rsidR="00212E29" w:rsidRPr="00212E29">
        <w:rPr>
          <w:szCs w:val="22"/>
        </w:rPr>
        <w:t>pro stavebníka (gesce MMR</w:t>
      </w:r>
      <w:r w:rsidR="00212E29" w:rsidRPr="007E541C">
        <w:rPr>
          <w:szCs w:val="22"/>
        </w:rPr>
        <w:t>, v</w:t>
      </w:r>
      <w:r w:rsidR="005A1247">
        <w:rPr>
          <w:szCs w:val="22"/>
        </w:rPr>
        <w:t> </w:t>
      </w:r>
      <w:r w:rsidR="00212E29" w:rsidRPr="007E541C">
        <w:rPr>
          <w:szCs w:val="22"/>
        </w:rPr>
        <w:t>případě výstavby a</w:t>
      </w:r>
      <w:r w:rsidR="005A1247">
        <w:rPr>
          <w:szCs w:val="22"/>
        </w:rPr>
        <w:t> </w:t>
      </w:r>
      <w:r w:rsidR="00212E29" w:rsidRPr="007E541C">
        <w:rPr>
          <w:szCs w:val="22"/>
        </w:rPr>
        <w:t>rekonstrukce definovaného rozsahu stávajíc</w:t>
      </w:r>
      <w:r w:rsidR="00212E29" w:rsidRPr="00212E29">
        <w:rPr>
          <w:szCs w:val="22"/>
        </w:rPr>
        <w:t xml:space="preserve">ích hromadných garáží, </w:t>
      </w:r>
      <w:r w:rsidR="00212E29" w:rsidRPr="007E541C">
        <w:rPr>
          <w:szCs w:val="22"/>
        </w:rPr>
        <w:t>zřídit definovaný počet parkovacích stání pro plynná paliva a</w:t>
      </w:r>
      <w:r w:rsidR="005A1247">
        <w:rPr>
          <w:szCs w:val="22"/>
        </w:rPr>
        <w:t> </w:t>
      </w:r>
      <w:r w:rsidR="00212E29" w:rsidRPr="007E541C">
        <w:rPr>
          <w:szCs w:val="22"/>
        </w:rPr>
        <w:t>zajistit tak požadované technické vyb</w:t>
      </w:r>
      <w:r w:rsidR="00212E29" w:rsidRPr="00212E29">
        <w:rPr>
          <w:szCs w:val="22"/>
        </w:rPr>
        <w:t>avení těchto hromadných garáží</w:t>
      </w:r>
      <w:r w:rsidR="00EC2BF5" w:rsidRPr="004F707E">
        <w:t>, aby v</w:t>
      </w:r>
      <w:r w:rsidR="005A1247">
        <w:t> </w:t>
      </w:r>
      <w:r w:rsidR="00EC2BF5" w:rsidRPr="004F707E">
        <w:t>okamžiku postupného nástupu vozidel na vodíkový pohon nevznikl stejný problém se zákazem vjezdu těchto vozidel do podzemních garáží. V</w:t>
      </w:r>
      <w:r w:rsidR="005A1247">
        <w:t> </w:t>
      </w:r>
      <w:r w:rsidR="00EC2BF5" w:rsidRPr="004F707E">
        <w:t>tomto ohledu by významná zjištění mohly přinést výsledky iniciativy „European Hydrogen Safety Panel“ (EHSP)</w:t>
      </w:r>
      <w:r w:rsidR="00EC2BF5" w:rsidRPr="004F707E">
        <w:rPr>
          <w:vertAlign w:val="superscript"/>
        </w:rPr>
        <w:footnoteReference w:id="9"/>
      </w:r>
      <w:r w:rsidR="00EC2BF5" w:rsidRPr="004F707E">
        <w:t>, který se dlouhodobě věnuje monitorování a</w:t>
      </w:r>
      <w:r w:rsidR="005A1247">
        <w:t> </w:t>
      </w:r>
      <w:r w:rsidR="00EC2BF5" w:rsidRPr="004F707E">
        <w:t>vyhodnocování bezpečnostních aspektů vodíkových technologií. Z</w:t>
      </w:r>
      <w:r w:rsidR="005A1247">
        <w:t> </w:t>
      </w:r>
      <w:r w:rsidR="00EC2BF5" w:rsidRPr="004F707E">
        <w:t>hlediska harmonizace legislativy je v</w:t>
      </w:r>
      <w:r w:rsidR="005A1247">
        <w:t> </w:t>
      </w:r>
      <w:r w:rsidR="00EC2BF5" w:rsidRPr="004F707E">
        <w:t>rámci FCH 2 JU řešen projekt HyLAW, ve kterém je zastoupeno téměř 20 zemí Evropy, bohužel bez účasti ČR</w:t>
      </w:r>
      <w:r w:rsidR="00EC2BF5" w:rsidRPr="004F707E">
        <w:rPr>
          <w:vertAlign w:val="superscript"/>
        </w:rPr>
        <w:footnoteReference w:id="10"/>
      </w:r>
      <w:r w:rsidR="00EC2BF5" w:rsidRPr="004F707E">
        <w:t>.</w:t>
      </w:r>
      <w:r w:rsidR="0060271B">
        <w:t xml:space="preserve"> </w:t>
      </w:r>
      <w:r w:rsidR="00EC2BF5" w:rsidRPr="004F707E">
        <w:t>V</w:t>
      </w:r>
      <w:r w:rsidR="005A1247">
        <w:t> </w:t>
      </w:r>
      <w:r w:rsidR="00EC2BF5" w:rsidRPr="004F707E">
        <w:t>souvislosti s</w:t>
      </w:r>
      <w:r w:rsidR="005A1247">
        <w:t> </w:t>
      </w:r>
      <w:r w:rsidR="00EC2BF5" w:rsidRPr="004F707E">
        <w:t>problematikou garážování vozidel na vodíkový pohon by měly být dokončeny technické předpisy pro vjezd do podzemních garáží.</w:t>
      </w:r>
    </w:p>
    <w:p w14:paraId="5B56234A" w14:textId="1DD5EC0B" w:rsidR="00163085" w:rsidRPr="004F707E" w:rsidRDefault="00163085" w:rsidP="009A3B7E">
      <w:pPr>
        <w:jc w:val="both"/>
      </w:pPr>
      <w:r>
        <w:rPr>
          <w:szCs w:val="22"/>
        </w:rPr>
        <w:t>Z pohledu GŘ HZS ČR je také třeba řešit oblast</w:t>
      </w:r>
      <w:r w:rsidRPr="00EF6EEE">
        <w:rPr>
          <w:szCs w:val="22"/>
        </w:rPr>
        <w:t xml:space="preserve"> bezpečnosti technologie a</w:t>
      </w:r>
      <w:r w:rsidR="005A1247">
        <w:rPr>
          <w:szCs w:val="22"/>
        </w:rPr>
        <w:t> </w:t>
      </w:r>
      <w:r w:rsidRPr="00EF6EEE">
        <w:rPr>
          <w:szCs w:val="22"/>
        </w:rPr>
        <w:t xml:space="preserve">reakce na mimořádnou událost, primárně </w:t>
      </w:r>
      <w:r>
        <w:rPr>
          <w:szCs w:val="22"/>
        </w:rPr>
        <w:t xml:space="preserve">se </w:t>
      </w:r>
      <w:r w:rsidRPr="00EF6EEE">
        <w:rPr>
          <w:szCs w:val="22"/>
        </w:rPr>
        <w:t>jedná o</w:t>
      </w:r>
      <w:r w:rsidR="005A1247">
        <w:rPr>
          <w:szCs w:val="22"/>
        </w:rPr>
        <w:t> </w:t>
      </w:r>
      <w:r w:rsidRPr="00EF6EEE">
        <w:rPr>
          <w:szCs w:val="22"/>
        </w:rPr>
        <w:t>mimořádnou událost požár, či „studenou“ mimořádnou událost - únik plynu ze zásobníků, dopravní nehoda, apod.</w:t>
      </w:r>
    </w:p>
    <w:p w14:paraId="4FF1CB03" w14:textId="77777777" w:rsidR="002B0B5C" w:rsidRDefault="00EC2BF5" w:rsidP="002B0B5C">
      <w:pPr>
        <w:jc w:val="both"/>
        <w:rPr>
          <w:rFonts w:cs="Arial"/>
        </w:rPr>
      </w:pPr>
      <w:r w:rsidRPr="004F707E">
        <w:t xml:space="preserve">Horizontálním problémem, který zpožďuje realizaci jakékoliv infrastruktury pro alternativní paliva (včetně vodíkových plnících stanic) představuje </w:t>
      </w:r>
      <w:r w:rsidRPr="004F707E">
        <w:rPr>
          <w:u w:val="single"/>
        </w:rPr>
        <w:t xml:space="preserve">současná vnitrostátní právní úprava </w:t>
      </w:r>
      <w:r w:rsidRPr="004F707E">
        <w:rPr>
          <w:u w:val="single"/>
        </w:rPr>
        <w:lastRenderedPageBreak/>
        <w:t>týkající se procesu povolování výstavby dotčené infrastruktury (stavební zákon), jakož i</w:t>
      </w:r>
      <w:r w:rsidR="005A1247">
        <w:rPr>
          <w:u w:val="single"/>
        </w:rPr>
        <w:t> </w:t>
      </w:r>
      <w:r w:rsidRPr="004F707E">
        <w:rPr>
          <w:u w:val="single"/>
        </w:rPr>
        <w:t>její výklad.</w:t>
      </w:r>
      <w:r w:rsidRPr="004F707E">
        <w:t xml:space="preserve"> Je přitom třeba poukázat na požadavek vyplývající z</w:t>
      </w:r>
      <w:r w:rsidR="005A1247">
        <w:t> </w:t>
      </w:r>
      <w:r w:rsidRPr="004F707E">
        <w:t xml:space="preserve">nedávno přijaté </w:t>
      </w:r>
      <w:r w:rsidRPr="004F707E">
        <w:rPr>
          <w:rFonts w:cstheme="minorHAnsi"/>
        </w:rPr>
        <w:t>novely směrnice 2010/31/EU o</w:t>
      </w:r>
      <w:r w:rsidR="005A1247">
        <w:rPr>
          <w:rFonts w:cstheme="minorHAnsi"/>
        </w:rPr>
        <w:t> </w:t>
      </w:r>
      <w:r w:rsidRPr="004F707E">
        <w:rPr>
          <w:rFonts w:cstheme="minorHAnsi"/>
        </w:rPr>
        <w:t xml:space="preserve">energetické </w:t>
      </w:r>
      <w:r w:rsidR="00F17093">
        <w:rPr>
          <w:rFonts w:cstheme="minorHAnsi"/>
        </w:rPr>
        <w:t>náročnosti</w:t>
      </w:r>
      <w:r w:rsidRPr="004F707E">
        <w:rPr>
          <w:rFonts w:cstheme="minorHAnsi"/>
        </w:rPr>
        <w:t xml:space="preserve"> budov, která mj. </w:t>
      </w:r>
      <w:r w:rsidRPr="004F707E">
        <w:rPr>
          <w:rFonts w:cstheme="minorHAnsi"/>
          <w:color w:val="000000"/>
        </w:rPr>
        <w:t>stanoví požadavek na členské státy, aby přijaly opatření v</w:t>
      </w:r>
      <w:r w:rsidR="005A1247">
        <w:rPr>
          <w:rFonts w:cstheme="minorHAnsi"/>
          <w:color w:val="000000"/>
        </w:rPr>
        <w:t> </w:t>
      </w:r>
      <w:r w:rsidRPr="004F707E">
        <w:rPr>
          <w:rFonts w:cstheme="minorHAnsi"/>
          <w:color w:val="000000"/>
        </w:rPr>
        <w:t>zájmu jednoduššího zavádění dobíjecích stanic v</w:t>
      </w:r>
      <w:r w:rsidR="005A1247">
        <w:rPr>
          <w:rFonts w:cstheme="minorHAnsi"/>
          <w:color w:val="000000"/>
        </w:rPr>
        <w:t> </w:t>
      </w:r>
      <w:r w:rsidRPr="004F707E">
        <w:rPr>
          <w:rFonts w:cstheme="minorHAnsi"/>
          <w:color w:val="000000"/>
        </w:rPr>
        <w:t>nových i</w:t>
      </w:r>
      <w:r w:rsidR="005A1247">
        <w:rPr>
          <w:rFonts w:cstheme="minorHAnsi"/>
          <w:color w:val="000000"/>
        </w:rPr>
        <w:t> </w:t>
      </w:r>
      <w:r w:rsidRPr="004F707E">
        <w:rPr>
          <w:rFonts w:cstheme="minorHAnsi"/>
          <w:color w:val="000000"/>
        </w:rPr>
        <w:t>stávajících obytných i</w:t>
      </w:r>
      <w:r w:rsidR="005A1247">
        <w:rPr>
          <w:rFonts w:cstheme="minorHAnsi"/>
          <w:color w:val="000000"/>
        </w:rPr>
        <w:t> </w:t>
      </w:r>
      <w:r w:rsidRPr="004F707E">
        <w:rPr>
          <w:rFonts w:cstheme="minorHAnsi"/>
          <w:color w:val="000000"/>
        </w:rPr>
        <w:t>jiných než obytných budovách a</w:t>
      </w:r>
      <w:r w:rsidR="005A1247">
        <w:rPr>
          <w:rFonts w:cstheme="minorHAnsi"/>
          <w:color w:val="000000"/>
        </w:rPr>
        <w:t> </w:t>
      </w:r>
      <w:r w:rsidRPr="004F707E">
        <w:rPr>
          <w:rFonts w:cstheme="minorHAnsi"/>
          <w:color w:val="000000"/>
        </w:rPr>
        <w:t>zabývají se případnými regulačními překážkami, včetně povolovacích a</w:t>
      </w:r>
      <w:r w:rsidR="005A1247">
        <w:rPr>
          <w:rFonts w:cstheme="minorHAnsi"/>
          <w:color w:val="000000"/>
        </w:rPr>
        <w:t> </w:t>
      </w:r>
      <w:r w:rsidRPr="004F707E">
        <w:rPr>
          <w:rFonts w:cstheme="minorHAnsi"/>
          <w:color w:val="000000"/>
        </w:rPr>
        <w:t>schvalovacích postupů. Pokud bude v</w:t>
      </w:r>
      <w:r w:rsidR="005A1247">
        <w:rPr>
          <w:rFonts w:cstheme="minorHAnsi"/>
          <w:color w:val="000000"/>
        </w:rPr>
        <w:t> </w:t>
      </w:r>
      <w:r w:rsidRPr="004F707E">
        <w:rPr>
          <w:rFonts w:cstheme="minorHAnsi"/>
          <w:color w:val="000000"/>
        </w:rPr>
        <w:t>souvislosti s</w:t>
      </w:r>
      <w:r w:rsidR="005A1247">
        <w:rPr>
          <w:rFonts w:cstheme="minorHAnsi"/>
          <w:color w:val="000000"/>
        </w:rPr>
        <w:t> </w:t>
      </w:r>
      <w:r w:rsidRPr="004F707E">
        <w:rPr>
          <w:rFonts w:cstheme="minorHAnsi"/>
          <w:color w:val="000000"/>
        </w:rPr>
        <w:t>touto úpravou třeba přijmout jisté kroky ve vztahu k</w:t>
      </w:r>
      <w:r w:rsidR="005A1247">
        <w:rPr>
          <w:rFonts w:cstheme="minorHAnsi"/>
          <w:color w:val="000000"/>
        </w:rPr>
        <w:t> </w:t>
      </w:r>
      <w:r w:rsidRPr="004F707E">
        <w:rPr>
          <w:rFonts w:cstheme="minorHAnsi"/>
          <w:color w:val="000000"/>
        </w:rPr>
        <w:t>rozvoji dobíjecích stanic, nabízí se zde příležitost obdobné opatření zacílit i</w:t>
      </w:r>
      <w:r w:rsidR="005A1247">
        <w:rPr>
          <w:rFonts w:cstheme="minorHAnsi"/>
          <w:color w:val="000000"/>
        </w:rPr>
        <w:t> </w:t>
      </w:r>
      <w:r w:rsidRPr="004F707E">
        <w:rPr>
          <w:rFonts w:cstheme="minorHAnsi"/>
          <w:color w:val="000000"/>
        </w:rPr>
        <w:t>na oblast vodíkových plnících stanic. Prvním krokem v</w:t>
      </w:r>
      <w:r w:rsidR="005A1247">
        <w:rPr>
          <w:rFonts w:cstheme="minorHAnsi"/>
          <w:color w:val="000000"/>
        </w:rPr>
        <w:t> </w:t>
      </w:r>
      <w:r w:rsidRPr="004F707E">
        <w:rPr>
          <w:rFonts w:cstheme="minorHAnsi"/>
          <w:color w:val="000000"/>
        </w:rPr>
        <w:t xml:space="preserve">této oblasti by mohlo být, aby </w:t>
      </w:r>
      <w:r w:rsidRPr="004F707E">
        <w:rPr>
          <w:rFonts w:cstheme="minorHAnsi"/>
          <w:color w:val="000000"/>
          <w:u w:val="single"/>
        </w:rPr>
        <w:t>stát uznal za všeobecně platnou m</w:t>
      </w:r>
      <w:r w:rsidRPr="004F707E">
        <w:rPr>
          <w:rFonts w:cs="Arial"/>
          <w:u w:val="single"/>
        </w:rPr>
        <w:t>etodiku výstavby a</w:t>
      </w:r>
      <w:r w:rsidR="005A1247">
        <w:rPr>
          <w:rFonts w:cs="Arial"/>
          <w:u w:val="single"/>
        </w:rPr>
        <w:t> </w:t>
      </w:r>
      <w:r w:rsidRPr="004F707E">
        <w:rPr>
          <w:rFonts w:cs="Arial"/>
          <w:u w:val="single"/>
        </w:rPr>
        <w:t>provozu plnících stanic stlačeného vodíku pro mobilní zařízení</w:t>
      </w:r>
      <w:r w:rsidRPr="004F707E">
        <w:rPr>
          <w:rFonts w:cs="Arial"/>
        </w:rPr>
        <w:t>, kterou připravila v</w:t>
      </w:r>
      <w:r w:rsidR="005A1247">
        <w:rPr>
          <w:rFonts w:cs="Arial"/>
        </w:rPr>
        <w:t> </w:t>
      </w:r>
      <w:r w:rsidRPr="004F707E">
        <w:rPr>
          <w:rFonts w:cs="Arial"/>
        </w:rPr>
        <w:t>roce 2018 společnost APT ve spolupráci s</w:t>
      </w:r>
      <w:r w:rsidR="005A1247">
        <w:rPr>
          <w:rFonts w:cs="Arial"/>
        </w:rPr>
        <w:t> </w:t>
      </w:r>
      <w:r w:rsidRPr="004F707E">
        <w:rPr>
          <w:rFonts w:cs="Arial"/>
        </w:rPr>
        <w:t>ÚJV Řež a</w:t>
      </w:r>
      <w:r w:rsidR="005A1247">
        <w:rPr>
          <w:rFonts w:cs="Arial"/>
        </w:rPr>
        <w:t> </w:t>
      </w:r>
      <w:r w:rsidRPr="004F707E">
        <w:rPr>
          <w:rFonts w:cs="Arial"/>
        </w:rPr>
        <w:t>předal ji k</w:t>
      </w:r>
      <w:r w:rsidR="005A1247">
        <w:rPr>
          <w:rFonts w:cs="Arial"/>
        </w:rPr>
        <w:t> </w:t>
      </w:r>
      <w:r w:rsidRPr="004F707E">
        <w:rPr>
          <w:rFonts w:cs="Arial"/>
        </w:rPr>
        <w:t>dalšímu užívání jednotlivým stavebním úřadům</w:t>
      </w:r>
      <w:r w:rsidRPr="004F707E">
        <w:rPr>
          <w:rFonts w:cs="Arial"/>
          <w:vertAlign w:val="superscript"/>
        </w:rPr>
        <w:footnoteReference w:id="11"/>
      </w:r>
      <w:r w:rsidRPr="004F707E">
        <w:rPr>
          <w:rFonts w:cs="Arial"/>
        </w:rPr>
        <w:t>.</w:t>
      </w:r>
      <w:r w:rsidR="0060271B">
        <w:rPr>
          <w:rFonts w:cs="Arial"/>
        </w:rPr>
        <w:t xml:space="preserve"> </w:t>
      </w:r>
    </w:p>
    <w:p w14:paraId="5325971D" w14:textId="0A061F1D" w:rsidR="002B0B5C" w:rsidRPr="002B0B5C" w:rsidRDefault="002B0B5C" w:rsidP="002B0B5C">
      <w:pPr>
        <w:jc w:val="both"/>
        <w:rPr>
          <w:rFonts w:cs="Arial"/>
        </w:rPr>
      </w:pPr>
      <w:r w:rsidRPr="00AE570A">
        <w:rPr>
          <w:szCs w:val="22"/>
          <w:lang w:eastAsia="en-US"/>
        </w:rPr>
        <w:t>Návrh nového stavebního zákona se zabývá zryc</w:t>
      </w:r>
      <w:r>
        <w:rPr>
          <w:szCs w:val="22"/>
          <w:lang w:eastAsia="en-US"/>
        </w:rPr>
        <w:t xml:space="preserve">hlením povolování všech staveb. </w:t>
      </w:r>
      <w:r w:rsidRPr="00AE570A">
        <w:rPr>
          <w:szCs w:val="22"/>
          <w:lang w:eastAsia="en-US"/>
        </w:rPr>
        <w:t>V současné době probíhá vypořádání připomínek vzešlých z  mezirezortního připomínkové řízení.</w:t>
      </w:r>
    </w:p>
    <w:p w14:paraId="4FBEC7CC" w14:textId="52FE74F1" w:rsidR="00EC2BF5" w:rsidRDefault="00EC2BF5" w:rsidP="009A3B7E">
      <w:pPr>
        <w:jc w:val="both"/>
      </w:pPr>
      <w:r w:rsidRPr="004F707E">
        <w:rPr>
          <w:rFonts w:cs="Arial"/>
        </w:rPr>
        <w:t xml:space="preserve">Aktuálním úkolem státu je též </w:t>
      </w:r>
      <w:r w:rsidRPr="004F707E">
        <w:rPr>
          <w:rFonts w:cstheme="minorHAnsi"/>
        </w:rPr>
        <w:t>transponování stávajících ISO norem pro oblast servisu vozidel do českého prostředí, jelikož je řada z</w:t>
      </w:r>
      <w:r w:rsidR="005A1247">
        <w:rPr>
          <w:rFonts w:cstheme="minorHAnsi"/>
        </w:rPr>
        <w:t> </w:t>
      </w:r>
      <w:r w:rsidRPr="004F707E">
        <w:rPr>
          <w:rFonts w:cstheme="minorHAnsi"/>
        </w:rPr>
        <w:t xml:space="preserve">nich </w:t>
      </w:r>
      <w:r w:rsidR="00021261">
        <w:rPr>
          <w:rFonts w:cstheme="minorHAnsi"/>
        </w:rPr>
        <w:t>pouze</w:t>
      </w:r>
      <w:r w:rsidRPr="004F707E">
        <w:rPr>
          <w:rFonts w:cstheme="minorHAnsi"/>
        </w:rPr>
        <w:t xml:space="preserve"> v</w:t>
      </w:r>
      <w:r w:rsidR="005A1247">
        <w:rPr>
          <w:rFonts w:cstheme="minorHAnsi"/>
        </w:rPr>
        <w:t> </w:t>
      </w:r>
      <w:r w:rsidRPr="004F707E">
        <w:rPr>
          <w:rFonts w:cstheme="minorHAnsi"/>
        </w:rPr>
        <w:t>cizím jazyce, a</w:t>
      </w:r>
      <w:r w:rsidR="005A1247">
        <w:rPr>
          <w:rFonts w:cstheme="minorHAnsi"/>
        </w:rPr>
        <w:t> </w:t>
      </w:r>
      <w:r w:rsidRPr="004F707E">
        <w:rPr>
          <w:rFonts w:cstheme="minorHAnsi"/>
        </w:rPr>
        <w:t>dále stanovení preferencí jaké normy využít, jelikož jsou aktuálně rozdíly mezi evropskými a</w:t>
      </w:r>
      <w:r w:rsidR="005A1247">
        <w:rPr>
          <w:rFonts w:cstheme="minorHAnsi"/>
        </w:rPr>
        <w:t> </w:t>
      </w:r>
      <w:r w:rsidRPr="004F707E">
        <w:rPr>
          <w:rFonts w:cstheme="minorHAnsi"/>
        </w:rPr>
        <w:t>americkými normami. Dále by měla vzniknout legislativa umožňující parkování vozidel na jinak vyhrazených místech (zóny s</w:t>
      </w:r>
      <w:r w:rsidR="005A1247">
        <w:rPr>
          <w:rFonts w:cstheme="minorHAnsi"/>
        </w:rPr>
        <w:t> </w:t>
      </w:r>
      <w:r w:rsidRPr="004F707E">
        <w:rPr>
          <w:rFonts w:cstheme="minorHAnsi"/>
        </w:rPr>
        <w:t>omezeným přístupem nebo veřejná parkoviště) nebo vyhrazená dopravní značka pro vozidla s</w:t>
      </w:r>
      <w:r w:rsidR="005A1247">
        <w:rPr>
          <w:rFonts w:cstheme="minorHAnsi"/>
        </w:rPr>
        <w:t> </w:t>
      </w:r>
      <w:r w:rsidRPr="004F707E">
        <w:rPr>
          <w:rFonts w:cstheme="minorHAnsi"/>
        </w:rPr>
        <w:t xml:space="preserve">ekologickým pohonem. </w:t>
      </w:r>
    </w:p>
    <w:p w14:paraId="6503B8F8" w14:textId="50BAAB7C" w:rsidR="00A0449C" w:rsidRPr="00FE2161" w:rsidRDefault="007E7A4E" w:rsidP="009A3B7E">
      <w:pPr>
        <w:pStyle w:val="Nadpis3"/>
        <w:jc w:val="both"/>
      </w:pPr>
      <w:r>
        <w:t>Vytváření r</w:t>
      </w:r>
      <w:r w:rsidR="00A0449C" w:rsidRPr="00FE2161">
        <w:t>ámc</w:t>
      </w:r>
      <w:r>
        <w:t>e</w:t>
      </w:r>
      <w:r w:rsidR="00A0449C" w:rsidRPr="00FE2161">
        <w:t xml:space="preserve"> pro výzkum a</w:t>
      </w:r>
      <w:r w:rsidR="005A1247">
        <w:t> </w:t>
      </w:r>
      <w:r w:rsidR="00A0449C" w:rsidRPr="00FE2161">
        <w:t>vývoj</w:t>
      </w:r>
    </w:p>
    <w:p w14:paraId="5ADBF675" w14:textId="516738A3" w:rsidR="00A0449C" w:rsidRPr="004F707E" w:rsidRDefault="00A0449C" w:rsidP="009A3B7E">
      <w:pPr>
        <w:jc w:val="both"/>
        <w:rPr>
          <w:rFonts w:cstheme="minorHAnsi"/>
          <w:color w:val="000000" w:themeColor="text1"/>
        </w:rPr>
      </w:pPr>
      <w:r w:rsidRPr="004F707E">
        <w:rPr>
          <w:rFonts w:cstheme="minorHAnsi"/>
          <w:color w:val="000000" w:themeColor="text1"/>
        </w:rPr>
        <w:t>Ačkoli jsou vodíkové technologie v</w:t>
      </w:r>
      <w:r w:rsidR="005A1247">
        <w:rPr>
          <w:rFonts w:cstheme="minorHAnsi"/>
          <w:color w:val="000000" w:themeColor="text1"/>
        </w:rPr>
        <w:t> </w:t>
      </w:r>
      <w:r w:rsidRPr="004F707E">
        <w:rPr>
          <w:rFonts w:cstheme="minorHAnsi"/>
          <w:color w:val="000000" w:themeColor="text1"/>
        </w:rPr>
        <w:t>oblasti mobility připraveny pro vstup na trh, bude ještě po dlouhou dobu žádoucí podporovat výzkum a</w:t>
      </w:r>
      <w:r w:rsidR="005A1247">
        <w:rPr>
          <w:rFonts w:cstheme="minorHAnsi"/>
          <w:color w:val="000000" w:themeColor="text1"/>
        </w:rPr>
        <w:t> </w:t>
      </w:r>
      <w:r w:rsidRPr="004F707E">
        <w:rPr>
          <w:rFonts w:cstheme="minorHAnsi"/>
          <w:color w:val="000000" w:themeColor="text1"/>
        </w:rPr>
        <w:t>vývoj v</w:t>
      </w:r>
      <w:r w:rsidR="005A1247">
        <w:rPr>
          <w:rFonts w:cstheme="minorHAnsi"/>
          <w:color w:val="000000" w:themeColor="text1"/>
        </w:rPr>
        <w:t> </w:t>
      </w:r>
      <w:r w:rsidRPr="004F707E">
        <w:rPr>
          <w:rFonts w:cstheme="minorHAnsi"/>
          <w:color w:val="000000" w:themeColor="text1"/>
        </w:rPr>
        <w:t>této oblasti, a</w:t>
      </w:r>
      <w:r w:rsidR="005A1247">
        <w:rPr>
          <w:rFonts w:cstheme="minorHAnsi"/>
          <w:color w:val="000000" w:themeColor="text1"/>
        </w:rPr>
        <w:t> </w:t>
      </w:r>
      <w:r w:rsidRPr="004F707E">
        <w:rPr>
          <w:rFonts w:cstheme="minorHAnsi"/>
          <w:color w:val="000000" w:themeColor="text1"/>
        </w:rPr>
        <w:t>to především za účelem zvýšení užitných vlastností vozidel a</w:t>
      </w:r>
      <w:r w:rsidR="005A1247">
        <w:rPr>
          <w:rFonts w:cstheme="minorHAnsi"/>
          <w:color w:val="000000" w:themeColor="text1"/>
        </w:rPr>
        <w:t> </w:t>
      </w:r>
      <w:r w:rsidRPr="004F707E">
        <w:rPr>
          <w:rFonts w:cstheme="minorHAnsi"/>
          <w:color w:val="000000" w:themeColor="text1"/>
        </w:rPr>
        <w:t>infrastruktury (životnost, cena, spotřeba).</w:t>
      </w:r>
    </w:p>
    <w:p w14:paraId="438AC3B7" w14:textId="69806B7C" w:rsidR="00A0449C" w:rsidRPr="004F707E" w:rsidRDefault="00A0449C" w:rsidP="009A3B7E">
      <w:pPr>
        <w:jc w:val="both"/>
      </w:pPr>
      <w:r w:rsidRPr="004F707E">
        <w:t>Mezi priorit</w:t>
      </w:r>
      <w:r w:rsidR="00A04BE8">
        <w:t xml:space="preserve">y </w:t>
      </w:r>
      <w:r w:rsidRPr="004F707E">
        <w:t>v</w:t>
      </w:r>
      <w:r w:rsidR="005A1247">
        <w:t> </w:t>
      </w:r>
      <w:r w:rsidRPr="004F707E">
        <w:t>oblasti vodíkových technologií patří tato témata:</w:t>
      </w:r>
    </w:p>
    <w:p w14:paraId="3D831BD2" w14:textId="77777777" w:rsidR="00A0449C" w:rsidRPr="0093375D" w:rsidRDefault="00A0449C" w:rsidP="009A3B7E">
      <w:pPr>
        <w:pStyle w:val="Bullet1"/>
        <w:jc w:val="both"/>
        <w:rPr>
          <w:rFonts w:eastAsiaTheme="minorHAnsi"/>
          <w:lang w:eastAsia="en-US"/>
        </w:rPr>
      </w:pPr>
      <w:r w:rsidRPr="004F707E">
        <w:rPr>
          <w:rFonts w:eastAsiaTheme="minorHAnsi"/>
          <w:lang w:eastAsia="en-US"/>
        </w:rPr>
        <w:t>podpora aplikovaného výzkumu</w:t>
      </w:r>
    </w:p>
    <w:p w14:paraId="69CF270C" w14:textId="1CC32C7B" w:rsidR="00A0449C" w:rsidRPr="0093375D" w:rsidRDefault="00A0449C" w:rsidP="009A3B7E">
      <w:pPr>
        <w:pStyle w:val="Bullet1"/>
        <w:jc w:val="both"/>
        <w:rPr>
          <w:rFonts w:eastAsiaTheme="minorHAnsi"/>
          <w:lang w:eastAsia="en-US"/>
        </w:rPr>
      </w:pPr>
      <w:r w:rsidRPr="004F707E">
        <w:rPr>
          <w:rFonts w:eastAsiaTheme="minorHAnsi"/>
          <w:lang w:eastAsia="en-US"/>
        </w:rPr>
        <w:t>podpora pilotních a</w:t>
      </w:r>
      <w:r w:rsidR="005A1247">
        <w:rPr>
          <w:rFonts w:eastAsiaTheme="minorHAnsi"/>
          <w:lang w:eastAsia="en-US"/>
        </w:rPr>
        <w:t> </w:t>
      </w:r>
      <w:r w:rsidRPr="004F707E">
        <w:rPr>
          <w:rFonts w:eastAsiaTheme="minorHAnsi"/>
          <w:lang w:eastAsia="en-US"/>
        </w:rPr>
        <w:t>demonstračních projektů</w:t>
      </w:r>
    </w:p>
    <w:p w14:paraId="4B19D671" w14:textId="1652CF1F" w:rsidR="00A0449C" w:rsidRPr="0093375D" w:rsidRDefault="00A0449C" w:rsidP="009A3B7E">
      <w:pPr>
        <w:pStyle w:val="Bullet1"/>
        <w:jc w:val="both"/>
        <w:rPr>
          <w:rFonts w:eastAsiaTheme="minorHAnsi"/>
          <w:lang w:eastAsia="en-US"/>
        </w:rPr>
      </w:pPr>
      <w:r w:rsidRPr="004F707E">
        <w:rPr>
          <w:rFonts w:eastAsiaTheme="minorHAnsi"/>
          <w:lang w:eastAsia="en-US"/>
        </w:rPr>
        <w:t>dlouhodobá podpora VaV v</w:t>
      </w:r>
      <w:r w:rsidR="005A1247">
        <w:rPr>
          <w:rFonts w:eastAsiaTheme="minorHAnsi"/>
          <w:lang w:eastAsia="en-US"/>
        </w:rPr>
        <w:t> </w:t>
      </w:r>
      <w:r w:rsidRPr="004F707E">
        <w:rPr>
          <w:rFonts w:eastAsiaTheme="minorHAnsi"/>
          <w:lang w:eastAsia="en-US"/>
        </w:rPr>
        <w:t>oblasti vodíkové mobility – vodíkové inovační údolí</w:t>
      </w:r>
    </w:p>
    <w:p w14:paraId="39449A26" w14:textId="1D4F6F7E" w:rsidR="00A0449C" w:rsidRPr="0093375D" w:rsidRDefault="00A0449C" w:rsidP="009A3B7E">
      <w:pPr>
        <w:pStyle w:val="Bullet1"/>
        <w:jc w:val="both"/>
        <w:rPr>
          <w:rFonts w:eastAsiaTheme="minorHAnsi"/>
          <w:lang w:eastAsia="en-US"/>
        </w:rPr>
      </w:pPr>
      <w:r w:rsidRPr="004F707E">
        <w:rPr>
          <w:rFonts w:eastAsiaTheme="minorHAnsi"/>
          <w:lang w:eastAsia="en-US"/>
        </w:rPr>
        <w:t>podpůrný výzkum pro přípravu legislativy a</w:t>
      </w:r>
      <w:r w:rsidR="005A1247">
        <w:rPr>
          <w:rFonts w:eastAsiaTheme="minorHAnsi"/>
          <w:lang w:eastAsia="en-US"/>
        </w:rPr>
        <w:t> </w:t>
      </w:r>
      <w:r w:rsidRPr="004F707E">
        <w:rPr>
          <w:rFonts w:eastAsiaTheme="minorHAnsi"/>
          <w:lang w:eastAsia="en-US"/>
        </w:rPr>
        <w:t>technické normalizace</w:t>
      </w:r>
    </w:p>
    <w:p w14:paraId="17DA6944" w14:textId="7B44BB63" w:rsidR="00A0449C" w:rsidRDefault="00A0449C" w:rsidP="009A3B7E">
      <w:pPr>
        <w:jc w:val="both"/>
      </w:pPr>
      <w:r>
        <w:t>Z hlediska výzkumu a</w:t>
      </w:r>
      <w:r w:rsidR="005A1247">
        <w:t> </w:t>
      </w:r>
      <w:r>
        <w:t>vývoje je vhodné mimo národních kapacit podpořit spolupráci a</w:t>
      </w:r>
      <w:r w:rsidR="005A1247">
        <w:t> </w:t>
      </w:r>
      <w:r>
        <w:t>zapojení i</w:t>
      </w:r>
      <w:r w:rsidR="005A1247">
        <w:t> </w:t>
      </w:r>
      <w:r>
        <w:t>v</w:t>
      </w:r>
      <w:r w:rsidR="000F2439">
        <w:t> </w:t>
      </w:r>
      <w:r>
        <w:t>rámci mezinárodních projektů v</w:t>
      </w:r>
      <w:r w:rsidR="005A1247">
        <w:t> </w:t>
      </w:r>
      <w:r>
        <w:t>rámci EU i</w:t>
      </w:r>
      <w:r w:rsidR="005A1247">
        <w:t> </w:t>
      </w:r>
      <w:r>
        <w:t>mimo ni s</w:t>
      </w:r>
      <w:r w:rsidR="005A1247">
        <w:t> </w:t>
      </w:r>
      <w:r>
        <w:t>možností čerpání finančních prostředků.</w:t>
      </w:r>
    </w:p>
    <w:p w14:paraId="310517CB" w14:textId="169D7B67" w:rsidR="00A0449C" w:rsidRDefault="00A0449C" w:rsidP="009A3B7E">
      <w:pPr>
        <w:jc w:val="both"/>
      </w:pPr>
      <w:r w:rsidRPr="004F707E">
        <w:t>V současnosti probíhá výzkum dvoupalivových vodíkových spalovacích motorů v</w:t>
      </w:r>
      <w:r w:rsidR="005A1247">
        <w:t> </w:t>
      </w:r>
      <w:r w:rsidRPr="004F707E">
        <w:t>kombinaci s</w:t>
      </w:r>
      <w:r w:rsidR="005A1247">
        <w:t> </w:t>
      </w:r>
      <w:r w:rsidRPr="004F707E">
        <w:t>konvenčními i</w:t>
      </w:r>
      <w:r w:rsidR="005A1247">
        <w:t> </w:t>
      </w:r>
      <w:r w:rsidRPr="004F707E">
        <w:t>obnovitelnými palivy. Zejména pro přechodnou dobu budování vodíkové infrastruktury se dvoupalivové řešení jeví jako potenciálně přínosné – možnost dojezdu na konvenční palivo, snížení emise všech uhlíkových složek ve spalinách (snížení emisí oxidu uhličitého až o</w:t>
      </w:r>
      <w:r w:rsidR="005A1247">
        <w:t> </w:t>
      </w:r>
      <w:r w:rsidRPr="004F707E">
        <w:t xml:space="preserve">67 %). </w:t>
      </w:r>
      <w:r w:rsidR="001C66AA">
        <w:t xml:space="preserve">Tuto </w:t>
      </w:r>
      <w:r w:rsidRPr="004F707E">
        <w:t>technologi</w:t>
      </w:r>
      <w:r w:rsidR="001C66AA">
        <w:t>i</w:t>
      </w:r>
      <w:r w:rsidRPr="004F707E">
        <w:t xml:space="preserve"> je především zapotřebí ověř</w:t>
      </w:r>
      <w:r w:rsidR="001C66AA">
        <w:t>it</w:t>
      </w:r>
      <w:r w:rsidRPr="004F707E">
        <w:t xml:space="preserve"> na funkčních vozidlech.</w:t>
      </w:r>
    </w:p>
    <w:p w14:paraId="2B6E822A" w14:textId="63D6B28C" w:rsidR="00EC2BF5" w:rsidRPr="004F707E" w:rsidRDefault="00EC2BF5" w:rsidP="009A3B7E">
      <w:pPr>
        <w:jc w:val="both"/>
      </w:pPr>
      <w:r w:rsidRPr="004F707E">
        <w:t>Pro podporu oblastí související s</w:t>
      </w:r>
      <w:r w:rsidR="005A1247">
        <w:t> </w:t>
      </w:r>
      <w:r w:rsidRPr="004F707E">
        <w:t>vodíkem, je hlavním nástrojem podpory</w:t>
      </w:r>
      <w:r w:rsidRPr="004F707E">
        <w:rPr>
          <w:b/>
        </w:rPr>
        <w:t xml:space="preserve"> Společný podnik pro palivové články a</w:t>
      </w:r>
      <w:r w:rsidR="005A1247">
        <w:rPr>
          <w:b/>
        </w:rPr>
        <w:t> </w:t>
      </w:r>
      <w:r w:rsidRPr="004F707E">
        <w:rPr>
          <w:b/>
        </w:rPr>
        <w:t xml:space="preserve">vodík </w:t>
      </w:r>
      <w:r w:rsidRPr="00576CE7">
        <w:rPr>
          <w:b/>
        </w:rPr>
        <w:t>(</w:t>
      </w:r>
      <w:r w:rsidRPr="004F707E">
        <w:t>Fuel Cells and Hydrogen Joint Undertaki</w:t>
      </w:r>
      <w:r w:rsidR="00021261">
        <w:t>n</w:t>
      </w:r>
      <w:r w:rsidRPr="004F707E">
        <w:t xml:space="preserve">g, FCH JU). JTI má právní subjektivitu, iniciativa formálně vznikla Rozhodnutím Rady (521/2008). </w:t>
      </w:r>
    </w:p>
    <w:p w14:paraId="498460AC" w14:textId="2FC8807C" w:rsidR="00EC2BF5" w:rsidRPr="004F707E" w:rsidRDefault="00EC2BF5" w:rsidP="009A3B7E">
      <w:pPr>
        <w:jc w:val="both"/>
      </w:pPr>
      <w:r w:rsidRPr="004F707E">
        <w:t>Mezi prioritní výzkumná témata v</w:t>
      </w:r>
      <w:r w:rsidR="005A1247">
        <w:t> </w:t>
      </w:r>
      <w:r w:rsidRPr="004F707E">
        <w:t>oblasti vodíkových technologií patří tato témata:</w:t>
      </w:r>
    </w:p>
    <w:p w14:paraId="767D7109" w14:textId="77777777" w:rsidR="00EC2BF5" w:rsidRPr="004F707E" w:rsidRDefault="001C66AA" w:rsidP="002F0D1A">
      <w:pPr>
        <w:numPr>
          <w:ilvl w:val="0"/>
          <w:numId w:val="19"/>
        </w:numPr>
        <w:spacing w:before="0" w:after="0"/>
        <w:contextualSpacing/>
        <w:jc w:val="both"/>
        <w:rPr>
          <w:rFonts w:eastAsiaTheme="minorHAnsi" w:cs="Arial"/>
          <w:lang w:eastAsia="en-US"/>
        </w:rPr>
      </w:pPr>
      <w:r>
        <w:rPr>
          <w:rFonts w:eastAsiaTheme="minorHAnsi" w:cs="Arial"/>
          <w:lang w:eastAsia="en-US"/>
        </w:rPr>
        <w:t>P</w:t>
      </w:r>
      <w:r w:rsidR="00EC2BF5" w:rsidRPr="004F707E">
        <w:rPr>
          <w:rFonts w:eastAsiaTheme="minorHAnsi" w:cs="Arial"/>
          <w:lang w:eastAsia="en-US"/>
        </w:rPr>
        <w:t>odpora aplikovaného výzkumu</w:t>
      </w:r>
    </w:p>
    <w:p w14:paraId="45665C35" w14:textId="27FD4D1E"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lastRenderedPageBreak/>
        <w:t>udržitelné technologie výroby vodíku pro dopravní účely (např. z</w:t>
      </w:r>
      <w:r w:rsidR="005A1247">
        <w:rPr>
          <w:rFonts w:eastAsiaTheme="minorHAnsi" w:cs="Arial"/>
          <w:lang w:eastAsia="en-US"/>
        </w:rPr>
        <w:t> </w:t>
      </w:r>
      <w:r w:rsidRPr="004F707E">
        <w:rPr>
          <w:rFonts w:eastAsiaTheme="minorHAnsi" w:cs="Arial"/>
          <w:lang w:eastAsia="en-US"/>
        </w:rPr>
        <w:t>obnovitelných zdrojů)</w:t>
      </w:r>
    </w:p>
    <w:p w14:paraId="02EC3380" w14:textId="77777777"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efektivní způsoby zásobování vodíkem (centralizované vs. decentr</w:t>
      </w:r>
      <w:r w:rsidR="001C66AA">
        <w:rPr>
          <w:rFonts w:eastAsiaTheme="minorHAnsi" w:cs="Arial"/>
          <w:lang w:eastAsia="en-US"/>
        </w:rPr>
        <w:t>alizované</w:t>
      </w:r>
      <w:r w:rsidRPr="004F707E">
        <w:rPr>
          <w:rFonts w:eastAsiaTheme="minorHAnsi" w:cs="Arial"/>
          <w:lang w:eastAsia="en-US"/>
        </w:rPr>
        <w:t xml:space="preserve"> řešení)</w:t>
      </w:r>
    </w:p>
    <w:p w14:paraId="3A806B99" w14:textId="77777777"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technologie skladování vodíku</w:t>
      </w:r>
    </w:p>
    <w:p w14:paraId="6BACABF7" w14:textId="77777777"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zdokonalené palivové články pro vozidla</w:t>
      </w:r>
    </w:p>
    <w:p w14:paraId="5A4E1C56" w14:textId="77777777"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pokročilé systémy pro kompresi distribuci vodíku (např. elektrochemická komprese)</w:t>
      </w:r>
    </w:p>
    <w:p w14:paraId="01A207F5" w14:textId="5AB15A54"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využití netradičních zdrojů vodíku (zpracování alternativních paliv-odpadů s</w:t>
      </w:r>
      <w:r w:rsidR="005A1247">
        <w:rPr>
          <w:rFonts w:eastAsiaTheme="minorHAnsi" w:cs="Arial"/>
          <w:lang w:eastAsia="en-US"/>
        </w:rPr>
        <w:t> </w:t>
      </w:r>
      <w:r w:rsidRPr="004F707E">
        <w:rPr>
          <w:rFonts w:eastAsiaTheme="minorHAnsi" w:cs="Arial"/>
          <w:lang w:eastAsia="en-US"/>
        </w:rPr>
        <w:t>využitím plazmy, pyrolýzy, apod.)</w:t>
      </w:r>
    </w:p>
    <w:p w14:paraId="4017E705" w14:textId="04E62C05"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systémové analýzy (sector coupling, zajištění primárních energií, hodnocení dopadů životního cyklu, energetická bezpečnost a</w:t>
      </w:r>
      <w:r w:rsidR="005A1247">
        <w:rPr>
          <w:rFonts w:eastAsiaTheme="minorHAnsi" w:cs="Arial"/>
          <w:lang w:eastAsia="en-US"/>
        </w:rPr>
        <w:t> </w:t>
      </w:r>
      <w:r w:rsidRPr="004F707E">
        <w:rPr>
          <w:rFonts w:eastAsiaTheme="minorHAnsi" w:cs="Arial"/>
          <w:lang w:eastAsia="en-US"/>
        </w:rPr>
        <w:t>další)</w:t>
      </w:r>
    </w:p>
    <w:p w14:paraId="70067A50" w14:textId="4CF54341" w:rsidR="00EC2BF5" w:rsidRPr="004F707E" w:rsidRDefault="00303A13" w:rsidP="002F0D1A">
      <w:pPr>
        <w:numPr>
          <w:ilvl w:val="0"/>
          <w:numId w:val="20"/>
        </w:numPr>
        <w:spacing w:before="0" w:after="0"/>
        <w:contextualSpacing/>
        <w:jc w:val="both"/>
        <w:rPr>
          <w:rFonts w:eastAsiaTheme="minorHAnsi" w:cs="Arial"/>
          <w:lang w:eastAsia="en-US"/>
        </w:rPr>
      </w:pPr>
      <w:r>
        <w:rPr>
          <w:rFonts w:eastAsiaTheme="minorHAnsi" w:cs="Arial"/>
          <w:lang w:eastAsia="en-US"/>
        </w:rPr>
        <w:t>p</w:t>
      </w:r>
      <w:r w:rsidR="00EC2BF5" w:rsidRPr="004F707E">
        <w:rPr>
          <w:rFonts w:eastAsiaTheme="minorHAnsi" w:cs="Arial"/>
          <w:lang w:eastAsia="en-US"/>
        </w:rPr>
        <w:t>odpora výzkum</w:t>
      </w:r>
      <w:r>
        <w:rPr>
          <w:rFonts w:eastAsiaTheme="minorHAnsi" w:cs="Arial"/>
          <w:lang w:eastAsia="en-US"/>
        </w:rPr>
        <w:t>u</w:t>
      </w:r>
      <w:r w:rsidR="00EC2BF5" w:rsidRPr="004F707E">
        <w:rPr>
          <w:rFonts w:eastAsiaTheme="minorHAnsi" w:cs="Arial"/>
          <w:lang w:eastAsia="en-US"/>
        </w:rPr>
        <w:t xml:space="preserve"> dvoupalivových vodíkových spalovacích motorů v</w:t>
      </w:r>
      <w:r w:rsidR="005A1247">
        <w:rPr>
          <w:rFonts w:eastAsiaTheme="minorHAnsi" w:cs="Arial"/>
          <w:lang w:eastAsia="en-US"/>
        </w:rPr>
        <w:t> </w:t>
      </w:r>
      <w:r w:rsidR="00EC2BF5" w:rsidRPr="004F707E">
        <w:rPr>
          <w:rFonts w:eastAsiaTheme="minorHAnsi" w:cs="Arial"/>
          <w:lang w:eastAsia="en-US"/>
        </w:rPr>
        <w:t>kombinaci s</w:t>
      </w:r>
      <w:r w:rsidR="005A1247">
        <w:rPr>
          <w:rFonts w:eastAsiaTheme="minorHAnsi" w:cs="Arial"/>
          <w:lang w:eastAsia="en-US"/>
        </w:rPr>
        <w:t> </w:t>
      </w:r>
      <w:r w:rsidR="00EC2BF5" w:rsidRPr="004F707E">
        <w:rPr>
          <w:rFonts w:eastAsiaTheme="minorHAnsi" w:cs="Arial"/>
          <w:lang w:eastAsia="en-US"/>
        </w:rPr>
        <w:t>konvenčními i</w:t>
      </w:r>
      <w:r w:rsidR="005A1247">
        <w:rPr>
          <w:rFonts w:eastAsiaTheme="minorHAnsi" w:cs="Arial"/>
          <w:lang w:eastAsia="en-US"/>
        </w:rPr>
        <w:t> </w:t>
      </w:r>
      <w:r w:rsidR="00EC2BF5" w:rsidRPr="004F707E">
        <w:rPr>
          <w:rFonts w:eastAsiaTheme="minorHAnsi" w:cs="Arial"/>
          <w:lang w:eastAsia="en-US"/>
        </w:rPr>
        <w:t>obnovitelnými palivy.</w:t>
      </w:r>
    </w:p>
    <w:p w14:paraId="438F5004" w14:textId="77777777" w:rsidR="00EC2BF5" w:rsidRPr="004F707E" w:rsidRDefault="00EC2BF5" w:rsidP="002F0D1A">
      <w:pPr>
        <w:spacing w:before="0" w:after="0"/>
        <w:ind w:left="1068"/>
        <w:contextualSpacing/>
        <w:jc w:val="both"/>
        <w:rPr>
          <w:rFonts w:eastAsiaTheme="minorHAnsi" w:cs="Arial"/>
          <w:lang w:eastAsia="en-US"/>
        </w:rPr>
      </w:pPr>
    </w:p>
    <w:p w14:paraId="6BFD7427" w14:textId="4B9CE918" w:rsidR="00EC2BF5" w:rsidRPr="004F707E" w:rsidRDefault="001C66AA" w:rsidP="002F0D1A">
      <w:pPr>
        <w:numPr>
          <w:ilvl w:val="0"/>
          <w:numId w:val="19"/>
        </w:numPr>
        <w:spacing w:before="0" w:after="0"/>
        <w:contextualSpacing/>
        <w:jc w:val="both"/>
        <w:rPr>
          <w:rFonts w:eastAsiaTheme="minorHAnsi" w:cs="Arial"/>
          <w:lang w:eastAsia="en-US"/>
        </w:rPr>
      </w:pPr>
      <w:r>
        <w:rPr>
          <w:rFonts w:eastAsiaTheme="minorHAnsi" w:cs="Arial"/>
          <w:lang w:eastAsia="en-US"/>
        </w:rPr>
        <w:t>P</w:t>
      </w:r>
      <w:r w:rsidR="00EC2BF5" w:rsidRPr="004F707E">
        <w:rPr>
          <w:rFonts w:eastAsiaTheme="minorHAnsi" w:cs="Arial"/>
          <w:lang w:eastAsia="en-US"/>
        </w:rPr>
        <w:t>odpora pilotních a</w:t>
      </w:r>
      <w:r w:rsidR="005A1247">
        <w:rPr>
          <w:rFonts w:eastAsiaTheme="minorHAnsi" w:cs="Arial"/>
          <w:lang w:eastAsia="en-US"/>
        </w:rPr>
        <w:t> </w:t>
      </w:r>
      <w:r w:rsidR="00EC2BF5" w:rsidRPr="004F707E">
        <w:rPr>
          <w:rFonts w:eastAsiaTheme="minorHAnsi" w:cs="Arial"/>
          <w:lang w:eastAsia="en-US"/>
        </w:rPr>
        <w:t>demonstračních projektů</w:t>
      </w:r>
    </w:p>
    <w:p w14:paraId="755E000A" w14:textId="6D2BA709"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vodíkové regiony (vyhodnocování parametrů z</w:t>
      </w:r>
      <w:r w:rsidR="005A1247">
        <w:rPr>
          <w:rFonts w:eastAsiaTheme="minorHAnsi" w:cs="Arial"/>
          <w:lang w:eastAsia="en-US"/>
        </w:rPr>
        <w:t> </w:t>
      </w:r>
      <w:r w:rsidRPr="004F707E">
        <w:rPr>
          <w:rFonts w:eastAsiaTheme="minorHAnsi" w:cs="Arial"/>
          <w:lang w:eastAsia="en-US"/>
        </w:rPr>
        <w:t>projektu komplexní implementace vodíkových technologií)</w:t>
      </w:r>
    </w:p>
    <w:p w14:paraId="323473D9" w14:textId="77777777" w:rsidR="00EC2BF5" w:rsidRPr="004F707E" w:rsidRDefault="00EC2BF5" w:rsidP="002F0D1A">
      <w:pPr>
        <w:numPr>
          <w:ilvl w:val="0"/>
          <w:numId w:val="20"/>
        </w:numPr>
        <w:spacing w:before="0" w:after="0"/>
        <w:jc w:val="both"/>
        <w:rPr>
          <w:rFonts w:eastAsiaTheme="minorHAnsi" w:cs="Arial"/>
          <w:lang w:eastAsia="en-US"/>
        </w:rPr>
      </w:pPr>
      <w:r w:rsidRPr="004F707E">
        <w:rPr>
          <w:rFonts w:eastAsiaTheme="minorHAnsi" w:cs="Arial"/>
          <w:lang w:eastAsia="en-US"/>
        </w:rPr>
        <w:t>zapojení OZE při výrobě vodíku - zejména FVE pro elektrolýzu vody</w:t>
      </w:r>
    </w:p>
    <w:p w14:paraId="214D1B2F" w14:textId="60791B43"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podpora inovací v</w:t>
      </w:r>
      <w:r w:rsidR="005A1247">
        <w:rPr>
          <w:rFonts w:eastAsiaTheme="minorHAnsi" w:cs="Arial"/>
          <w:lang w:eastAsia="en-US"/>
        </w:rPr>
        <w:t> </w:t>
      </w:r>
      <w:r w:rsidRPr="004F707E">
        <w:rPr>
          <w:rFonts w:eastAsiaTheme="minorHAnsi" w:cs="Arial"/>
          <w:lang w:eastAsia="en-US"/>
        </w:rPr>
        <w:t>oblasti vodíkových vozidel (především nákladní automobily a</w:t>
      </w:r>
      <w:r w:rsidR="005A1247">
        <w:rPr>
          <w:rFonts w:eastAsiaTheme="minorHAnsi" w:cs="Arial"/>
          <w:lang w:eastAsia="en-US"/>
        </w:rPr>
        <w:t> </w:t>
      </w:r>
      <w:r w:rsidRPr="004F707E">
        <w:rPr>
          <w:rFonts w:eastAsiaTheme="minorHAnsi" w:cs="Arial"/>
          <w:lang w:eastAsia="en-US"/>
        </w:rPr>
        <w:t>autobusy)</w:t>
      </w:r>
    </w:p>
    <w:p w14:paraId="26189B44" w14:textId="77777777" w:rsidR="00EC2BF5" w:rsidRPr="004F707E" w:rsidRDefault="00EC2BF5" w:rsidP="002F0D1A">
      <w:pPr>
        <w:spacing w:before="0" w:after="0"/>
        <w:ind w:left="1068"/>
        <w:contextualSpacing/>
        <w:jc w:val="both"/>
        <w:rPr>
          <w:rFonts w:eastAsiaTheme="minorHAnsi" w:cs="Arial"/>
          <w:lang w:eastAsia="en-US"/>
        </w:rPr>
      </w:pPr>
    </w:p>
    <w:p w14:paraId="1909343B" w14:textId="282D1BC3" w:rsidR="00EC2BF5" w:rsidRPr="004F707E" w:rsidRDefault="001C66AA" w:rsidP="002F0D1A">
      <w:pPr>
        <w:numPr>
          <w:ilvl w:val="0"/>
          <w:numId w:val="19"/>
        </w:numPr>
        <w:spacing w:before="0" w:after="0"/>
        <w:contextualSpacing/>
        <w:jc w:val="both"/>
        <w:rPr>
          <w:rFonts w:eastAsiaTheme="minorHAnsi" w:cs="Arial"/>
          <w:lang w:eastAsia="en-US"/>
        </w:rPr>
      </w:pPr>
      <w:r>
        <w:rPr>
          <w:rFonts w:eastAsiaTheme="minorHAnsi" w:cs="Arial"/>
          <w:lang w:eastAsia="en-US"/>
        </w:rPr>
        <w:t>D</w:t>
      </w:r>
      <w:r w:rsidR="00EC2BF5" w:rsidRPr="004F707E">
        <w:rPr>
          <w:rFonts w:eastAsiaTheme="minorHAnsi" w:cs="Arial"/>
          <w:lang w:eastAsia="en-US"/>
        </w:rPr>
        <w:t>louhodobá podpora VaV v</w:t>
      </w:r>
      <w:r w:rsidR="005A1247">
        <w:rPr>
          <w:rFonts w:eastAsiaTheme="minorHAnsi" w:cs="Arial"/>
          <w:lang w:eastAsia="en-US"/>
        </w:rPr>
        <w:t> </w:t>
      </w:r>
      <w:r w:rsidR="00EC2BF5" w:rsidRPr="004F707E">
        <w:rPr>
          <w:rFonts w:eastAsiaTheme="minorHAnsi" w:cs="Arial"/>
          <w:lang w:eastAsia="en-US"/>
        </w:rPr>
        <w:t>oblasti vodíkové mobility – vodíkové inovační údolí</w:t>
      </w:r>
    </w:p>
    <w:p w14:paraId="11257B93" w14:textId="300B2038"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zajištění dlouhodobé kontinuity VaV vodíkových technologií pro mobilní aplikace v</w:t>
      </w:r>
      <w:r w:rsidR="005A1247">
        <w:rPr>
          <w:rFonts w:eastAsiaTheme="minorHAnsi" w:cs="Arial"/>
          <w:lang w:eastAsia="en-US"/>
        </w:rPr>
        <w:t> </w:t>
      </w:r>
      <w:r w:rsidRPr="004F707E">
        <w:rPr>
          <w:rFonts w:eastAsiaTheme="minorHAnsi" w:cs="Arial"/>
          <w:lang w:eastAsia="en-US"/>
        </w:rPr>
        <w:t xml:space="preserve">návaznosti na současné VaV projekty </w:t>
      </w:r>
    </w:p>
    <w:p w14:paraId="66027C75" w14:textId="77777777" w:rsidR="00EC2BF5" w:rsidRPr="004F707E" w:rsidRDefault="00EC2BF5" w:rsidP="002F0D1A">
      <w:pPr>
        <w:spacing w:before="0" w:after="0"/>
        <w:ind w:left="1068"/>
        <w:contextualSpacing/>
        <w:jc w:val="both"/>
        <w:rPr>
          <w:rFonts w:eastAsiaTheme="minorHAnsi" w:cs="Arial"/>
          <w:lang w:eastAsia="en-US"/>
        </w:rPr>
      </w:pPr>
    </w:p>
    <w:p w14:paraId="086D8E57" w14:textId="67029243" w:rsidR="00EC2BF5" w:rsidRPr="004F707E" w:rsidRDefault="001C66AA" w:rsidP="002F0D1A">
      <w:pPr>
        <w:numPr>
          <w:ilvl w:val="0"/>
          <w:numId w:val="19"/>
        </w:numPr>
        <w:spacing w:before="0" w:after="0"/>
        <w:contextualSpacing/>
        <w:jc w:val="both"/>
        <w:rPr>
          <w:rFonts w:eastAsiaTheme="minorHAnsi" w:cs="Arial"/>
          <w:lang w:eastAsia="en-US"/>
        </w:rPr>
      </w:pPr>
      <w:r>
        <w:rPr>
          <w:rFonts w:eastAsiaTheme="minorHAnsi" w:cs="Arial"/>
          <w:lang w:eastAsia="en-US"/>
        </w:rPr>
        <w:t>P</w:t>
      </w:r>
      <w:r w:rsidR="00EC2BF5" w:rsidRPr="004F707E">
        <w:rPr>
          <w:rFonts w:eastAsiaTheme="minorHAnsi" w:cs="Arial"/>
          <w:lang w:eastAsia="en-US"/>
        </w:rPr>
        <w:t>odpůrný výzkum pro přípravu legislativy a</w:t>
      </w:r>
      <w:r w:rsidR="005A1247">
        <w:rPr>
          <w:rFonts w:eastAsiaTheme="minorHAnsi" w:cs="Arial"/>
          <w:lang w:eastAsia="en-US"/>
        </w:rPr>
        <w:t> </w:t>
      </w:r>
      <w:r w:rsidR="00EC2BF5" w:rsidRPr="004F707E">
        <w:rPr>
          <w:rFonts w:eastAsiaTheme="minorHAnsi" w:cs="Arial"/>
          <w:lang w:eastAsia="en-US"/>
        </w:rPr>
        <w:t>technické normalizace</w:t>
      </w:r>
    </w:p>
    <w:p w14:paraId="6DFA606A" w14:textId="1218B230"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technická normalizace v</w:t>
      </w:r>
      <w:r w:rsidR="005A1247">
        <w:rPr>
          <w:rFonts w:eastAsiaTheme="minorHAnsi" w:cs="Arial"/>
          <w:lang w:eastAsia="en-US"/>
        </w:rPr>
        <w:t> </w:t>
      </w:r>
      <w:r w:rsidRPr="004F707E">
        <w:rPr>
          <w:rFonts w:eastAsiaTheme="minorHAnsi" w:cs="Arial"/>
          <w:lang w:eastAsia="en-US"/>
        </w:rPr>
        <w:t>oblasti bezpečnosti</w:t>
      </w:r>
    </w:p>
    <w:p w14:paraId="3951C748" w14:textId="27C9CDBF"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příprava legislativy v</w:t>
      </w:r>
      <w:r w:rsidR="005A1247">
        <w:rPr>
          <w:rFonts w:eastAsiaTheme="minorHAnsi" w:cs="Arial"/>
          <w:lang w:eastAsia="en-US"/>
        </w:rPr>
        <w:t> </w:t>
      </w:r>
      <w:r w:rsidRPr="004F707E">
        <w:rPr>
          <w:rFonts w:eastAsiaTheme="minorHAnsi" w:cs="Arial"/>
          <w:lang w:eastAsia="en-US"/>
        </w:rPr>
        <w:t>oblasti „zeleného vodíku“</w:t>
      </w:r>
    </w:p>
    <w:p w14:paraId="1156E9E7" w14:textId="4A04D97D" w:rsidR="00EC2BF5" w:rsidRPr="004F707E" w:rsidRDefault="00EC2BF5" w:rsidP="002F0D1A">
      <w:pPr>
        <w:numPr>
          <w:ilvl w:val="0"/>
          <w:numId w:val="20"/>
        </w:numPr>
        <w:spacing w:before="0" w:after="0"/>
        <w:contextualSpacing/>
        <w:jc w:val="both"/>
        <w:rPr>
          <w:rFonts w:eastAsiaTheme="minorHAnsi" w:cs="Arial"/>
          <w:lang w:eastAsia="en-US"/>
        </w:rPr>
      </w:pPr>
      <w:r w:rsidRPr="004F707E">
        <w:rPr>
          <w:rFonts w:eastAsiaTheme="minorHAnsi" w:cs="Arial"/>
          <w:lang w:eastAsia="en-US"/>
        </w:rPr>
        <w:t>podpora přípravy specifické legislativy pro zjednodušení implementace vodíkové elektromobility (předpisy pro výstavbu pln</w:t>
      </w:r>
      <w:r>
        <w:rPr>
          <w:rFonts w:eastAsiaTheme="minorHAnsi" w:cs="Arial"/>
          <w:lang w:eastAsia="en-US"/>
        </w:rPr>
        <w:t>i</w:t>
      </w:r>
      <w:r w:rsidRPr="004F707E">
        <w:rPr>
          <w:rFonts w:eastAsiaTheme="minorHAnsi" w:cs="Arial"/>
          <w:lang w:eastAsia="en-US"/>
        </w:rPr>
        <w:t>cích stanic, příprava podkladů pro hasičský záchranný sbor</w:t>
      </w:r>
      <w:r w:rsidR="00163085">
        <w:rPr>
          <w:rFonts w:eastAsiaTheme="minorHAnsi" w:cs="Arial"/>
          <w:lang w:eastAsia="en-US"/>
        </w:rPr>
        <w:t xml:space="preserve"> – oblast bezpečnosti technologií, reakce na mimořádnou událost</w:t>
      </w:r>
      <w:r w:rsidRPr="004F707E">
        <w:rPr>
          <w:rFonts w:eastAsiaTheme="minorHAnsi" w:cs="Arial"/>
          <w:lang w:eastAsia="en-US"/>
        </w:rPr>
        <w:t xml:space="preserve">, úprava </w:t>
      </w:r>
      <w:r w:rsidR="001F77C8">
        <w:rPr>
          <w:rFonts w:eastAsiaTheme="minorHAnsi" w:cs="Arial"/>
          <w:lang w:eastAsia="en-US"/>
        </w:rPr>
        <w:t>technických požadavků</w:t>
      </w:r>
      <w:r w:rsidRPr="004F707E">
        <w:rPr>
          <w:rFonts w:eastAsiaTheme="minorHAnsi" w:cs="Arial"/>
          <w:lang w:eastAsia="en-US"/>
        </w:rPr>
        <w:t xml:space="preserve"> pro parkování, servis a</w:t>
      </w:r>
      <w:r w:rsidR="005A1247">
        <w:rPr>
          <w:rFonts w:eastAsiaTheme="minorHAnsi" w:cs="Arial"/>
          <w:lang w:eastAsia="en-US"/>
        </w:rPr>
        <w:t> </w:t>
      </w:r>
      <w:r w:rsidRPr="004F707E">
        <w:rPr>
          <w:rFonts w:eastAsiaTheme="minorHAnsi" w:cs="Arial"/>
          <w:lang w:eastAsia="en-US"/>
        </w:rPr>
        <w:t>STK)</w:t>
      </w:r>
    </w:p>
    <w:p w14:paraId="4E58071A" w14:textId="77777777" w:rsidR="00C75FC2" w:rsidRDefault="00C75FC2" w:rsidP="009A3B7E">
      <w:pPr>
        <w:pStyle w:val="Nadpis2"/>
        <w:jc w:val="both"/>
      </w:pPr>
      <w:bookmarkStart w:id="65" w:name="_Toc34387146"/>
      <w:r>
        <w:t>Klíčová opatření pro plnění cílů</w:t>
      </w:r>
      <w:bookmarkEnd w:id="65"/>
    </w:p>
    <w:p w14:paraId="22155587" w14:textId="77777777" w:rsidR="00BA729D" w:rsidRDefault="00BA729D" w:rsidP="009A3B7E">
      <w:pPr>
        <w:jc w:val="both"/>
      </w:pPr>
      <w:r w:rsidRPr="00984178">
        <w:t xml:space="preserve">Mezi </w:t>
      </w:r>
      <w:r>
        <w:t xml:space="preserve">vybraná </w:t>
      </w:r>
      <w:r w:rsidRPr="00984178">
        <w:t>klíčová opatření pro plnění cílů lze považovat následující</w:t>
      </w:r>
      <w:r w:rsidRPr="0052396B">
        <w:t xml:space="preserve"> </w:t>
      </w:r>
      <w:r>
        <w:t>opatření:</w:t>
      </w:r>
    </w:p>
    <w:p w14:paraId="277ED0CB" w14:textId="77777777" w:rsidR="0034311C" w:rsidRDefault="0034311C" w:rsidP="009A3B7E">
      <w:pPr>
        <w:pStyle w:val="Odrka1"/>
        <w:jc w:val="both"/>
      </w:pPr>
      <w:r>
        <w:t>Právní/legislativní</w:t>
      </w:r>
    </w:p>
    <w:p w14:paraId="471CD0CA" w14:textId="17425F13" w:rsidR="0034311C" w:rsidRDefault="0034311C" w:rsidP="009A3B7E">
      <w:pPr>
        <w:pStyle w:val="Odrka2"/>
        <w:jc w:val="both"/>
      </w:pPr>
      <w:r>
        <w:t>Odstranění bariér v</w:t>
      </w:r>
      <w:r w:rsidR="005A1247">
        <w:t> </w:t>
      </w:r>
      <w:r>
        <w:t>oblasti servisu vozidel na LNG a</w:t>
      </w:r>
      <w:r w:rsidR="005A1247">
        <w:t> </w:t>
      </w:r>
      <w:r>
        <w:t>vodík</w:t>
      </w:r>
    </w:p>
    <w:p w14:paraId="3782B571" w14:textId="3CA0AE81" w:rsidR="0034311C" w:rsidRDefault="00272A4E" w:rsidP="009A3B7E">
      <w:pPr>
        <w:pStyle w:val="Odrka2"/>
        <w:jc w:val="both"/>
      </w:pPr>
      <w:r>
        <w:t>I</w:t>
      </w:r>
      <w:r w:rsidR="0034311C">
        <w:t>mplementace směrnice EU o</w:t>
      </w:r>
      <w:r w:rsidR="005A1247">
        <w:t> </w:t>
      </w:r>
      <w:r w:rsidR="0034311C">
        <w:t>čistých a</w:t>
      </w:r>
      <w:r w:rsidR="005A1247">
        <w:t> </w:t>
      </w:r>
      <w:r w:rsidR="0034311C">
        <w:t>energeticky účinných vozidlech</w:t>
      </w:r>
    </w:p>
    <w:p w14:paraId="2C7784A5" w14:textId="49901BF5" w:rsidR="0034311C" w:rsidRDefault="00272A4E" w:rsidP="009A3B7E">
      <w:pPr>
        <w:pStyle w:val="Odrka2"/>
        <w:jc w:val="both"/>
      </w:pPr>
      <w:r>
        <w:t>I</w:t>
      </w:r>
      <w:r w:rsidR="0034311C">
        <w:t>mplementace směrnice EU o</w:t>
      </w:r>
      <w:r w:rsidR="005A1247">
        <w:t> </w:t>
      </w:r>
      <w:r w:rsidR="0034311C">
        <w:t xml:space="preserve">energetické </w:t>
      </w:r>
      <w:r>
        <w:t xml:space="preserve">náročnosti </w:t>
      </w:r>
      <w:r w:rsidR="0034311C">
        <w:t>budov</w:t>
      </w:r>
    </w:p>
    <w:p w14:paraId="00288A8F" w14:textId="250417BA" w:rsidR="0034311C" w:rsidRDefault="0034311C" w:rsidP="009A3B7E">
      <w:pPr>
        <w:pStyle w:val="Odrka2"/>
        <w:jc w:val="both"/>
      </w:pPr>
      <w:r>
        <w:t>Zohlednění potřeb infrastruktury alternativních paliv v</w:t>
      </w:r>
      <w:r w:rsidR="005A1247">
        <w:t> </w:t>
      </w:r>
      <w:r>
        <w:t>rámci Koncepce dálničních odpočívek</w:t>
      </w:r>
    </w:p>
    <w:p w14:paraId="2E58308B" w14:textId="3E0B45CE" w:rsidR="0034311C" w:rsidRDefault="0034311C" w:rsidP="009A3B7E">
      <w:pPr>
        <w:pStyle w:val="Odrka2"/>
        <w:jc w:val="both"/>
      </w:pPr>
      <w:r>
        <w:t>Uvolnění limitu stáří v</w:t>
      </w:r>
      <w:r w:rsidR="005A1247">
        <w:t> </w:t>
      </w:r>
      <w:r>
        <w:t>nařízení vlády 63/2011 pro bezemisní vozidla</w:t>
      </w:r>
    </w:p>
    <w:p w14:paraId="084B1EDD" w14:textId="7C1FB823" w:rsidR="008765EB" w:rsidRDefault="008765EB" w:rsidP="008765EB">
      <w:pPr>
        <w:pStyle w:val="Odrka2"/>
        <w:jc w:val="both"/>
      </w:pPr>
      <w:r>
        <w:t>Zlepšení regulatorního rámce v</w:t>
      </w:r>
      <w:r w:rsidR="005A1247">
        <w:t> </w:t>
      </w:r>
      <w:r>
        <w:t>rámci technologických norem</w:t>
      </w:r>
    </w:p>
    <w:p w14:paraId="44EBC865" w14:textId="4B17E5E6" w:rsidR="00BA729D" w:rsidRDefault="001C66AA" w:rsidP="009A3B7E">
      <w:pPr>
        <w:pStyle w:val="Odrka2"/>
        <w:jc w:val="both"/>
      </w:pPr>
      <w:r>
        <w:t>Formalizace</w:t>
      </w:r>
      <w:r w:rsidR="0034311C">
        <w:t xml:space="preserve"> metodiky výstavby a</w:t>
      </w:r>
      <w:r w:rsidR="005A1247">
        <w:t> </w:t>
      </w:r>
      <w:r w:rsidR="0034311C">
        <w:t>provozu plnicích stanic vodíku</w:t>
      </w:r>
    </w:p>
    <w:p w14:paraId="2473A8CE" w14:textId="74A21FD2" w:rsidR="0034311C" w:rsidRDefault="0034311C" w:rsidP="009A3B7E">
      <w:pPr>
        <w:pStyle w:val="Odrka1"/>
        <w:jc w:val="both"/>
      </w:pPr>
      <w:r>
        <w:t>Přímé pobídky k</w:t>
      </w:r>
      <w:r w:rsidR="005A1247">
        <w:t> </w:t>
      </w:r>
      <w:r>
        <w:t>nákupu vozidel</w:t>
      </w:r>
    </w:p>
    <w:p w14:paraId="2E3BF028" w14:textId="76594424" w:rsidR="009C2B07" w:rsidRDefault="0034311C" w:rsidP="007E541C">
      <w:pPr>
        <w:pStyle w:val="Odrka2"/>
        <w:jc w:val="both"/>
      </w:pPr>
      <w:r>
        <w:lastRenderedPageBreak/>
        <w:t>Pořizování vozidel na alternativní paliva do flotil komunálních podniků provozujících vozidla svozu komunálního odpadu</w:t>
      </w:r>
      <w:r w:rsidR="009C2B07" w:rsidRPr="009C2B07">
        <w:t xml:space="preserve"> a</w:t>
      </w:r>
      <w:r w:rsidR="005A1247">
        <w:t> </w:t>
      </w:r>
      <w:r w:rsidR="009C2B07" w:rsidRPr="009C2B07">
        <w:t>obdobné činnosti při správě veřejného prostoru</w:t>
      </w:r>
    </w:p>
    <w:p w14:paraId="041F9FB6" w14:textId="77777777" w:rsidR="0034311C" w:rsidRDefault="0034311C" w:rsidP="007E541C">
      <w:pPr>
        <w:pStyle w:val="Odrka2"/>
        <w:numPr>
          <w:ilvl w:val="0"/>
          <w:numId w:val="0"/>
        </w:numPr>
        <w:ind w:left="851" w:hanging="284"/>
        <w:jc w:val="both"/>
      </w:pPr>
    </w:p>
    <w:p w14:paraId="4C3EB76C" w14:textId="3BA14A62" w:rsidR="0034311C" w:rsidRDefault="0034311C" w:rsidP="009A3B7E">
      <w:pPr>
        <w:pStyle w:val="Odrka2"/>
        <w:jc w:val="both"/>
      </w:pPr>
      <w:r>
        <w:t>Podpora pořízení vozidel na alternativní paliva do flotil dopravních podniků a</w:t>
      </w:r>
      <w:r w:rsidR="005A1247">
        <w:t> </w:t>
      </w:r>
      <w:r>
        <w:t xml:space="preserve">do flotil dopravců zajišťujících veřejnou dopravu </w:t>
      </w:r>
    </w:p>
    <w:p w14:paraId="1D0F8DD1" w14:textId="77777777" w:rsidR="0034311C" w:rsidRDefault="0034311C" w:rsidP="009A3B7E">
      <w:pPr>
        <w:pStyle w:val="Odrka2"/>
        <w:jc w:val="both"/>
      </w:pPr>
      <w:r>
        <w:t>Podpora nákupu vozidla na alternativní paliva pro podnikatele (pro účely podnikání)</w:t>
      </w:r>
    </w:p>
    <w:p w14:paraId="78C04DC2" w14:textId="39806BDA" w:rsidR="0034311C" w:rsidRDefault="0034311C" w:rsidP="009A3B7E">
      <w:pPr>
        <w:pStyle w:val="Odrka2"/>
        <w:jc w:val="both"/>
      </w:pPr>
      <w:r>
        <w:t>Podpora na pořízení vozidla s</w:t>
      </w:r>
      <w:r w:rsidR="005A1247">
        <w:t> </w:t>
      </w:r>
      <w:r>
        <w:t>alternativním pohonem pro subjekty státní správy a</w:t>
      </w:r>
      <w:r w:rsidR="005A1247">
        <w:t> </w:t>
      </w:r>
      <w:r>
        <w:t>samosprávy a</w:t>
      </w:r>
      <w:r w:rsidR="005A1247">
        <w:t> </w:t>
      </w:r>
      <w:r>
        <w:t>jimi zřízené organizace</w:t>
      </w:r>
    </w:p>
    <w:p w14:paraId="243470AB" w14:textId="028DC876" w:rsidR="0065516A" w:rsidRDefault="0065516A" w:rsidP="009A3B7E">
      <w:pPr>
        <w:pStyle w:val="Odrka2"/>
        <w:jc w:val="both"/>
      </w:pPr>
      <w:r w:rsidRPr="00823214">
        <w:rPr>
          <w:szCs w:val="22"/>
        </w:rPr>
        <w:t>Podpora nákupu osobních vozidel šetrných k</w:t>
      </w:r>
      <w:r w:rsidR="005A1247">
        <w:rPr>
          <w:szCs w:val="22"/>
        </w:rPr>
        <w:t> </w:t>
      </w:r>
      <w:r w:rsidRPr="00823214">
        <w:rPr>
          <w:szCs w:val="22"/>
        </w:rPr>
        <w:t>životnímu prostředí</w:t>
      </w:r>
    </w:p>
    <w:p w14:paraId="04740C95" w14:textId="77777777" w:rsidR="0034311C" w:rsidRDefault="0034311C" w:rsidP="009A3B7E">
      <w:pPr>
        <w:pStyle w:val="Odrka2"/>
        <w:jc w:val="both"/>
      </w:pPr>
      <w:r>
        <w:t xml:space="preserve">Podpora pořizování nákladních vozidel - vodík, LNG, elektro </w:t>
      </w:r>
    </w:p>
    <w:p w14:paraId="73136267" w14:textId="77777777" w:rsidR="0034311C" w:rsidRDefault="0034311C" w:rsidP="009A3B7E">
      <w:pPr>
        <w:pStyle w:val="Odrka2"/>
        <w:jc w:val="both"/>
      </w:pPr>
      <w:r>
        <w:t xml:space="preserve">Podpora rozvoje čisté mobility ve vnitrozemské vodní dopravě </w:t>
      </w:r>
    </w:p>
    <w:p w14:paraId="49B3050D" w14:textId="77777777" w:rsidR="0034311C" w:rsidRDefault="0034311C" w:rsidP="009A3B7E">
      <w:pPr>
        <w:pStyle w:val="Odrka2"/>
        <w:jc w:val="both"/>
      </w:pPr>
      <w:r>
        <w:t>Podpora pořizování vodíkových elektrobusů (FCEB)</w:t>
      </w:r>
    </w:p>
    <w:p w14:paraId="73D59278" w14:textId="5A9EA6B0" w:rsidR="0034311C" w:rsidRDefault="0034311C" w:rsidP="009A3B7E">
      <w:pPr>
        <w:pStyle w:val="Odrka2"/>
        <w:jc w:val="both"/>
      </w:pPr>
      <w:r>
        <w:t>Metodický výklad osvobození vodíkových vozidel s</w:t>
      </w:r>
      <w:r w:rsidR="005A1247">
        <w:t> </w:t>
      </w:r>
      <w:r>
        <w:t>palivovým článkem ze silniční daně</w:t>
      </w:r>
    </w:p>
    <w:p w14:paraId="6361021F" w14:textId="7003C0AA" w:rsidR="0034311C" w:rsidRDefault="0034311C" w:rsidP="009A3B7E">
      <w:pPr>
        <w:pStyle w:val="Odrka1"/>
        <w:jc w:val="both"/>
      </w:pPr>
      <w:r>
        <w:t>Přímé pobídky k</w:t>
      </w:r>
      <w:r w:rsidR="005A1247">
        <w:t> </w:t>
      </w:r>
      <w:r>
        <w:t>budování infrastruktury pro alternativní paliva</w:t>
      </w:r>
    </w:p>
    <w:p w14:paraId="1B9B5B45" w14:textId="77777777" w:rsidR="0034311C" w:rsidRDefault="0034311C" w:rsidP="009A3B7E">
      <w:pPr>
        <w:pStyle w:val="Odrka2"/>
        <w:jc w:val="both"/>
      </w:pPr>
      <w:r>
        <w:t>Podpora budování veřejné infrastruktury pro vozidla na alternativní paliva (LNG, elektro, vodík)</w:t>
      </w:r>
    </w:p>
    <w:p w14:paraId="25AF326F" w14:textId="77777777" w:rsidR="0034311C" w:rsidRDefault="0034311C" w:rsidP="009A3B7E">
      <w:pPr>
        <w:pStyle w:val="Odrka2"/>
        <w:jc w:val="both"/>
      </w:pPr>
      <w:r>
        <w:t>Podpora rozvoje infrastruktury pro alternativní paliva ve vnitrozemské vodní dopravě</w:t>
      </w:r>
    </w:p>
    <w:p w14:paraId="4D2E8592" w14:textId="77777777" w:rsidR="004332C2" w:rsidRDefault="004332C2" w:rsidP="004332C2">
      <w:pPr>
        <w:pStyle w:val="Odrka2"/>
      </w:pPr>
      <w:r w:rsidRPr="004332C2">
        <w:t>Podpora budování neveřejné dobíjecí/plnicí infrastruktury pro veřejnou dopravu</w:t>
      </w:r>
    </w:p>
    <w:p w14:paraId="0CC70331" w14:textId="77777777" w:rsidR="0034311C" w:rsidRDefault="0034311C" w:rsidP="009A3B7E">
      <w:pPr>
        <w:pStyle w:val="Odrka2"/>
        <w:jc w:val="both"/>
      </w:pPr>
      <w:r>
        <w:t>Podpora veřejných plnicích stanic vodíku (HRS) na síti TEN-T</w:t>
      </w:r>
    </w:p>
    <w:p w14:paraId="1524ABCB" w14:textId="2D306914" w:rsidR="001451AE" w:rsidRDefault="00B10342" w:rsidP="00B10342">
      <w:pPr>
        <w:pStyle w:val="Odrka2"/>
      </w:pPr>
      <w:r>
        <w:t>O</w:t>
      </w:r>
      <w:r w:rsidRPr="00B10342">
        <w:t>dpisy na technologie dobíjecích a plnicích vodíkových stanic</w:t>
      </w:r>
    </w:p>
    <w:p w14:paraId="49D21769" w14:textId="4702C6A2" w:rsidR="0034311C" w:rsidRDefault="0034311C" w:rsidP="009A3B7E">
      <w:pPr>
        <w:jc w:val="both"/>
      </w:pPr>
      <w:r>
        <w:t>Další oblasti v</w:t>
      </w:r>
      <w:r w:rsidR="005A1247">
        <w:t> </w:t>
      </w:r>
      <w:r>
        <w:t>rámci jednotlivých kategorií opatření</w:t>
      </w:r>
    </w:p>
    <w:p w14:paraId="1BD90238" w14:textId="77777777" w:rsidR="0034311C" w:rsidRPr="00457CC4" w:rsidRDefault="0034311C" w:rsidP="009A3B7E">
      <w:pPr>
        <w:pStyle w:val="Odrka1"/>
        <w:jc w:val="both"/>
      </w:pPr>
      <w:r w:rsidRPr="00457CC4">
        <w:t xml:space="preserve">Nefinanční pobídky na straně poptávky </w:t>
      </w:r>
    </w:p>
    <w:p w14:paraId="6F36E779" w14:textId="7FDF6391" w:rsidR="0034311C" w:rsidRPr="00457CC4" w:rsidRDefault="0034311C" w:rsidP="009A3B7E">
      <w:pPr>
        <w:pStyle w:val="Odrka1"/>
        <w:jc w:val="both"/>
      </w:pPr>
      <w:r w:rsidRPr="00457CC4">
        <w:t>Výzkum, technologický rozvoj a</w:t>
      </w:r>
      <w:r w:rsidR="005A1247">
        <w:t> </w:t>
      </w:r>
      <w:r w:rsidRPr="00457CC4">
        <w:t xml:space="preserve">demonstrace </w:t>
      </w:r>
    </w:p>
    <w:p w14:paraId="285AF196" w14:textId="77777777" w:rsidR="0034311C" w:rsidRPr="00457CC4" w:rsidRDefault="0034311C" w:rsidP="009A3B7E">
      <w:pPr>
        <w:pStyle w:val="Odrka1"/>
        <w:jc w:val="both"/>
      </w:pPr>
      <w:r w:rsidRPr="00457CC4">
        <w:t xml:space="preserve">Ostatní opatření </w:t>
      </w:r>
    </w:p>
    <w:p w14:paraId="43F2DF3C" w14:textId="77777777" w:rsidR="0034311C" w:rsidRDefault="0034311C" w:rsidP="009A3B7E">
      <w:pPr>
        <w:pStyle w:val="Odrka1"/>
        <w:jc w:val="both"/>
      </w:pPr>
      <w:r w:rsidRPr="00457CC4">
        <w:t>Opatření širšího rázu pro zlepšení struktury vozového parku</w:t>
      </w:r>
    </w:p>
    <w:p w14:paraId="576ACF2C" w14:textId="4D797B58" w:rsidR="00876832" w:rsidRDefault="0034311C" w:rsidP="009A3B7E">
      <w:pPr>
        <w:spacing w:before="0" w:after="200" w:line="276" w:lineRule="auto"/>
        <w:jc w:val="both"/>
        <w:rPr>
          <w:rFonts w:cs="Arial"/>
          <w:b/>
          <w:bCs/>
          <w:kern w:val="32"/>
          <w:sz w:val="28"/>
          <w:szCs w:val="32"/>
        </w:rPr>
      </w:pPr>
      <w:r>
        <w:t>jsou uvedeny</w:t>
      </w:r>
      <w:r w:rsidRPr="00FD7A23">
        <w:t xml:space="preserve"> v</w:t>
      </w:r>
      <w:r w:rsidR="005A1247">
        <w:t> </w:t>
      </w:r>
      <w:r w:rsidRPr="00FD7A23">
        <w:t xml:space="preserve">Kapitole </w:t>
      </w:r>
      <w:r w:rsidRPr="00FD7A23">
        <w:fldChar w:fldCharType="begin"/>
      </w:r>
      <w:r w:rsidRPr="00FD7A23">
        <w:instrText xml:space="preserve"> REF _Ref21001662 \r \h </w:instrText>
      </w:r>
      <w:r>
        <w:instrText xml:space="preserve"> \* MERGEFORMAT </w:instrText>
      </w:r>
      <w:r w:rsidRPr="00FD7A23">
        <w:fldChar w:fldCharType="separate"/>
      </w:r>
      <w:r w:rsidR="00D944E5">
        <w:t>8</w:t>
      </w:r>
      <w:r w:rsidRPr="00FD7A23">
        <w:fldChar w:fldCharType="end"/>
      </w:r>
      <w:r w:rsidRPr="00FD7A23">
        <w:t>.</w:t>
      </w:r>
      <w:r w:rsidR="00876832">
        <w:br w:type="page"/>
      </w:r>
    </w:p>
    <w:p w14:paraId="379AA4AD" w14:textId="1C07B947" w:rsidR="003C7D3E" w:rsidRDefault="003C7D3E" w:rsidP="009A3B7E">
      <w:pPr>
        <w:pStyle w:val="Nadpis1"/>
        <w:jc w:val="both"/>
      </w:pPr>
      <w:bookmarkStart w:id="66" w:name="_Toc34387147"/>
      <w:r>
        <w:lastRenderedPageBreak/>
        <w:t>Ostatní alternativní paliva</w:t>
      </w:r>
      <w:r w:rsidR="00236D49">
        <w:t xml:space="preserve"> v</w:t>
      </w:r>
      <w:r w:rsidR="005A1247">
        <w:t> </w:t>
      </w:r>
      <w:r w:rsidR="00236D49">
        <w:t>silniční dopravě</w:t>
      </w:r>
      <w:bookmarkEnd w:id="66"/>
      <w:r w:rsidR="00236D49">
        <w:t xml:space="preserve"> </w:t>
      </w:r>
    </w:p>
    <w:p w14:paraId="42AC4495" w14:textId="214E55C0" w:rsidR="00CF2D43" w:rsidRDefault="004554B7" w:rsidP="009A3B7E">
      <w:pPr>
        <w:jc w:val="both"/>
      </w:pPr>
      <w:r>
        <w:t>V rámci analytického materiálu j</w:t>
      </w:r>
      <w:r w:rsidR="003C7D3E">
        <w:t xml:space="preserve">sou </w:t>
      </w:r>
      <w:r w:rsidR="00F24F63">
        <w:t>uvedeny informace o</w:t>
      </w:r>
      <w:r w:rsidR="005A1247">
        <w:t> </w:t>
      </w:r>
      <w:r w:rsidR="003C7D3E">
        <w:t>LPG/bioLPG, syntetick</w:t>
      </w:r>
      <w:r w:rsidR="00F24F63">
        <w:t>ých</w:t>
      </w:r>
      <w:r w:rsidR="003C7D3E">
        <w:t xml:space="preserve"> paliv</w:t>
      </w:r>
      <w:r w:rsidR="00F24F63">
        <w:t>ech</w:t>
      </w:r>
      <w:r w:rsidR="003C7D3E">
        <w:t>, paliv</w:t>
      </w:r>
      <w:r w:rsidR="00F24F63">
        <w:t>ech</w:t>
      </w:r>
      <w:r w:rsidR="003C7D3E">
        <w:t xml:space="preserve"> na bázi čpavku.</w:t>
      </w:r>
      <w:r w:rsidR="00041B7C">
        <w:t xml:space="preserve"> V</w:t>
      </w:r>
      <w:r w:rsidR="005A1247">
        <w:t> </w:t>
      </w:r>
      <w:r w:rsidR="00041B7C">
        <w:t>následujícím textu jsou popsány předpoklady vývoje pouze pro bioLPG, který je z</w:t>
      </w:r>
      <w:r w:rsidR="005A1247">
        <w:t> </w:t>
      </w:r>
      <w:r w:rsidR="00041B7C">
        <w:t>hlediska ostatních alternativních paliv nejvíce pravděpodobný.</w:t>
      </w:r>
    </w:p>
    <w:p w14:paraId="65CFE9C2" w14:textId="3AD3A7B9" w:rsidR="003C7D3E" w:rsidRDefault="003C7D3E" w:rsidP="009A3B7E">
      <w:pPr>
        <w:jc w:val="both"/>
      </w:pPr>
      <w:r>
        <w:t>V současné době je v</w:t>
      </w:r>
      <w:r w:rsidR="005A1247">
        <w:t> </w:t>
      </w:r>
      <w:r>
        <w:t>provozu v</w:t>
      </w:r>
      <w:r w:rsidR="005A1247">
        <w:t> </w:t>
      </w:r>
      <w:r>
        <w:t xml:space="preserve">ČR </w:t>
      </w:r>
      <w:r w:rsidR="00DA2238">
        <w:t>cca 200 tisíc vozidel na LPG a</w:t>
      </w:r>
      <w:r w:rsidR="005A1247">
        <w:t> </w:t>
      </w:r>
      <w:r w:rsidR="00DA2238">
        <w:t>jejich majitelé mohou využít cca 900 plniček. Do budoucna záleží</w:t>
      </w:r>
      <w:r w:rsidR="0075174B">
        <w:t xml:space="preserve"> na </w:t>
      </w:r>
      <w:r w:rsidR="005B5947">
        <w:t>tom, jakým</w:t>
      </w:r>
      <w:r w:rsidR="00DA2238">
        <w:t xml:space="preserve"> způsobem bude podpořena </w:t>
      </w:r>
      <w:r w:rsidR="0075174B">
        <w:t>výroba vozidel s</w:t>
      </w:r>
      <w:r w:rsidR="005A1247">
        <w:t> </w:t>
      </w:r>
      <w:r w:rsidR="0075174B">
        <w:t>těmito pohony v</w:t>
      </w:r>
      <w:r w:rsidR="005A1247">
        <w:t> </w:t>
      </w:r>
      <w:r w:rsidR="0075174B">
        <w:t xml:space="preserve">návaznosti </w:t>
      </w:r>
      <w:r w:rsidR="005B5947">
        <w:t>na započítávání</w:t>
      </w:r>
      <w:r w:rsidR="0075174B">
        <w:t xml:space="preserve"> těchto alternativních pohonů</w:t>
      </w:r>
      <w:r w:rsidR="00DA2238">
        <w:t xml:space="preserve"> do průměrných emisí daného výrobce</w:t>
      </w:r>
      <w:r w:rsidR="0075174B">
        <w:t xml:space="preserve"> a</w:t>
      </w:r>
      <w:r w:rsidR="005A1247">
        <w:t> </w:t>
      </w:r>
      <w:r w:rsidR="00DA2238">
        <w:t>zda dojde k</w:t>
      </w:r>
      <w:r w:rsidR="005A1247">
        <w:t> </w:t>
      </w:r>
      <w:r w:rsidR="00DA2238">
        <w:t>podpoře ze strany EU</w:t>
      </w:r>
      <w:r w:rsidR="0075174B">
        <w:t>.</w:t>
      </w:r>
    </w:p>
    <w:p w14:paraId="7447AB50" w14:textId="07ED0D8D" w:rsidR="00CF2D43" w:rsidRDefault="00CF2D43" w:rsidP="009A3B7E">
      <w:pPr>
        <w:jc w:val="both"/>
      </w:pPr>
      <w:r>
        <w:t>Pro využití v</w:t>
      </w:r>
      <w:r w:rsidR="005A1247">
        <w:t> </w:t>
      </w:r>
      <w:r>
        <w:t>České republice je z</w:t>
      </w:r>
      <w:r w:rsidR="005A1247">
        <w:t> </w:t>
      </w:r>
      <w:r>
        <w:t xml:space="preserve">pohledu výrobní kapacity </w:t>
      </w:r>
      <w:r w:rsidR="00041B7C">
        <w:t xml:space="preserve">bioLPG </w:t>
      </w:r>
      <w:r>
        <w:t>zřejmě nejvhodnější varianta hydrolýzy a</w:t>
      </w:r>
      <w:r w:rsidR="005A1247">
        <w:t> </w:t>
      </w:r>
      <w:r>
        <w:t>fermentace celulózy, případně celulózy z</w:t>
      </w:r>
      <w:r w:rsidR="005A1247">
        <w:t> </w:t>
      </w:r>
      <w:r>
        <w:t>dřevního odpadu.</w:t>
      </w:r>
    </w:p>
    <w:p w14:paraId="7C841538" w14:textId="28211BB4" w:rsidR="00CF2D43" w:rsidRDefault="00CF2D43" w:rsidP="009A3B7E">
      <w:pPr>
        <w:jc w:val="both"/>
      </w:pPr>
      <w:r>
        <w:t>Malé množství biopropanu již bylo vyrobeno v</w:t>
      </w:r>
      <w:r w:rsidR="005A1247">
        <w:t> </w:t>
      </w:r>
      <w:r>
        <w:t>rámci testovacího provozu výroby HVO v</w:t>
      </w:r>
      <w:r w:rsidR="00AA1CD0">
        <w:t xml:space="preserve">e společnosti </w:t>
      </w:r>
      <w:r>
        <w:t>Unipetrol. S</w:t>
      </w:r>
      <w:r w:rsidR="005A1247">
        <w:t> </w:t>
      </w:r>
      <w:r>
        <w:t>ohledem na tlak na výrobu a</w:t>
      </w:r>
      <w:r w:rsidR="005A1247">
        <w:t> </w:t>
      </w:r>
      <w:r>
        <w:t>využití biopaliv v</w:t>
      </w:r>
      <w:r w:rsidR="005A1247">
        <w:t> </w:t>
      </w:r>
      <w:r>
        <w:t>dopravě lze předpokládat zahájení komerční výroby HVO v</w:t>
      </w:r>
      <w:r w:rsidR="005A1247">
        <w:t> </w:t>
      </w:r>
      <w:r>
        <w:t>litvínovské rafinerii a</w:t>
      </w:r>
      <w:r w:rsidR="005A1247">
        <w:t> </w:t>
      </w:r>
      <w:r>
        <w:t>tím i</w:t>
      </w:r>
      <w:r w:rsidR="005A1247">
        <w:t> </w:t>
      </w:r>
      <w:r>
        <w:t>získávání určitého (byť malého) množství bioLPG.</w:t>
      </w:r>
    </w:p>
    <w:p w14:paraId="722EFA9B" w14:textId="4578FDC2" w:rsidR="00CF2D43" w:rsidRDefault="00AA1CD0" w:rsidP="009A3B7E">
      <w:pPr>
        <w:jc w:val="both"/>
      </w:pPr>
      <w:r>
        <w:t>Pro dosažení v</w:t>
      </w:r>
      <w:r w:rsidR="00CF2D43">
        <w:t>iditeln</w:t>
      </w:r>
      <w:r>
        <w:t>ého</w:t>
      </w:r>
      <w:r w:rsidR="00CF2D43">
        <w:t xml:space="preserve"> nárůst</w:t>
      </w:r>
      <w:r>
        <w:t>u</w:t>
      </w:r>
      <w:r w:rsidR="00CF2D43">
        <w:t xml:space="preserve"> užití bioLPG v</w:t>
      </w:r>
      <w:r w:rsidR="005A1247">
        <w:t> </w:t>
      </w:r>
      <w:r w:rsidR="00CF2D43">
        <w:t xml:space="preserve">dopravě by </w:t>
      </w:r>
      <w:r>
        <w:t>jeho produkce</w:t>
      </w:r>
      <w:r w:rsidR="00CF2D43">
        <w:t xml:space="preserve"> měl</w:t>
      </w:r>
      <w:r>
        <w:t>a</w:t>
      </w:r>
      <w:r w:rsidR="00CF2D43">
        <w:t xml:space="preserve"> být zajištěn</w:t>
      </w:r>
      <w:r>
        <w:t>a,</w:t>
      </w:r>
      <w:r w:rsidR="00CF2D43">
        <w:t xml:space="preserve"> spíše než dovozem</w:t>
      </w:r>
      <w:r>
        <w:t>,</w:t>
      </w:r>
      <w:r w:rsidR="00CF2D43">
        <w:t xml:space="preserve"> samostatnou výrobní jednotkou</w:t>
      </w:r>
      <w:r>
        <w:rPr>
          <w:rStyle w:val="Znakapoznpodarou"/>
        </w:rPr>
        <w:footnoteReference w:id="12"/>
      </w:r>
      <w:r w:rsidR="00251D5F">
        <w:t>.</w:t>
      </w:r>
      <w:r w:rsidR="00CF2D43">
        <w:t xml:space="preserve"> Cestou by mohlo být například zpracování bio-olejů získaných pyrolýzou biomasy hydrogenační rafinací nebo hydrokrakováním, nebo již dříve zmíněná hydrolýza a</w:t>
      </w:r>
      <w:r w:rsidR="005A1247">
        <w:t> </w:t>
      </w:r>
      <w:r w:rsidR="00CF2D43">
        <w:t>fermentace celulózy z</w:t>
      </w:r>
      <w:r w:rsidR="005A1247">
        <w:t> </w:t>
      </w:r>
      <w:r w:rsidR="00CF2D43">
        <w:t>dřevního odpadu.</w:t>
      </w:r>
    </w:p>
    <w:p w14:paraId="0F50F07E" w14:textId="148A16A8" w:rsidR="00CF2D43" w:rsidRDefault="00CF2D43" w:rsidP="009A3B7E">
      <w:pPr>
        <w:jc w:val="both"/>
      </w:pPr>
      <w:r>
        <w:t>Ve všech případech půjde o</w:t>
      </w:r>
      <w:r w:rsidR="005A1247">
        <w:t> </w:t>
      </w:r>
      <w:r>
        <w:t>náročné technologie. S</w:t>
      </w:r>
      <w:r w:rsidR="005A1247">
        <w:t> </w:t>
      </w:r>
      <w:r>
        <w:t>ohledem na bohatou historii i</w:t>
      </w:r>
      <w:r w:rsidR="005A1247">
        <w:t> </w:t>
      </w:r>
      <w:r>
        <w:t>významné postavení chemického průmyslu v</w:t>
      </w:r>
      <w:r w:rsidR="005A1247">
        <w:t> </w:t>
      </w:r>
      <w:r>
        <w:t>Česku a</w:t>
      </w:r>
      <w:r w:rsidR="005A1247">
        <w:t> </w:t>
      </w:r>
      <w:r>
        <w:t>na snahu vlády a</w:t>
      </w:r>
      <w:r w:rsidR="005A1247">
        <w:t> </w:t>
      </w:r>
      <w:r>
        <w:t xml:space="preserve">Ministerstva průmyslu </w:t>
      </w:r>
      <w:r w:rsidR="00AA1CD0">
        <w:t>a</w:t>
      </w:r>
      <w:r w:rsidR="005A1247">
        <w:t> </w:t>
      </w:r>
      <w:r w:rsidR="00AA1CD0">
        <w:t>obchodu</w:t>
      </w:r>
      <w:r>
        <w:t xml:space="preserve"> podpořit výzkum, inovace a</w:t>
      </w:r>
      <w:r w:rsidR="005A1247">
        <w:t> </w:t>
      </w:r>
      <w:r>
        <w:t>investovat do moderních technologií budoucnosti, by měla být tato situace vyhodnocena jako vítaná příležitost, jak prokázat, že Česko může být v</w:t>
      </w:r>
      <w:r w:rsidR="005A1247">
        <w:t> </w:t>
      </w:r>
      <w:r>
        <w:t>některých technologiích v</w:t>
      </w:r>
      <w:r w:rsidR="005A1247">
        <w:t> </w:t>
      </w:r>
      <w:r>
        <w:t>Evropě lídrem.</w:t>
      </w:r>
    </w:p>
    <w:p w14:paraId="2F26BFB5" w14:textId="017575EE" w:rsidR="000A789F" w:rsidRPr="00FD7A23" w:rsidRDefault="00CF2D43" w:rsidP="009A3B7E">
      <w:pPr>
        <w:jc w:val="both"/>
      </w:pPr>
      <w:r>
        <w:t>Z výše uvedeného je patrné, že bioLPG v</w:t>
      </w:r>
      <w:r w:rsidR="005A1247">
        <w:t> </w:t>
      </w:r>
      <w:r>
        <w:t>ČR je na počátku vývoje, proto je nutné v</w:t>
      </w:r>
      <w:r w:rsidR="005A1247">
        <w:t> </w:t>
      </w:r>
      <w:r>
        <w:t>této oblasti provést nezbytné analýzy, zejména potenciálu výroby a</w:t>
      </w:r>
      <w:r w:rsidR="005A1247">
        <w:t> </w:t>
      </w:r>
      <w:r>
        <w:t>dostupnosti bio složek pro výrobu bioLPG.</w:t>
      </w:r>
    </w:p>
    <w:p w14:paraId="7C95437D" w14:textId="77777777" w:rsidR="00603F6E" w:rsidRDefault="00603F6E" w:rsidP="009A3B7E">
      <w:pPr>
        <w:spacing w:before="0" w:after="200" w:line="276" w:lineRule="auto"/>
        <w:jc w:val="both"/>
        <w:rPr>
          <w:rFonts w:cs="Arial"/>
          <w:b/>
          <w:bCs/>
          <w:kern w:val="32"/>
          <w:sz w:val="28"/>
          <w:szCs w:val="32"/>
        </w:rPr>
      </w:pPr>
      <w:r>
        <w:br w:type="page"/>
      </w:r>
    </w:p>
    <w:p w14:paraId="054B1038" w14:textId="4E0E32AF" w:rsidR="00236D49" w:rsidRDefault="00236D49" w:rsidP="009A3B7E">
      <w:pPr>
        <w:pStyle w:val="Nadpis1"/>
        <w:jc w:val="both"/>
      </w:pPr>
      <w:bookmarkStart w:id="67" w:name="_Ref21597642"/>
      <w:bookmarkStart w:id="68" w:name="_Toc34387148"/>
      <w:r>
        <w:lastRenderedPageBreak/>
        <w:t>Alternativní paliva v</w:t>
      </w:r>
      <w:r w:rsidR="005A1247">
        <w:t> </w:t>
      </w:r>
      <w:r>
        <w:t>nesilničních druzích dopravy</w:t>
      </w:r>
      <w:bookmarkEnd w:id="67"/>
      <w:bookmarkEnd w:id="68"/>
    </w:p>
    <w:p w14:paraId="2BB9E6EC" w14:textId="60963FCB" w:rsidR="00236D49" w:rsidRPr="00FD7A23" w:rsidRDefault="00C27AA9" w:rsidP="009A3B7E">
      <w:pPr>
        <w:jc w:val="both"/>
      </w:pPr>
      <w:r w:rsidRPr="00FD7A23">
        <w:t xml:space="preserve">S ohledem na </w:t>
      </w:r>
      <w:r w:rsidR="00236D49" w:rsidRPr="00FD7A23">
        <w:t>naplňování závazků ČR v</w:t>
      </w:r>
      <w:r w:rsidR="005A1247">
        <w:t> </w:t>
      </w:r>
      <w:r w:rsidR="00236D49" w:rsidRPr="00FD7A23">
        <w:t>oblasti snižování emisí skleníkových plynů se ukazuje</w:t>
      </w:r>
      <w:r w:rsidRPr="00FD7A23">
        <w:t xml:space="preserve"> jako</w:t>
      </w:r>
      <w:r w:rsidR="00236D49" w:rsidRPr="00FD7A23">
        <w:t xml:space="preserve"> žádoucí zavádět principy čisté mobility též v</w:t>
      </w:r>
      <w:r w:rsidR="005A1247">
        <w:t> </w:t>
      </w:r>
      <w:r w:rsidR="00236D49" w:rsidRPr="00FD7A23">
        <w:t xml:space="preserve">nesilničních druzích </w:t>
      </w:r>
      <w:r w:rsidRPr="00FD7A23">
        <w:t>dopravy a</w:t>
      </w:r>
      <w:r w:rsidR="005A1247">
        <w:t> </w:t>
      </w:r>
      <w:r w:rsidRPr="00FD7A23">
        <w:t>to konkrétně ve vnitrozemské vodní a</w:t>
      </w:r>
      <w:r w:rsidR="005A1247">
        <w:t> </w:t>
      </w:r>
      <w:r w:rsidRPr="00FD7A23">
        <w:t xml:space="preserve">železniční dopravě. </w:t>
      </w:r>
    </w:p>
    <w:p w14:paraId="15DCB684" w14:textId="77777777" w:rsidR="00C27AA9" w:rsidRPr="00255A20" w:rsidRDefault="00C27AA9" w:rsidP="009A3B7E">
      <w:pPr>
        <w:pStyle w:val="Nadpis2"/>
        <w:jc w:val="both"/>
      </w:pPr>
      <w:bookmarkStart w:id="69" w:name="_Toc34387149"/>
      <w:r>
        <w:t>Čistá mobilita ve vnitrozemské vodní dopravě</w:t>
      </w:r>
      <w:bookmarkEnd w:id="69"/>
      <w:r>
        <w:t xml:space="preserve"> </w:t>
      </w:r>
    </w:p>
    <w:p w14:paraId="4F52A411" w14:textId="2328354A" w:rsidR="00C27AA9" w:rsidRPr="00FD7A23" w:rsidRDefault="00C27AA9" w:rsidP="009A3B7E">
      <w:pPr>
        <w:jc w:val="both"/>
        <w:rPr>
          <w:rFonts w:ascii="Calibri" w:hAnsi="Calibri"/>
        </w:rPr>
      </w:pPr>
      <w:r w:rsidRPr="00FD7A23">
        <w:t>Ačkoliv z</w:t>
      </w:r>
      <w:r w:rsidR="005A1247">
        <w:t> </w:t>
      </w:r>
      <w:r w:rsidRPr="00FD7A23">
        <w:t>celkového objemu emisí CO</w:t>
      </w:r>
      <w:r w:rsidRPr="00FD7A23">
        <w:rPr>
          <w:vertAlign w:val="subscript"/>
        </w:rPr>
        <w:t>2</w:t>
      </w:r>
      <w:r w:rsidRPr="00FD7A23">
        <w:t xml:space="preserve"> v</w:t>
      </w:r>
      <w:r w:rsidR="005A1247">
        <w:t> </w:t>
      </w:r>
      <w:r w:rsidRPr="00FD7A23">
        <w:t>rámci celého odvětví dopravy se vnitrozemská lodní doprava podílí jen cca 4</w:t>
      </w:r>
      <w:r w:rsidR="00925889">
        <w:t xml:space="preserve"> </w:t>
      </w:r>
      <w:r w:rsidRPr="00FD7A23">
        <w:t>%, mohou být plavidla významným lokálním emitentem. Nižší podíl na emisích do</w:t>
      </w:r>
      <w:r w:rsidR="00925889">
        <w:t>pravy je totiž především vyvolán</w:t>
      </w:r>
      <w:r w:rsidRPr="00FD7A23">
        <w:t xml:space="preserve"> menším objemem vnitrozemské vodní dopravy, a</w:t>
      </w:r>
      <w:r w:rsidR="005A1247">
        <w:t> </w:t>
      </w:r>
      <w:r w:rsidRPr="00FD7A23">
        <w:t>tedy počtem plavidel v</w:t>
      </w:r>
      <w:r w:rsidR="005A1247">
        <w:t> </w:t>
      </w:r>
      <w:r w:rsidRPr="00FD7A23">
        <w:t>poměru s</w:t>
      </w:r>
      <w:r w:rsidR="005A1247">
        <w:t> </w:t>
      </w:r>
      <w:r w:rsidRPr="00FD7A23">
        <w:t>objemem například silniční dopravy na celku odvětví. Podíváme-li se na jednotlivá plavidla, především ta větší, hovoříme o</w:t>
      </w:r>
      <w:r w:rsidR="005A1247">
        <w:t> </w:t>
      </w:r>
      <w:r w:rsidRPr="00FD7A23">
        <w:t>nepoměrně větších dopravních prostředcích, která mají zásadní vliv lokálně, například větší výletní loď za den provozu spotřebuje i</w:t>
      </w:r>
      <w:r w:rsidR="005A1247">
        <w:t> </w:t>
      </w:r>
      <w:r w:rsidR="00925889">
        <w:t>750–</w:t>
      </w:r>
      <w:r w:rsidRPr="00FD7A23">
        <w:t>1 000 litrů paliva (motorové nafty), které může obsahovat více škodlivin, než používají dieselová vozidla, která splňují emisní normu EURO 5, lodní motory navíc neobsahují filtry pevných částic. Dále je třeba také zmínit, že u</w:t>
      </w:r>
      <w:r w:rsidR="005A1247">
        <w:t> </w:t>
      </w:r>
      <w:r w:rsidRPr="00FD7A23">
        <w:t>lodních motorů není na rozdíl od automobilů měření emisí povinné a</w:t>
      </w:r>
      <w:r w:rsidR="005A1247">
        <w:t> </w:t>
      </w:r>
      <w:r w:rsidRPr="00FD7A23">
        <w:t>lodě nepodléhají žádné kontrole, řada z</w:t>
      </w:r>
      <w:r w:rsidR="005A1247">
        <w:t> </w:t>
      </w:r>
      <w:r w:rsidRPr="00FD7A23">
        <w:t>nich má velmi staré motory produkující velké množství zplodin. A</w:t>
      </w:r>
      <w:r w:rsidR="005A1247">
        <w:t> </w:t>
      </w:r>
      <w:r w:rsidRPr="00FD7A23">
        <w:t>proto je třeba systematicky pracovat na rozvoji a</w:t>
      </w:r>
      <w:r w:rsidR="005A1247">
        <w:t> </w:t>
      </w:r>
      <w:r w:rsidRPr="00FD7A23">
        <w:t>obnově flotily a</w:t>
      </w:r>
      <w:r w:rsidR="005A1247">
        <w:t> </w:t>
      </w:r>
      <w:r w:rsidRPr="00FD7A23">
        <w:t xml:space="preserve">infrastruktury vodních cest. </w:t>
      </w:r>
    </w:p>
    <w:p w14:paraId="306D1045" w14:textId="05E69AF2" w:rsidR="00C27AA9" w:rsidRPr="00FD7A23" w:rsidRDefault="00C27AA9" w:rsidP="009A3B7E">
      <w:pPr>
        <w:jc w:val="both"/>
      </w:pPr>
      <w:r w:rsidRPr="00FD7A23">
        <w:t>Význam lodní dopravy a</w:t>
      </w:r>
      <w:r w:rsidR="005A1247">
        <w:t> </w:t>
      </w:r>
      <w:r w:rsidRPr="00FD7A23">
        <w:t>jejího dopadu na klimatické změny si v</w:t>
      </w:r>
      <w:r w:rsidR="005A1247">
        <w:t> </w:t>
      </w:r>
      <w:r w:rsidRPr="00FD7A23">
        <w:t xml:space="preserve">současnosti uvědomuje zejména hlavní město Praha, které se rozhodlo nastavit regulaci pro kotviště ve správě města. Ta stanovuje, že od 1. ledna 2021 tak na pražských březích nebudou moci kotvit lodě, které nebudou splňovat normu Euro 5. </w:t>
      </w:r>
    </w:p>
    <w:p w14:paraId="6315F6B7" w14:textId="6AC380E6" w:rsidR="00C27AA9" w:rsidRPr="00FD7A23" w:rsidRDefault="00C27AA9" w:rsidP="009A3B7E">
      <w:pPr>
        <w:jc w:val="both"/>
      </w:pPr>
      <w:r w:rsidRPr="00FD7A23">
        <w:t xml:space="preserve">Cílem NAP CM </w:t>
      </w:r>
      <w:r w:rsidR="0046132B" w:rsidRPr="00FD7A23">
        <w:t>je stanovit</w:t>
      </w:r>
      <w:r w:rsidRPr="00FD7A23">
        <w:t xml:space="preserve"> obecný rámec umožňující v</w:t>
      </w:r>
      <w:r w:rsidR="005A1247">
        <w:t> </w:t>
      </w:r>
      <w:r w:rsidRPr="00FD7A23">
        <w:t xml:space="preserve">budoucnosti jednak podporu rozvoje infrastruktury pro alternativní paliva ve vnitrozemské vodní dopravě (bez ohledu na typ alternativního </w:t>
      </w:r>
      <w:r w:rsidR="0046132B" w:rsidRPr="00FD7A23">
        <w:t>paliva) a</w:t>
      </w:r>
      <w:r w:rsidR="005A1247">
        <w:t> </w:t>
      </w:r>
      <w:r w:rsidR="0046132B" w:rsidRPr="00FD7A23">
        <w:t>potenciálně</w:t>
      </w:r>
      <w:r w:rsidRPr="00FD7A23">
        <w:t xml:space="preserve"> i</w:t>
      </w:r>
      <w:r w:rsidR="005A1247">
        <w:t> </w:t>
      </w:r>
      <w:r w:rsidRPr="00FD7A23">
        <w:t>určitou podporu za účelem zavádění bezemisních a</w:t>
      </w:r>
      <w:r w:rsidR="005A1247">
        <w:t> </w:t>
      </w:r>
      <w:r w:rsidRPr="00FD7A23">
        <w:t xml:space="preserve">nízkoemisních plavidel. Za tímto účelem vznikne </w:t>
      </w:r>
      <w:r w:rsidR="002C16D5">
        <w:t xml:space="preserve">do roku </w:t>
      </w:r>
      <w:r w:rsidRPr="00FD7A23">
        <w:t>202</w:t>
      </w:r>
      <w:r w:rsidR="002C16D5">
        <w:t>1</w:t>
      </w:r>
      <w:r w:rsidRPr="00FD7A23">
        <w:t xml:space="preserve"> studie potenciálu využit</w:t>
      </w:r>
      <w:r w:rsidR="00A23768">
        <w:t>í</w:t>
      </w:r>
      <w:r w:rsidRPr="00FD7A23">
        <w:t xml:space="preserve"> alternativních paliv ve vnitrozemské vodní dopravě, se kterou již počítal původní NAP CM. Studie by měla být následně podkladem pro dotační programy, které by umožnily naplnění výše uvedených cílů. </w:t>
      </w:r>
    </w:p>
    <w:p w14:paraId="5CA6A78A" w14:textId="6B88A3BB" w:rsidR="00C27AA9" w:rsidRPr="00304F50" w:rsidRDefault="00C27AA9" w:rsidP="009A3B7E">
      <w:pPr>
        <w:jc w:val="both"/>
        <w:rPr>
          <w:rFonts w:asciiTheme="minorHAnsi" w:hAnsiTheme="minorHAnsi" w:cstheme="minorHAnsi"/>
        </w:rPr>
      </w:pPr>
      <w:r w:rsidRPr="00FD7A23">
        <w:t>Specifickou oblast</w:t>
      </w:r>
      <w:r w:rsidR="00A23768">
        <w:t>í</w:t>
      </w:r>
      <w:r w:rsidRPr="00FD7A23">
        <w:t xml:space="preserve"> </w:t>
      </w:r>
      <w:r w:rsidR="00304F50">
        <w:t>ve vztahu k</w:t>
      </w:r>
      <w:r w:rsidR="005A1247">
        <w:t> </w:t>
      </w:r>
      <w:r w:rsidR="00304F50">
        <w:t xml:space="preserve">využívání alternativních paliv ve vnitrozemské vodní dopravě představuje </w:t>
      </w:r>
      <w:r w:rsidRPr="00304F50">
        <w:t>LNG</w:t>
      </w:r>
      <w:r w:rsidR="00304F50">
        <w:t xml:space="preserve">. Zde </w:t>
      </w:r>
      <w:r w:rsidRPr="00304F50">
        <w:t>již směrnice 2014/94 stanovila čl</w:t>
      </w:r>
      <w:r w:rsidR="007E541C">
        <w:t xml:space="preserve">enským státům požadavek, aby si </w:t>
      </w:r>
      <w:r w:rsidRPr="00304F50">
        <w:t>stanovily cíl na vybudování LNG stanic v</w:t>
      </w:r>
      <w:r w:rsidR="005A1247">
        <w:t> </w:t>
      </w:r>
      <w:r w:rsidRPr="00304F50">
        <w:t xml:space="preserve">přístavech do roku 2030. </w:t>
      </w:r>
      <w:r w:rsidRPr="00304F50">
        <w:rPr>
          <w:rFonts w:cstheme="minorHAnsi"/>
        </w:rPr>
        <w:t xml:space="preserve">NAP CM ve své původní podobě </w:t>
      </w:r>
      <w:r w:rsidR="002C16D5" w:rsidRPr="00304F50">
        <w:rPr>
          <w:rFonts w:cstheme="minorHAnsi"/>
        </w:rPr>
        <w:t>konstatoval, že</w:t>
      </w:r>
      <w:r w:rsidRPr="00304F50">
        <w:rPr>
          <w:rFonts w:cstheme="minorHAnsi"/>
        </w:rPr>
        <w:t xml:space="preserve"> </w:t>
      </w:r>
      <w:r w:rsidRPr="00304F50">
        <w:rPr>
          <w:rFonts w:cstheme="minorHAnsi"/>
          <w:noProof/>
        </w:rPr>
        <w:t>pro nejbližší období se nejeví jako efektivní budovat ve veřejných přístavech v</w:t>
      </w:r>
      <w:r w:rsidR="005A1247">
        <w:rPr>
          <w:rFonts w:cstheme="minorHAnsi"/>
          <w:noProof/>
        </w:rPr>
        <w:t> </w:t>
      </w:r>
      <w:r w:rsidRPr="00304F50">
        <w:rPr>
          <w:rFonts w:cstheme="minorHAnsi"/>
          <w:noProof/>
        </w:rPr>
        <w:t>ČR čerpací stanice pro plavidla využívající LNG jako palivo</w:t>
      </w:r>
      <w:r w:rsidR="00426245">
        <w:rPr>
          <w:rFonts w:cstheme="minorHAnsi"/>
          <w:noProof/>
        </w:rPr>
        <w:t>,</w:t>
      </w:r>
      <w:r w:rsidRPr="00304F50">
        <w:rPr>
          <w:rFonts w:cstheme="minorHAnsi"/>
          <w:noProof/>
        </w:rPr>
        <w:t xml:space="preserve"> a</w:t>
      </w:r>
      <w:r w:rsidR="005A1247">
        <w:rPr>
          <w:rFonts w:cstheme="minorHAnsi"/>
          <w:noProof/>
        </w:rPr>
        <w:t> </w:t>
      </w:r>
      <w:r w:rsidRPr="00304F50">
        <w:rPr>
          <w:rFonts w:cstheme="minorHAnsi"/>
          <w:noProof/>
        </w:rPr>
        <w:t>to z</w:t>
      </w:r>
      <w:r w:rsidR="005A1247">
        <w:rPr>
          <w:rFonts w:cstheme="minorHAnsi"/>
          <w:noProof/>
        </w:rPr>
        <w:t> </w:t>
      </w:r>
      <w:r w:rsidRPr="00304F50">
        <w:rPr>
          <w:rFonts w:cstheme="minorHAnsi"/>
          <w:noProof/>
        </w:rPr>
        <w:t>důvodu vysokých provozních nákladů pro taková zařízení při současném vědomí neexistence relevantní poptávky v</w:t>
      </w:r>
      <w:r w:rsidR="005A1247">
        <w:rPr>
          <w:rFonts w:cstheme="minorHAnsi"/>
          <w:noProof/>
        </w:rPr>
        <w:t> </w:t>
      </w:r>
      <w:r w:rsidRPr="00304F50">
        <w:rPr>
          <w:rFonts w:cstheme="minorHAnsi"/>
          <w:noProof/>
        </w:rPr>
        <w:t xml:space="preserve">tomto segmentu trhu. </w:t>
      </w:r>
      <w:r w:rsidRPr="00304F50">
        <w:rPr>
          <w:rFonts w:cstheme="minorHAnsi"/>
        </w:rPr>
        <w:t>Od roku 2015 se však na tomto poli v</w:t>
      </w:r>
      <w:r w:rsidR="005A1247">
        <w:rPr>
          <w:rFonts w:cstheme="minorHAnsi"/>
        </w:rPr>
        <w:t> </w:t>
      </w:r>
      <w:r w:rsidRPr="00304F50">
        <w:rPr>
          <w:rFonts w:cstheme="minorHAnsi"/>
        </w:rPr>
        <w:t>ČR příliš nezměnilo, což je dáno především stále spíše omezenými plavebními podmínkami na Labi a</w:t>
      </w:r>
      <w:r w:rsidR="005A1247">
        <w:rPr>
          <w:rFonts w:cstheme="minorHAnsi"/>
        </w:rPr>
        <w:t> </w:t>
      </w:r>
      <w:r w:rsidRPr="00304F50">
        <w:rPr>
          <w:rFonts w:cstheme="minorHAnsi"/>
        </w:rPr>
        <w:t>s</w:t>
      </w:r>
      <w:r w:rsidR="000F2439">
        <w:rPr>
          <w:rFonts w:cstheme="minorHAnsi"/>
        </w:rPr>
        <w:t> </w:t>
      </w:r>
      <w:r w:rsidRPr="00304F50">
        <w:rPr>
          <w:rFonts w:cstheme="minorHAnsi"/>
        </w:rPr>
        <w:t>tím související ekonomickou situací provozovatelů vnitrozemské vodní dopravy.</w:t>
      </w:r>
    </w:p>
    <w:p w14:paraId="007649E7" w14:textId="51AD58CC" w:rsidR="00C27AA9" w:rsidRPr="00304F50" w:rsidRDefault="00C27AA9" w:rsidP="009A3B7E">
      <w:pPr>
        <w:jc w:val="both"/>
        <w:rPr>
          <w:rFonts w:cstheme="minorHAnsi"/>
          <w:noProof/>
        </w:rPr>
      </w:pPr>
      <w:r w:rsidRPr="00304F50">
        <w:rPr>
          <w:rFonts w:cstheme="minorHAnsi"/>
        </w:rPr>
        <w:t xml:space="preserve">Přes výše uvedené </w:t>
      </w:r>
      <w:r w:rsidRPr="00304F50">
        <w:rPr>
          <w:rFonts w:cstheme="minorHAnsi"/>
          <w:noProof/>
        </w:rPr>
        <w:t>vnímáme, že je třeba se vypořádat s</w:t>
      </w:r>
      <w:r w:rsidR="005A1247">
        <w:rPr>
          <w:rFonts w:cstheme="minorHAnsi"/>
          <w:noProof/>
        </w:rPr>
        <w:t> </w:t>
      </w:r>
      <w:r w:rsidRPr="00304F50">
        <w:rPr>
          <w:rFonts w:cstheme="minorHAnsi"/>
          <w:noProof/>
        </w:rPr>
        <w:t>kritikou ze strany Evropské komise na neexistenci cíle ohledně vybavení vnitrozemských přístavů v</w:t>
      </w:r>
      <w:r w:rsidR="005A1247">
        <w:rPr>
          <w:rFonts w:cstheme="minorHAnsi"/>
          <w:noProof/>
        </w:rPr>
        <w:t> </w:t>
      </w:r>
      <w:r w:rsidRPr="00304F50">
        <w:rPr>
          <w:rFonts w:cstheme="minorHAnsi"/>
          <w:noProof/>
        </w:rPr>
        <w:t>ČR plnicími stanicemi LNG do roku 2030. S</w:t>
      </w:r>
      <w:r w:rsidR="005A1247">
        <w:rPr>
          <w:rFonts w:cstheme="minorHAnsi"/>
          <w:noProof/>
        </w:rPr>
        <w:t> </w:t>
      </w:r>
      <w:r w:rsidRPr="00304F50">
        <w:rPr>
          <w:rFonts w:cstheme="minorHAnsi"/>
          <w:noProof/>
        </w:rPr>
        <w:t>ohledem na obecně omezený vývoj na trhu vnitrozemské dopravy v</w:t>
      </w:r>
      <w:r w:rsidR="005A1247">
        <w:rPr>
          <w:rFonts w:cstheme="minorHAnsi"/>
          <w:noProof/>
        </w:rPr>
        <w:t> </w:t>
      </w:r>
      <w:r w:rsidRPr="00304F50">
        <w:rPr>
          <w:rFonts w:cstheme="minorHAnsi"/>
          <w:noProof/>
        </w:rPr>
        <w:t>ČR v</w:t>
      </w:r>
      <w:r w:rsidR="005A1247">
        <w:rPr>
          <w:rFonts w:cstheme="minorHAnsi"/>
          <w:noProof/>
        </w:rPr>
        <w:t> </w:t>
      </w:r>
      <w:r w:rsidRPr="00304F50">
        <w:rPr>
          <w:rFonts w:cstheme="minorHAnsi"/>
          <w:noProof/>
        </w:rPr>
        <w:t>posleních letech, s</w:t>
      </w:r>
      <w:r w:rsidR="005A1247">
        <w:rPr>
          <w:rFonts w:cstheme="minorHAnsi"/>
          <w:noProof/>
        </w:rPr>
        <w:t> </w:t>
      </w:r>
      <w:r w:rsidRPr="00304F50">
        <w:rPr>
          <w:rFonts w:cstheme="minorHAnsi"/>
          <w:noProof/>
        </w:rPr>
        <w:t>ním je spojena celá řada nejistot, však lze v</w:t>
      </w:r>
      <w:r w:rsidR="005A1247">
        <w:rPr>
          <w:rFonts w:cstheme="minorHAnsi"/>
          <w:noProof/>
        </w:rPr>
        <w:t> </w:t>
      </w:r>
      <w:r w:rsidRPr="00304F50">
        <w:rPr>
          <w:rFonts w:cstheme="minorHAnsi"/>
          <w:noProof/>
        </w:rPr>
        <w:t>tuto chvíli deklarovat jen velmi skromný cíl v</w:t>
      </w:r>
      <w:r w:rsidR="005A1247">
        <w:rPr>
          <w:rFonts w:cstheme="minorHAnsi"/>
          <w:noProof/>
        </w:rPr>
        <w:t> </w:t>
      </w:r>
      <w:r w:rsidRPr="00304F50">
        <w:rPr>
          <w:rFonts w:cstheme="minorHAnsi"/>
          <w:noProof/>
        </w:rPr>
        <w:t>podobě výstavby 2 LNG stanic ve vnitrozemských přístavech, které jsou součástí globální sítě TEN-T. Konkrétní umístění těchto LNG stanic není zatím možné stanovit a</w:t>
      </w:r>
      <w:r w:rsidR="005A1247">
        <w:rPr>
          <w:rFonts w:cstheme="minorHAnsi"/>
          <w:noProof/>
        </w:rPr>
        <w:t> </w:t>
      </w:r>
      <w:r w:rsidRPr="00304F50">
        <w:rPr>
          <w:rFonts w:cstheme="minorHAnsi"/>
          <w:noProof/>
        </w:rPr>
        <w:t>mělo by být určeno nejpozději v</w:t>
      </w:r>
      <w:r w:rsidR="005A1247">
        <w:rPr>
          <w:rFonts w:cstheme="minorHAnsi"/>
          <w:noProof/>
        </w:rPr>
        <w:t> </w:t>
      </w:r>
      <w:r w:rsidRPr="00304F50">
        <w:rPr>
          <w:rFonts w:cstheme="minorHAnsi"/>
          <w:noProof/>
        </w:rPr>
        <w:t xml:space="preserve">roce 2025. </w:t>
      </w:r>
    </w:p>
    <w:p w14:paraId="54FDE48E" w14:textId="3101DAE5" w:rsidR="00C27AA9" w:rsidRDefault="00C27AA9" w:rsidP="009A3B7E">
      <w:pPr>
        <w:pStyle w:val="Nadpis2"/>
        <w:jc w:val="both"/>
      </w:pPr>
      <w:bookmarkStart w:id="70" w:name="_Ref21597760"/>
      <w:bookmarkStart w:id="71" w:name="_Toc34387150"/>
      <w:r>
        <w:lastRenderedPageBreak/>
        <w:t>Čistá mobilita v</w:t>
      </w:r>
      <w:r w:rsidR="005A1247">
        <w:t> </w:t>
      </w:r>
      <w:r>
        <w:t>železniční dopravě</w:t>
      </w:r>
      <w:bookmarkEnd w:id="70"/>
      <w:bookmarkEnd w:id="71"/>
      <w:r>
        <w:t xml:space="preserve"> </w:t>
      </w:r>
    </w:p>
    <w:p w14:paraId="2B35F9EC" w14:textId="0C20E92F" w:rsidR="00A04BE8" w:rsidRPr="00A04BE8" w:rsidRDefault="00A04BE8" w:rsidP="00A04BE8">
      <w:pPr>
        <w:jc w:val="both"/>
      </w:pPr>
      <w:r w:rsidRPr="00A04BE8">
        <w:t>Železniční doprava je v</w:t>
      </w:r>
      <w:r w:rsidR="005A1247">
        <w:t> </w:t>
      </w:r>
      <w:r w:rsidRPr="00A04BE8">
        <w:t>porovnání se silniční dopravou již za současných podmínek ekologičtějším druhem dopravy, především díky výrazně nižšímu jízdnímu odporu a</w:t>
      </w:r>
      <w:r w:rsidR="005A1247">
        <w:t> </w:t>
      </w:r>
      <w:r w:rsidRPr="00A04BE8">
        <w:t>zajištění elektrického pohonu vozidel za pomoci liniové elektrizace tratí</w:t>
      </w:r>
      <w:r w:rsidR="00E3649F" w:rsidRPr="00E3649F">
        <w:t xml:space="preserve"> s</w:t>
      </w:r>
      <w:r w:rsidR="005A1247">
        <w:t> </w:t>
      </w:r>
      <w:r w:rsidR="00E3649F" w:rsidRPr="00E3649F">
        <w:t>vysokou účinností přenosu elektrické energie mezi vozidlem a</w:t>
      </w:r>
      <w:r w:rsidR="005A1247">
        <w:t> </w:t>
      </w:r>
      <w:r w:rsidR="00E3649F" w:rsidRPr="00E3649F">
        <w:t>trakčním vedením</w:t>
      </w:r>
      <w:r w:rsidRPr="00A04BE8">
        <w:t>. V</w:t>
      </w:r>
      <w:r w:rsidR="005A1247">
        <w:t> </w:t>
      </w:r>
      <w:r w:rsidRPr="00A04BE8">
        <w:t>dlouhodobé perspektivě je žádoucí především dosáhnout jejího maximálního přechodu ze spalovacích na elektrické motory na tratích, které dosud nejsou elektrizovány. Existující vozidla se spalovacími motory by se tak měla postupně vyřadit z</w:t>
      </w:r>
      <w:r w:rsidR="005A1247">
        <w:t> </w:t>
      </w:r>
      <w:r w:rsidRPr="00A04BE8">
        <w:t>provozu a</w:t>
      </w:r>
      <w:r w:rsidR="005A1247">
        <w:t> </w:t>
      </w:r>
      <w:r w:rsidRPr="00A04BE8">
        <w:t>nahradit je novými vozidly elektrickými, čímž dojde k</w:t>
      </w:r>
      <w:r w:rsidR="005A1247">
        <w:t> </w:t>
      </w:r>
      <w:r w:rsidRPr="00A04BE8">
        <w:t>výrazné úspoře emisí CO</w:t>
      </w:r>
      <w:r w:rsidRPr="00A04BE8">
        <w:rPr>
          <w:vertAlign w:val="subscript"/>
        </w:rPr>
        <w:t>2</w:t>
      </w:r>
      <w:r w:rsidRPr="00A04BE8">
        <w:t xml:space="preserve"> ze železniční dopravy. K</w:t>
      </w:r>
      <w:r w:rsidR="005A1247">
        <w:t> </w:t>
      </w:r>
      <w:r w:rsidRPr="00A04BE8">
        <w:t>tomu bude docházet jak rozšiřováním liniové elektrizace tratí, které dosahuje nejvyšší energetické účinnosti, tak rovněž využíváním moderních vozidel využívajících bateriový nebo vodíkový pohon.</w:t>
      </w:r>
    </w:p>
    <w:p w14:paraId="50C1ABF9" w14:textId="26841E9D" w:rsidR="00A04BE8" w:rsidRPr="00A04BE8" w:rsidRDefault="00A04BE8" w:rsidP="00A04BE8">
      <w:pPr>
        <w:jc w:val="both"/>
      </w:pPr>
      <w:r w:rsidRPr="00A04BE8">
        <w:t>Česká republika má jeden z</w:t>
      </w:r>
      <w:r w:rsidR="005A1247">
        <w:t> </w:t>
      </w:r>
      <w:r w:rsidRPr="00A04BE8">
        <w:t>nejnižších podílů elektrizovaných tratí mezi evropskými státy (34 %) a</w:t>
      </w:r>
      <w:r w:rsidR="005A1247">
        <w:t> </w:t>
      </w:r>
      <w:r w:rsidRPr="00A04BE8">
        <w:t>aktuálně chybí rozsáhlá síť elektrizovaných železnic především v</w:t>
      </w:r>
      <w:r w:rsidR="005A1247">
        <w:t> </w:t>
      </w:r>
      <w:r w:rsidRPr="00A04BE8">
        <w:t>severní části České republiky</w:t>
      </w:r>
      <w:r w:rsidR="00E3649F">
        <w:t>.</w:t>
      </w:r>
      <w:r w:rsidR="00E3649F" w:rsidRPr="00E3649F">
        <w:t xml:space="preserve"> Při přípravě </w:t>
      </w:r>
      <w:r w:rsidR="00F46234">
        <w:t>nových elektrizací tratí by Správa železnic, státní organizace</w:t>
      </w:r>
      <w:r w:rsidR="00E3649F" w:rsidRPr="00E3649F">
        <w:t xml:space="preserve"> měla mít podporu napříč resorty MD, MPO a</w:t>
      </w:r>
      <w:r w:rsidR="005A1247">
        <w:t> </w:t>
      </w:r>
      <w:r w:rsidR="00E3649F" w:rsidRPr="00E3649F">
        <w:t>MŽP.</w:t>
      </w:r>
      <w:r w:rsidRPr="00A04BE8">
        <w:t xml:space="preserve"> Dalším problémem české železniční sítě je existence dvou hlavních trakčních soustav – stejnosměrné trakční soustavy 3 kV a</w:t>
      </w:r>
      <w:r w:rsidR="005A1247">
        <w:t> </w:t>
      </w:r>
      <w:r w:rsidRPr="00A04BE8">
        <w:t xml:space="preserve">střídavé trakční soustavy 25 kV, 50 Hz. Pro </w:t>
      </w:r>
      <w:r w:rsidR="00E3649F" w:rsidRPr="00E3649F">
        <w:t xml:space="preserve">zahájení sjednocení soustav </w:t>
      </w:r>
      <w:r w:rsidRPr="00A04BE8">
        <w:t>byla dne 20. 12. 2016 schválena Koncepce přechodu na jednotnou napájecí soustavu ve vazbě na priority programového období 2014-2020 a</w:t>
      </w:r>
      <w:r w:rsidR="005A1247">
        <w:t> </w:t>
      </w:r>
      <w:r w:rsidRPr="00A04BE8">
        <w:t>naplnění požadavků TSI ENE. V</w:t>
      </w:r>
      <w:r w:rsidR="005A1247">
        <w:t> </w:t>
      </w:r>
      <w:r w:rsidRPr="00A04BE8">
        <w:t>návaznosti na tuto koncepci se předpokládá postupné sjednocení trakční soustavy na systému 25 kV, 50 Hz, které zajistí další energetické úspory v</w:t>
      </w:r>
      <w:r w:rsidR="005A1247">
        <w:t> </w:t>
      </w:r>
      <w:r w:rsidRPr="00A04BE8">
        <w:t>liniové elektrizaci tratí a</w:t>
      </w:r>
      <w:r w:rsidR="005A1247">
        <w:t> </w:t>
      </w:r>
      <w:r w:rsidRPr="00A04BE8">
        <w:t>umožní snížení investičních i</w:t>
      </w:r>
      <w:r w:rsidR="005A1247">
        <w:t> </w:t>
      </w:r>
      <w:r w:rsidRPr="00A04BE8">
        <w:t xml:space="preserve">provozních nákladů pro další rozšiřování elektrizace. </w:t>
      </w:r>
    </w:p>
    <w:p w14:paraId="30EF561C" w14:textId="293FC0BA" w:rsidR="00A04BE8" w:rsidRPr="00A04BE8" w:rsidRDefault="00A04BE8" w:rsidP="00A04BE8">
      <w:pPr>
        <w:jc w:val="both"/>
      </w:pPr>
      <w:r w:rsidRPr="00A04BE8">
        <w:t>Z technického hlediska je další rozšiřování čistých pohonů na železnici možné více způsoby. Energeticky nejúčinnější řešení je zajištěním přímého trakčního pohonu pomocí liniové elektrizace. Toto řešení však s</w:t>
      </w:r>
      <w:r w:rsidR="005A1247">
        <w:t> </w:t>
      </w:r>
      <w:r w:rsidRPr="00A04BE8">
        <w:t>sebou přináší také značné investiční náklady a</w:t>
      </w:r>
      <w:r w:rsidR="005A1247">
        <w:t> </w:t>
      </w:r>
      <w:r w:rsidRPr="00A04BE8">
        <w:t>je vhodné především pro tratě s</w:t>
      </w:r>
      <w:r w:rsidR="005A1247">
        <w:t> </w:t>
      </w:r>
      <w:r w:rsidRPr="00A04BE8">
        <w:t>dostatečným provozním zatížením. Další možností je rozšíření vozidel s</w:t>
      </w:r>
      <w:r w:rsidR="005A1247">
        <w:t> </w:t>
      </w:r>
      <w:r w:rsidRPr="00A04BE8">
        <w:t>akumulátory, které je vhodné využívat především v</w:t>
      </w:r>
      <w:r w:rsidR="005A1247">
        <w:t> </w:t>
      </w:r>
      <w:r w:rsidRPr="00A04BE8">
        <w:t>kombinaci s</w:t>
      </w:r>
      <w:r w:rsidR="005A1247">
        <w:t> </w:t>
      </w:r>
      <w:r w:rsidRPr="00A04BE8">
        <w:t>liniovou elektrizací, kdy se tato vozidla mohou dobíjet i</w:t>
      </w:r>
      <w:r w:rsidR="005A1247">
        <w:t> </w:t>
      </w:r>
      <w:r w:rsidRPr="00A04BE8">
        <w:t>během jízdy pod trolejí a</w:t>
      </w:r>
      <w:r w:rsidR="005A1247">
        <w:t> </w:t>
      </w:r>
      <w:r w:rsidRPr="00A04BE8">
        <w:t>akumulovanou energii využít k</w:t>
      </w:r>
      <w:r w:rsidR="005A1247">
        <w:t> </w:t>
      </w:r>
      <w:r w:rsidRPr="00A04BE8">
        <w:t>další jízdě v</w:t>
      </w:r>
      <w:r w:rsidR="005A1247">
        <w:t> </w:t>
      </w:r>
      <w:r w:rsidRPr="00A04BE8">
        <w:t>úseku bez trakčního vedení. Zejména v</w:t>
      </w:r>
      <w:r w:rsidR="005A1247">
        <w:t> </w:t>
      </w:r>
      <w:r w:rsidRPr="00A04BE8">
        <w:t>případě nemožnosti kombinace jízdy pod trakčním vedením a</w:t>
      </w:r>
      <w:r w:rsidR="005A1247">
        <w:t> </w:t>
      </w:r>
      <w:r w:rsidRPr="00A04BE8">
        <w:t>v úseku bez elektrizace (případně v</w:t>
      </w:r>
      <w:r w:rsidR="005A1247">
        <w:t> </w:t>
      </w:r>
      <w:r w:rsidRPr="00A04BE8">
        <w:t>případech, kdy je podíl úseku s</w:t>
      </w:r>
      <w:r w:rsidR="005A1247">
        <w:t> </w:t>
      </w:r>
      <w:r w:rsidRPr="00A04BE8">
        <w:t>trakčním vedením příliš malý) je možné využít rovněž vozidla s</w:t>
      </w:r>
      <w:r w:rsidR="005A1247">
        <w:t> </w:t>
      </w:r>
      <w:r w:rsidRPr="00A04BE8">
        <w:t>vodíkovým pohonem, která ovšem mají nejnižší účinnost přenosu energie v</w:t>
      </w:r>
      <w:r w:rsidR="005A1247">
        <w:t> </w:t>
      </w:r>
      <w:r w:rsidRPr="00A04BE8">
        <w:t xml:space="preserve">rámci čistých vozidel. </w:t>
      </w:r>
      <w:r w:rsidR="00F46234" w:rsidRPr="00F46234">
        <w:t>V</w:t>
      </w:r>
      <w:r w:rsidR="005A1247">
        <w:t> </w:t>
      </w:r>
      <w:r w:rsidR="00F46234" w:rsidRPr="00F46234">
        <w:t>případech, kdy je podíl úseku s</w:t>
      </w:r>
      <w:r w:rsidR="005A1247">
        <w:t> </w:t>
      </w:r>
      <w:r w:rsidR="00F46234" w:rsidRPr="00F46234">
        <w:t>trakčním vedením příliš malý se musí prověřit jeho prodloužení, aby nemuselo být vozidlo vybaveno vodíkovým pohonem s</w:t>
      </w:r>
      <w:r w:rsidR="005A1247">
        <w:t> </w:t>
      </w:r>
      <w:r w:rsidR="00F46234" w:rsidRPr="00F46234">
        <w:t>nejnižší účinností přenosu energie. Problematika provozních i</w:t>
      </w:r>
      <w:r w:rsidR="005A1247">
        <w:t> </w:t>
      </w:r>
      <w:r w:rsidR="00F46234" w:rsidRPr="00F46234">
        <w:t>pořizovacích nákladů dvouzdrojových vozidel musí být individuálně posouzena pro konkrétní vozební rameno či trať. Teprve na základě srovnání lze určit</w:t>
      </w:r>
      <w:r w:rsidR="00F46234">
        <w:t xml:space="preserve">, </w:t>
      </w:r>
      <w:r w:rsidR="00F46234" w:rsidRPr="00F46234">
        <w:t>zda-li je výhodnější investice do infrastruktury (elektrizace) nebo do dvouzdrojových/vodíkových vozidel.</w:t>
      </w:r>
      <w:r w:rsidR="00F46234">
        <w:t xml:space="preserve"> </w:t>
      </w:r>
      <w:r w:rsidRPr="00A04BE8">
        <w:t>V</w:t>
      </w:r>
      <w:r w:rsidR="005A1247">
        <w:t> </w:t>
      </w:r>
      <w:r w:rsidRPr="00A04BE8">
        <w:t>případě nákladní dopravy je pak použitelné především řešení s</w:t>
      </w:r>
      <w:r w:rsidR="005A1247">
        <w:t> </w:t>
      </w:r>
      <w:r w:rsidRPr="00A04BE8">
        <w:t>rozšiřováním liniové elektrizace s</w:t>
      </w:r>
      <w:r w:rsidR="005A1247">
        <w:t> </w:t>
      </w:r>
      <w:r w:rsidRPr="00A04BE8">
        <w:t>ohledem na potřebu přenášeného výkonu. Pomocný akumulátorový pohon je využitelný zejména pro posun v</w:t>
      </w:r>
      <w:r w:rsidR="005A1247">
        <w:t> </w:t>
      </w:r>
      <w:r w:rsidRPr="00A04BE8">
        <w:t>případě, kdy technologie nakládky neumožňuje instalaci trakčního vedení.</w:t>
      </w:r>
    </w:p>
    <w:p w14:paraId="68C7442A" w14:textId="48B19198" w:rsidR="00A04BE8" w:rsidRPr="00A04BE8" w:rsidRDefault="00A04BE8" w:rsidP="00A04BE8">
      <w:pPr>
        <w:jc w:val="both"/>
      </w:pPr>
      <w:r w:rsidRPr="00A04BE8">
        <w:t>Na základě výše uvedeného se jeví jako žádoucí v</w:t>
      </w:r>
      <w:r w:rsidR="005A1247">
        <w:t> </w:t>
      </w:r>
      <w:r w:rsidRPr="00A04BE8">
        <w:t>první řadě navázat na existující aktivity Centra kompetence drážních vozidel pokud jde o</w:t>
      </w:r>
      <w:r w:rsidR="005A1247">
        <w:t> </w:t>
      </w:r>
      <w:r w:rsidRPr="00A04BE8">
        <w:t>posouzení možného nasazení dvouzdrojových vozidel (EMU - kombinované napájení trolej/akumulátor) a</w:t>
      </w:r>
      <w:r w:rsidR="005A1247">
        <w:t> </w:t>
      </w:r>
      <w:r w:rsidRPr="00A04BE8">
        <w:t>to zejména na regionálních tratích. Jak vyplývá z</w:t>
      </w:r>
      <w:r w:rsidR="005A1247">
        <w:t> </w:t>
      </w:r>
      <w:r w:rsidRPr="00A04BE8">
        <w:t>dosavadních analýz, dvouzdrojová železniční vozidla s</w:t>
      </w:r>
      <w:r w:rsidR="005A1247">
        <w:t> </w:t>
      </w:r>
      <w:r w:rsidRPr="00A04BE8">
        <w:t>kombinovaným napájením z</w:t>
      </w:r>
      <w:r w:rsidR="005A1247">
        <w:t> </w:t>
      </w:r>
      <w:r w:rsidRPr="00A04BE8">
        <w:t>troleje a</w:t>
      </w:r>
      <w:r w:rsidR="005A1247">
        <w:t> </w:t>
      </w:r>
      <w:r w:rsidRPr="00A04BE8">
        <w:t xml:space="preserve">z akumulátoru (jednotky EMU) jsou po technické stránce dostupným řešením. Při současném stavu techniky zásobníků energie (lithiových akumulátorů) však nelze zvládnout dojezd těchto EMU vozidel ve stovkách km, potřebný pro zajištění dopravního provozu na rozsáhlých územích bez liniové elektrizace, jaké například </w:t>
      </w:r>
      <w:r w:rsidRPr="00A04BE8">
        <w:lastRenderedPageBreak/>
        <w:t>představuje právě sever ČR. Na některých regionálních tratích (např. v</w:t>
      </w:r>
      <w:r w:rsidR="005A1247">
        <w:t> </w:t>
      </w:r>
      <w:r w:rsidRPr="00A04BE8">
        <w:t xml:space="preserve">rámci kraje Vysočina) by však toto již dnes mohla být cesta, jak dále dekarbonizovat železniční dopravu.  </w:t>
      </w:r>
    </w:p>
    <w:p w14:paraId="3F8EF0D9" w14:textId="0E9E8E68" w:rsidR="00A04BE8" w:rsidRPr="00A04BE8" w:rsidRDefault="00A04BE8" w:rsidP="00A04BE8">
      <w:pPr>
        <w:jc w:val="both"/>
      </w:pPr>
      <w:r w:rsidRPr="00A04BE8">
        <w:t>Dalším důležitým tématem ve vztahu k</w:t>
      </w:r>
      <w:r w:rsidR="005A1247">
        <w:t> </w:t>
      </w:r>
      <w:r w:rsidRPr="00A04BE8">
        <w:t>dekarbonizaci železniční dopravy může být rozvoj hybridních posunovacích lokomotiv. Na základě simulačních výpočtů jízd tohoto typu lokomotiv (viz projekt MPO „Hybridní lokomotiva a</w:t>
      </w:r>
      <w:r w:rsidR="005A1247">
        <w:t> </w:t>
      </w:r>
      <w:r w:rsidRPr="00A04BE8">
        <w:t>elektronická optimalizace energetiky jejího provozu“) lze vyčíslit přínosy tohoto technologického řešení v</w:t>
      </w:r>
      <w:r w:rsidR="005A1247">
        <w:t> </w:t>
      </w:r>
      <w:r w:rsidRPr="00A04BE8">
        <w:t xml:space="preserve">podobě úspory paliva až 30%. </w:t>
      </w:r>
    </w:p>
    <w:p w14:paraId="371C95D8" w14:textId="6FF7A6E4" w:rsidR="00A04BE8" w:rsidRPr="00A04BE8" w:rsidRDefault="00A04BE8" w:rsidP="00A04BE8">
      <w:pPr>
        <w:jc w:val="both"/>
      </w:pPr>
      <w:r w:rsidRPr="00A04BE8">
        <w:t>Na základě výše uvedeného lze konstatovat, že cílem NAP CM je umožnit elementární rozvoj dvouzdrojových vozidel. Je proto žádoucí hledat cesty, jak v</w:t>
      </w:r>
      <w:r w:rsidR="005A1247">
        <w:t> </w:t>
      </w:r>
      <w:r w:rsidRPr="00A04BE8">
        <w:t>budoucnosti podpořit nákup těchto vozidel z</w:t>
      </w:r>
      <w:r w:rsidR="005A1247">
        <w:t> </w:t>
      </w:r>
      <w:r w:rsidRPr="00A04BE8">
        <w:t xml:space="preserve">veřejných zdrojů. </w:t>
      </w:r>
    </w:p>
    <w:p w14:paraId="5EAD515D" w14:textId="7E1760D3" w:rsidR="00A04BE8" w:rsidRPr="00A04BE8" w:rsidRDefault="00A04BE8" w:rsidP="00E3649F">
      <w:pPr>
        <w:jc w:val="both"/>
      </w:pPr>
      <w:r w:rsidRPr="00A04BE8">
        <w:t>Protože je však zřejmé, že se v</w:t>
      </w:r>
      <w:r w:rsidR="005A1247">
        <w:t> </w:t>
      </w:r>
      <w:r w:rsidRPr="00A04BE8">
        <w:t>tomto případě nejedná o</w:t>
      </w:r>
      <w:r w:rsidR="005A1247">
        <w:t> </w:t>
      </w:r>
      <w:r w:rsidRPr="00A04BE8">
        <w:t>univer</w:t>
      </w:r>
      <w:r w:rsidR="00E3649F">
        <w:t>z</w:t>
      </w:r>
      <w:r w:rsidRPr="00A04BE8">
        <w:t>ální cestu, jak zajistit vyřazení drážních vozidla se spalovacími motory z</w:t>
      </w:r>
      <w:r w:rsidR="005A1247">
        <w:t> </w:t>
      </w:r>
      <w:r w:rsidRPr="00A04BE8">
        <w:t>provozu, je vedle využití EMU jednotek vhodné sledovat možnost aplikace vodíku na železnici. Minimálně by se mělo jednat o</w:t>
      </w:r>
      <w:r w:rsidR="005A1247">
        <w:t> </w:t>
      </w:r>
      <w:r w:rsidRPr="00A04BE8">
        <w:t>přechodné řešení k</w:t>
      </w:r>
      <w:r w:rsidR="005A1247">
        <w:t> </w:t>
      </w:r>
      <w:r w:rsidRPr="00A04BE8">
        <w:t>zajištění bezemisní železniční vozby, použitelné do doby rozvoje liniové elektrizace železnic na severu ČR, kdy by ji měla nahradit závislá elektrická trakce napájená z</w:t>
      </w:r>
      <w:r w:rsidR="005A1247">
        <w:t> </w:t>
      </w:r>
      <w:r w:rsidRPr="00A04BE8">
        <w:t>trakčního vedení, případně v</w:t>
      </w:r>
      <w:r w:rsidR="005A1247">
        <w:t> </w:t>
      </w:r>
      <w:r w:rsidRPr="00A04BE8">
        <w:t>kombinaci s</w:t>
      </w:r>
      <w:r w:rsidR="005A1247">
        <w:t> </w:t>
      </w:r>
      <w:r w:rsidRPr="00A04BE8">
        <w:t xml:space="preserve">akumulátory. </w:t>
      </w:r>
    </w:p>
    <w:p w14:paraId="3A174B15" w14:textId="68AD3620" w:rsidR="00A04BE8" w:rsidRPr="00A04BE8" w:rsidRDefault="00A04BE8" w:rsidP="00E3649F">
      <w:pPr>
        <w:jc w:val="both"/>
      </w:pPr>
      <w:r w:rsidRPr="00A04BE8">
        <w:t>Cílem NAP CM je v</w:t>
      </w:r>
      <w:r w:rsidR="005A1247">
        <w:t> </w:t>
      </w:r>
      <w:r w:rsidRPr="00A04BE8">
        <w:t>tomto smyslu zahájení zavedení vodíkových železničních souprav, kde by vodíkové železniční soupravy měly být využity k</w:t>
      </w:r>
      <w:r w:rsidR="005A1247">
        <w:t> </w:t>
      </w:r>
      <w:r w:rsidRPr="00A04BE8">
        <w:t>přispění naplnění širších energetických a</w:t>
      </w:r>
      <w:r w:rsidR="005A1247">
        <w:t> </w:t>
      </w:r>
      <w:r w:rsidRPr="00A04BE8">
        <w:t>environmentálních cílů, pokud jde o</w:t>
      </w:r>
      <w:r w:rsidR="005A1247">
        <w:t> </w:t>
      </w:r>
      <w:r w:rsidRPr="00A04BE8">
        <w:t>snížení energetické náročnosti dopravy a</w:t>
      </w:r>
      <w:r w:rsidR="005A1247">
        <w:t> </w:t>
      </w:r>
      <w:r w:rsidRPr="00A04BE8">
        <w:t>odstranění její závislosti na fosilních palivech</w:t>
      </w:r>
      <w:r w:rsidR="00925889">
        <w:t>. Za tímto účelem by měla jednak</w:t>
      </w:r>
      <w:r w:rsidRPr="00A04BE8">
        <w:t xml:space="preserve"> vzniknout studie příležitostí vodíkové mobility na železnici a</w:t>
      </w:r>
      <w:r w:rsidR="005A1247">
        <w:t> </w:t>
      </w:r>
      <w:r w:rsidRPr="00A04BE8">
        <w:t>zároveň by měly být hledány cesty, jak v</w:t>
      </w:r>
      <w:r w:rsidR="005A1247">
        <w:t> </w:t>
      </w:r>
      <w:r w:rsidRPr="00A04BE8">
        <w:t>budoucnosti podpořit nákup vodíkových lokomotiv z</w:t>
      </w:r>
      <w:r w:rsidR="005A1247">
        <w:t> </w:t>
      </w:r>
      <w:r w:rsidRPr="00A04BE8">
        <w:t xml:space="preserve">veřejných zdrojů. </w:t>
      </w:r>
      <w:r w:rsidR="00925889">
        <w:t>V</w:t>
      </w:r>
      <w:r w:rsidR="00925889" w:rsidRPr="00925889">
        <w:t>edle toho by se měly připravit normy na homologizaci těchto souprav.</w:t>
      </w:r>
    </w:p>
    <w:p w14:paraId="2AA8267E" w14:textId="0BEC2A4B" w:rsidR="00BF514A" w:rsidRPr="00FD7A23" w:rsidRDefault="00A04BE8" w:rsidP="00A04BE8">
      <w:pPr>
        <w:jc w:val="both"/>
      </w:pPr>
      <w:r w:rsidRPr="00A04BE8">
        <w:t>Nákup a</w:t>
      </w:r>
      <w:r w:rsidR="005A1247">
        <w:t> </w:t>
      </w:r>
      <w:r w:rsidRPr="00A04BE8">
        <w:t>provoz drážních vozidel s</w:t>
      </w:r>
      <w:r w:rsidR="005A1247">
        <w:t> </w:t>
      </w:r>
      <w:r w:rsidRPr="00A04BE8">
        <w:t>alternativním pohonem bude zohledněn při zajištění objednávky dálkové osobní dopravy Ministerstvem dopravy a</w:t>
      </w:r>
      <w:r w:rsidR="005A1247">
        <w:t> </w:t>
      </w:r>
      <w:r w:rsidRPr="00A04BE8">
        <w:t>jeho zohlednění bude doporučeno jednotlivým krajům včetně možnosti zajištění příspěvku pro objednávku regionální osobní dopravy. V</w:t>
      </w:r>
      <w:r w:rsidR="005A1247">
        <w:t> </w:t>
      </w:r>
      <w:r w:rsidRPr="00A04BE8">
        <w:t>případě nákladní dopravy bude posouzena možnost zajištění spolufinancování části vícenákladů spojených se zajištěním čistého vozidla dopravci.</w:t>
      </w:r>
      <w:r w:rsidR="00BF514A" w:rsidRPr="00FD7A23">
        <w:t xml:space="preserve"> </w:t>
      </w:r>
    </w:p>
    <w:p w14:paraId="0FD97CA7" w14:textId="0F2E8645" w:rsidR="000A789F" w:rsidRDefault="0075681D" w:rsidP="00B502A0">
      <w:pPr>
        <w:pStyle w:val="Nadpis2"/>
      </w:pPr>
      <w:bookmarkStart w:id="72" w:name="_Toc34387151"/>
      <w:r>
        <w:t>Čistá mobilita v</w:t>
      </w:r>
      <w:r w:rsidR="005A1247">
        <w:t> </w:t>
      </w:r>
      <w:r>
        <w:t>letecké dopravě</w:t>
      </w:r>
      <w:bookmarkEnd w:id="72"/>
    </w:p>
    <w:p w14:paraId="258FD415" w14:textId="1B7766F0" w:rsidR="0075681D" w:rsidRDefault="0075681D" w:rsidP="00B502A0">
      <w:pPr>
        <w:jc w:val="both"/>
      </w:pPr>
      <w:r>
        <w:t>Nedílnou součástí jakéhokoliv moderního dopravního systému je letecká doprava. Na jedné straně umožňuje globální propojení a</w:t>
      </w:r>
      <w:r w:rsidR="005A1247">
        <w:t> </w:t>
      </w:r>
      <w:r>
        <w:t>mnoha způsoby podporuje hospodářský růst. Na druhou stranu představuje rostoucí problém z</w:t>
      </w:r>
      <w:r w:rsidR="005A1247">
        <w:t> </w:t>
      </w:r>
      <w:r>
        <w:t>hlediska plnění klimatických cílů. Letecká doprava je odpovědná za 2-3 % celosvětových emisí skleníkových plynů a</w:t>
      </w:r>
      <w:r w:rsidR="005A1247">
        <w:t> </w:t>
      </w:r>
      <w:r>
        <w:t>za 3,6 % emisí EU, přičemž představuje 13,4 % emisí CO</w:t>
      </w:r>
      <w:r w:rsidRPr="00B502A0">
        <w:rPr>
          <w:vertAlign w:val="subscript"/>
        </w:rPr>
        <w:t>2</w:t>
      </w:r>
      <w:r>
        <w:t xml:space="preserve"> z</w:t>
      </w:r>
      <w:r w:rsidR="005A1247">
        <w:t> </w:t>
      </w:r>
      <w:r>
        <w:t>dopravy. S</w:t>
      </w:r>
      <w:r w:rsidR="005A1247">
        <w:t> </w:t>
      </w:r>
      <w:r>
        <w:t>ohledem na nedávnou zprávu Mezivládního panelu pro změnu klimatu (IPCC) je nezbytné, aby se v</w:t>
      </w:r>
      <w:r w:rsidR="005A1247">
        <w:t> </w:t>
      </w:r>
      <w:r>
        <w:t>rámci letecké dopravy začaly stabilizovat emise a</w:t>
      </w:r>
      <w:r w:rsidR="005A1247">
        <w:t> </w:t>
      </w:r>
      <w:r>
        <w:t>byla zahájena opatření k</w:t>
      </w:r>
      <w:r w:rsidR="005A1247">
        <w:t> </w:t>
      </w:r>
      <w:r>
        <w:t>jejich snížení.</w:t>
      </w:r>
    </w:p>
    <w:p w14:paraId="19C7F310" w14:textId="06C9CCF6" w:rsidR="0075681D" w:rsidRDefault="0075681D" w:rsidP="00B502A0">
      <w:pPr>
        <w:jc w:val="both"/>
      </w:pPr>
      <w:r>
        <w:t>V oblasti řešení vlivu letectví na změnu klimatu bylo v</w:t>
      </w:r>
      <w:r w:rsidR="005A1247">
        <w:t> </w:t>
      </w:r>
      <w:r>
        <w:t>roce 2016 dosaženo v</w:t>
      </w:r>
      <w:r w:rsidR="005A1247">
        <w:t> </w:t>
      </w:r>
      <w:r>
        <w:t>rámci Mezinárodní organizace pro civilní letectví (ICAO) dohody o</w:t>
      </w:r>
      <w:r w:rsidR="005A1247">
        <w:t> </w:t>
      </w:r>
      <w:r>
        <w:t>vytvoření globálního tržního nástroje ke snižování emisí skleníkových plynů z</w:t>
      </w:r>
      <w:r w:rsidR="005A1247">
        <w:t> </w:t>
      </w:r>
      <w:r>
        <w:t>mezinárodní letecké dopravy, a</w:t>
      </w:r>
      <w:r w:rsidR="005A1247">
        <w:t> </w:t>
      </w:r>
      <w:r>
        <w:t>to ve formě „Carbon Offsetting and Reduction Scheme for International Aviation (CORSIA)“. Prostřednictvím tohoto nástroje budou regulovány emise CO</w:t>
      </w:r>
      <w:r w:rsidRPr="00B502A0">
        <w:rPr>
          <w:vertAlign w:val="subscript"/>
        </w:rPr>
        <w:t>2</w:t>
      </w:r>
      <w:r>
        <w:t xml:space="preserve"> z</w:t>
      </w:r>
      <w:r w:rsidR="005A1247">
        <w:t> </w:t>
      </w:r>
      <w:r>
        <w:t>mezinárodní letecké dopravy nad úrovní emisí roku 2020 za účelem dosažení cíle uhlíkové neutrality od roku 2020. Systém je prvním svého druhu v</w:t>
      </w:r>
      <w:r w:rsidR="005A1247">
        <w:t> </w:t>
      </w:r>
      <w:r>
        <w:t>oblasti dopravy, vychází z</w:t>
      </w:r>
      <w:r w:rsidR="005A1247">
        <w:t> </w:t>
      </w:r>
      <w:r>
        <w:t>referenční úrovně emisí v</w:t>
      </w:r>
      <w:r w:rsidR="005A1247">
        <w:t> </w:t>
      </w:r>
      <w:r>
        <w:t>mezinárodní letecké dopravě pro rok 2020, jakož i</w:t>
      </w:r>
      <w:r w:rsidR="005A1247">
        <w:t> </w:t>
      </w:r>
      <w:r>
        <w:t>principu nediskriminace provozovatelů na stejných tratích, tedy bez rozdílu, zda se jedná o</w:t>
      </w:r>
      <w:r w:rsidR="005A1247">
        <w:t> </w:t>
      </w:r>
      <w:r>
        <w:t>dopravce z</w:t>
      </w:r>
      <w:r w:rsidR="005A1247">
        <w:t> </w:t>
      </w:r>
      <w:r>
        <w:t>rozvojové nebo z</w:t>
      </w:r>
      <w:r w:rsidR="005A1247">
        <w:t> </w:t>
      </w:r>
      <w:r>
        <w:t>vyspělé země.</w:t>
      </w:r>
    </w:p>
    <w:p w14:paraId="26C46097" w14:textId="7F946F35" w:rsidR="0075681D" w:rsidRDefault="0075681D" w:rsidP="00B502A0">
      <w:pPr>
        <w:jc w:val="both"/>
      </w:pPr>
      <w:r>
        <w:t>Od roku 2012 byl o</w:t>
      </w:r>
      <w:r w:rsidR="005A1247">
        <w:t> </w:t>
      </w:r>
      <w:r>
        <w:t>sektor civilního letectví rozšířen také Evropský systém obchodování s</w:t>
      </w:r>
      <w:r w:rsidR="005A1247">
        <w:t> </w:t>
      </w:r>
      <w:r>
        <w:t xml:space="preserve">emisemi skleníkových plynů (EU ETS). Letecká doprava je tedy jediným druhem dopravy, který je zahrnut do působnosti tržního nástroje pro regulaci emisí. </w:t>
      </w:r>
    </w:p>
    <w:p w14:paraId="56BA4809" w14:textId="6C20B647" w:rsidR="0075681D" w:rsidRDefault="0075681D" w:rsidP="00B502A0">
      <w:pPr>
        <w:jc w:val="both"/>
      </w:pPr>
      <w:r>
        <w:lastRenderedPageBreak/>
        <w:t>Transpozice směrnice do českého právního řádu je realizována prostřednictvím zákona č.</w:t>
      </w:r>
      <w:r w:rsidR="00AA3E2A">
        <w:t> </w:t>
      </w:r>
      <w:r>
        <w:t>383/2012 Sb., o</w:t>
      </w:r>
      <w:r w:rsidR="005A1247">
        <w:t> </w:t>
      </w:r>
      <w:r>
        <w:t>podmínkách obchodování s</w:t>
      </w:r>
      <w:r w:rsidR="005A1247">
        <w:t> </w:t>
      </w:r>
      <w:r>
        <w:t>povolenkami na emise skleníkových plynů. Systém EU ETS je tržním nástrojem pro regulaci emisí skleníkových plynů ze sektoru civilního letectví, jsou do něj zařazeni provozovatelé letadel přistávající nebo vzlétající na/z letišť některého z</w:t>
      </w:r>
      <w:r w:rsidR="005A1247">
        <w:t> </w:t>
      </w:r>
      <w:r>
        <w:t>členských států EU, Norska, Islandu a</w:t>
      </w:r>
      <w:r w:rsidR="005A1247">
        <w:t> </w:t>
      </w:r>
      <w:r>
        <w:t>Lichtenštejnska. Provozovatel letadla zařazený do EU ETS má povinnost každoročně zjišťovat a</w:t>
      </w:r>
      <w:r w:rsidR="005A1247">
        <w:t> </w:t>
      </w:r>
      <w:r>
        <w:t>vykazovat emise CO</w:t>
      </w:r>
      <w:r w:rsidRPr="00B502A0">
        <w:rPr>
          <w:vertAlign w:val="subscript"/>
        </w:rPr>
        <w:t>2</w:t>
      </w:r>
      <w:r>
        <w:t xml:space="preserve"> vyprodukované během kalendářního roku. V</w:t>
      </w:r>
      <w:r w:rsidR="005A1247">
        <w:t> </w:t>
      </w:r>
      <w:r>
        <w:t>obchodovacím období 2013 – 2020 jsou emise skleníkových plynů zastřešeny na úrovni 95 % historických emisí. Z</w:t>
      </w:r>
      <w:r w:rsidR="005A1247">
        <w:t> </w:t>
      </w:r>
      <w:r>
        <w:t>tohoto emisního stropu je mezi provozovatele letadel, na základě směrných čísel (benchmark), rozděleno 82 % emisních povolenek zdarma. Dalších 15 % emisních povolenek je nabízeno provozovatelům letadel formou dražeb na primárních uhlíkových trzích a</w:t>
      </w:r>
      <w:r w:rsidR="005A1247">
        <w:t> </w:t>
      </w:r>
      <w:r>
        <w:t>zbývající 3 % emisních povolenek tvoří rezervu pro nové a</w:t>
      </w:r>
      <w:r w:rsidR="005A1247">
        <w:t> </w:t>
      </w:r>
      <w:r>
        <w:t>rychle rostoucí dopravce. Od roku 2021 bude pro leteckou dopravu poprvé platit stejný lineární redukční koeficient jako pro zařízení, a</w:t>
      </w:r>
      <w:r w:rsidR="005A1247">
        <w:t> </w:t>
      </w:r>
      <w:r>
        <w:t>emisní strop povolenek pro letectví se tak bude ročně snižovat o</w:t>
      </w:r>
      <w:r w:rsidR="005A1247">
        <w:t> </w:t>
      </w:r>
      <w:r>
        <w:t>2,2 %. S</w:t>
      </w:r>
      <w:r w:rsidR="005A1247">
        <w:t> </w:t>
      </w:r>
      <w:r>
        <w:t>cílem zachovat dosavadní dynamiku mezinárodního procesu zavedení celosvětového systému pro snižování emisí v</w:t>
      </w:r>
      <w:r w:rsidR="005A1247">
        <w:t> </w:t>
      </w:r>
      <w:r>
        <w:t>oblasti letecké dopravy a</w:t>
      </w:r>
      <w:r w:rsidR="005A1247">
        <w:t> </w:t>
      </w:r>
      <w:r>
        <w:t>usnadnit jeho budoucí provádění v</w:t>
      </w:r>
      <w:r w:rsidR="005A1247">
        <w:t> </w:t>
      </w:r>
      <w:r>
        <w:t>EU byla oblast působnosti v</w:t>
      </w:r>
      <w:r w:rsidR="005A1247">
        <w:t> </w:t>
      </w:r>
      <w:r>
        <w:t xml:space="preserve">letecké dopravě zahrnující pouze lety uvnitř Evropského hospodářského prostoru prodloužena do roku 2023. </w:t>
      </w:r>
    </w:p>
    <w:p w14:paraId="436A708A" w14:textId="052607F2" w:rsidR="0075681D" w:rsidRDefault="0075681D" w:rsidP="00B502A0">
      <w:pPr>
        <w:jc w:val="both"/>
      </w:pPr>
      <w:r>
        <w:t>Další významnou iniciativou pro snižování emisí CO</w:t>
      </w:r>
      <w:r w:rsidRPr="00B502A0">
        <w:rPr>
          <w:vertAlign w:val="subscript"/>
        </w:rPr>
        <w:t>2</w:t>
      </w:r>
      <w:r>
        <w:t xml:space="preserve"> v</w:t>
      </w:r>
      <w:r w:rsidR="005A1247">
        <w:t> </w:t>
      </w:r>
      <w:r>
        <w:t>letecké dopravě je snaha zlepšit uspořádání leteckého provozu a</w:t>
      </w:r>
      <w:r w:rsidR="005A1247">
        <w:t> </w:t>
      </w:r>
      <w:r>
        <w:t>snížit tím emise způsobené neefektivním létáním. Evropská Komise zřídila skupinu odborníků zaměřenou na budoucnost Jednotného evropského nebe (Single European Sky – SES), která má vypracovat doporučení s</w:t>
      </w:r>
      <w:r w:rsidR="005A1247">
        <w:t> </w:t>
      </w:r>
      <w:r>
        <w:t>cílem zajistit větší výkonnost a</w:t>
      </w:r>
      <w:r w:rsidR="005A1247">
        <w:t> </w:t>
      </w:r>
      <w:r>
        <w:t>lepší služby a</w:t>
      </w:r>
      <w:r w:rsidR="005A1247">
        <w:t> </w:t>
      </w:r>
      <w:r>
        <w:t>současně zohlednit nepřetržitý růst objemu letecké dopravy. Cílem by mělo být dohodnout se na společných řešeních a</w:t>
      </w:r>
      <w:r w:rsidR="005A1247">
        <w:t> </w:t>
      </w:r>
      <w:r>
        <w:t>spolupracovat na aktualizaci a</w:t>
      </w:r>
      <w:r w:rsidR="005A1247">
        <w:t> </w:t>
      </w:r>
      <w:r>
        <w:t>modernizaci legislativního rámce týkajícího se Jednotného evropského nebe.</w:t>
      </w:r>
    </w:p>
    <w:p w14:paraId="656C2DDB" w14:textId="2F5955B7" w:rsidR="0075681D" w:rsidRDefault="0075681D" w:rsidP="00B502A0">
      <w:pPr>
        <w:jc w:val="both"/>
      </w:pPr>
      <w:r>
        <w:t>Energetickou účinnost v</w:t>
      </w:r>
      <w:r w:rsidR="005A1247">
        <w:t> </w:t>
      </w:r>
      <w:r>
        <w:t>letecké dopravě již značně zvýšily nové technologie a</w:t>
      </w:r>
      <w:r w:rsidR="005A1247">
        <w:t> </w:t>
      </w:r>
      <w:r>
        <w:t>provozní zdokonalení letadel, elektrifikace zařízení pozemní podpory a</w:t>
      </w:r>
      <w:r w:rsidR="005A1247">
        <w:t> </w:t>
      </w:r>
      <w:r>
        <w:t>zlepšení v</w:t>
      </w:r>
      <w:r w:rsidR="005A1247">
        <w:t> </w:t>
      </w:r>
      <w:r>
        <w:t>uspořádání leteckého provozu. Současné a</w:t>
      </w:r>
      <w:r w:rsidR="005A1247">
        <w:t> </w:t>
      </w:r>
      <w:r>
        <w:t>budoucí projekty EU v</w:t>
      </w:r>
      <w:r w:rsidR="005A1247">
        <w:t> </w:t>
      </w:r>
      <w:r>
        <w:t>oblasti výzkumu a</w:t>
      </w:r>
      <w:r w:rsidR="005A1247">
        <w:t> </w:t>
      </w:r>
      <w:r>
        <w:t>inovací vytvoří základ pro provozní a</w:t>
      </w:r>
      <w:r w:rsidR="005A1247">
        <w:t> </w:t>
      </w:r>
      <w:r>
        <w:t>technologická řešení budoucnosti. Probíhající práce týkající se elektrifikace letecké dopravy, a</w:t>
      </w:r>
      <w:r w:rsidR="005A1247">
        <w:t> </w:t>
      </w:r>
      <w:r>
        <w:t>to zejména pro destinace v</w:t>
      </w:r>
      <w:r w:rsidR="005A1247">
        <w:t> </w:t>
      </w:r>
      <w:r>
        <w:t>krátké a</w:t>
      </w:r>
      <w:r w:rsidR="005A1247">
        <w:t> </w:t>
      </w:r>
      <w:r>
        <w:t>střední vzdálenosti, a</w:t>
      </w:r>
      <w:r w:rsidR="005A1247">
        <w:t> </w:t>
      </w:r>
      <w:r>
        <w:t>vývoj hybridních letadel však budou trvat ještě desítky let. Za zvážení tak stojí unijní a</w:t>
      </w:r>
      <w:r w:rsidR="005A1247">
        <w:t> </w:t>
      </w:r>
      <w:r>
        <w:t>vnitrostátní opatření na podporu výroby a</w:t>
      </w:r>
      <w:r w:rsidR="005A1247">
        <w:t> </w:t>
      </w:r>
      <w:r>
        <w:t>využívání udržitelných leteckých paliv, která jsou jedním z</w:t>
      </w:r>
      <w:r w:rsidR="005A1247">
        <w:t> </w:t>
      </w:r>
      <w:r>
        <w:t>nejúčinnějších opatření ke snížení emisí, přestože dostupnost alternativních paliv je v</w:t>
      </w:r>
      <w:r w:rsidR="005A1247">
        <w:t> </w:t>
      </w:r>
      <w:r>
        <w:t>současnosti omezená.</w:t>
      </w:r>
    </w:p>
    <w:p w14:paraId="02280E98" w14:textId="6EF0EBA0" w:rsidR="0075681D" w:rsidRDefault="0075681D" w:rsidP="00B502A0">
      <w:pPr>
        <w:jc w:val="both"/>
      </w:pPr>
      <w:r>
        <w:t xml:space="preserve">Z čl. 3 směrnice 2014/94/EU vyplývá na členské státy požadavek zvážit </w:t>
      </w:r>
      <w:r w:rsidR="00CE7666">
        <w:t>potřebu nainstalovat dodávku elektrického</w:t>
      </w:r>
      <w:r>
        <w:t xml:space="preserve"> proudu na letištích pro stojící letadla. V</w:t>
      </w:r>
      <w:r w:rsidR="005A1247">
        <w:t> </w:t>
      </w:r>
      <w:r>
        <w:t>podmínkách ČR je relevantní tuto záležitost zanalyzovat primárně ve vztahu k</w:t>
      </w:r>
      <w:r w:rsidR="005A1247">
        <w:t> </w:t>
      </w:r>
      <w:r>
        <w:t>Letišti Václava Havla Praha, které jako jediné v</w:t>
      </w:r>
      <w:r w:rsidR="005A1247">
        <w:t> </w:t>
      </w:r>
      <w:r>
        <w:t>ČR spadá z</w:t>
      </w:r>
      <w:r w:rsidR="005A1247">
        <w:t> </w:t>
      </w:r>
      <w:r>
        <w:t>pohledu legislativy EU do kategorie tzv. „velkých letišť“. V</w:t>
      </w:r>
      <w:r w:rsidR="005A1247">
        <w:t> </w:t>
      </w:r>
      <w:r>
        <w:t>současnosti je na tomto l</w:t>
      </w:r>
      <w:r w:rsidR="00CE7666">
        <w:t>etišti vybaveno připojením k</w:t>
      </w:r>
      <w:r w:rsidR="005A1247">
        <w:t> </w:t>
      </w:r>
      <w:r w:rsidR="00CE7666">
        <w:t>elektrické</w:t>
      </w:r>
      <w:r>
        <w:t xml:space="preserve"> energii (400 Hz) všech 31 kontaktních stání (stání obsluhována nástupními mosty) a</w:t>
      </w:r>
      <w:r w:rsidR="005A1247">
        <w:t> </w:t>
      </w:r>
      <w:r>
        <w:t>stejně tak bude vybaveno každé nově zbudované kontaktní stání. Vzdálen</w:t>
      </w:r>
      <w:r w:rsidR="00CE7666">
        <w:t>á stání stabilním připojením elektrické</w:t>
      </w:r>
      <w:r>
        <w:t xml:space="preserve"> energie nedisponují a</w:t>
      </w:r>
      <w:r w:rsidR="005A1247">
        <w:t> </w:t>
      </w:r>
      <w:r>
        <w:t>ani se o</w:t>
      </w:r>
      <w:r w:rsidR="005A1247">
        <w:t> </w:t>
      </w:r>
      <w:r>
        <w:t>jeho rozvodu neuvažuje. Handlingové společnosti však mají k</w:t>
      </w:r>
      <w:r w:rsidR="005A1247">
        <w:t> </w:t>
      </w:r>
      <w:r>
        <w:t>dispozici mobilní pozemní zdroje elektrické energie (GPU), ke kterým se mohou připojit letadla stojící i</w:t>
      </w:r>
      <w:r w:rsidR="005A1247">
        <w:t> </w:t>
      </w:r>
      <w:r>
        <w:t>na vzdálených stáních. Využívání el</w:t>
      </w:r>
      <w:r w:rsidR="00CE7666">
        <w:t>ektrické</w:t>
      </w:r>
      <w:r>
        <w:t xml:space="preserve"> energie, jako alternativního paliva pro letadla stojící na Letišti Václava Havla Praha, je přímo vyžadováno ustanoveními v</w:t>
      </w:r>
      <w:r w:rsidR="005A1247">
        <w:t> </w:t>
      </w:r>
      <w:r>
        <w:t>Letecké informační příručce (AIP ČR), která omezují použití záložní energetické jednotky letadla (APU), jež spaluje letecké pohonné hmoty. Nejpozději 5 min po zastavení letadla na stání, musí být k</w:t>
      </w:r>
      <w:r w:rsidR="005A1247">
        <w:t> </w:t>
      </w:r>
      <w:r>
        <w:t>letadlu připojen vnější zdroj napájení a</w:t>
      </w:r>
      <w:r w:rsidR="005A1247">
        <w:t> </w:t>
      </w:r>
      <w:r>
        <w:t xml:space="preserve">vypnuta jednotka APU. Spuštění APU je povoleno nejdéle 20 min před předpokládaným časem odletu (ETD). </w:t>
      </w:r>
    </w:p>
    <w:p w14:paraId="55C47D23" w14:textId="1F483621" w:rsidR="0075681D" w:rsidRDefault="0075681D" w:rsidP="00B502A0">
      <w:pPr>
        <w:jc w:val="both"/>
      </w:pPr>
      <w:r>
        <w:t>Další mezinárodní letiště zahrnutá do hlavní, případně globální sítě TEN-T, tj. letiště Ostrava/Mošnov a</w:t>
      </w:r>
      <w:r w:rsidR="005A1247">
        <w:t> </w:t>
      </w:r>
      <w:r>
        <w:t>Brno/Tuřany vyb</w:t>
      </w:r>
      <w:r w:rsidR="00CE7666">
        <w:t>avena stabilním připojením k</w:t>
      </w:r>
      <w:r w:rsidR="005A1247">
        <w:t> </w:t>
      </w:r>
      <w:r w:rsidR="00CE7666">
        <w:t>elektrické</w:t>
      </w:r>
      <w:r>
        <w:t xml:space="preserve"> energii nejsou, resp. nedisponují kontaktním stáním, nicméně i</w:t>
      </w:r>
      <w:r w:rsidR="005A1247">
        <w:t> </w:t>
      </w:r>
      <w:r>
        <w:t xml:space="preserve">zde platí stejný požadavek na omezení APU, </w:t>
      </w:r>
      <w:r>
        <w:lastRenderedPageBreak/>
        <w:t>místo kterých se používají mobilní GPU.</w:t>
      </w:r>
      <w:r w:rsidR="00DD4D5A" w:rsidRPr="00DD4D5A">
        <w:rPr>
          <w:bCs/>
          <w:szCs w:val="22"/>
        </w:rPr>
        <w:t xml:space="preserve"> </w:t>
      </w:r>
      <w:r w:rsidR="00DD4D5A" w:rsidRPr="00823214">
        <w:rPr>
          <w:bCs/>
          <w:szCs w:val="22"/>
        </w:rPr>
        <w:t>Česká republika v</w:t>
      </w:r>
      <w:r w:rsidR="005A1247">
        <w:rPr>
          <w:bCs/>
          <w:szCs w:val="22"/>
        </w:rPr>
        <w:t> </w:t>
      </w:r>
      <w:r w:rsidR="00DD4D5A" w:rsidRPr="00823214">
        <w:rPr>
          <w:bCs/>
          <w:szCs w:val="22"/>
        </w:rPr>
        <w:t>tomto ohledu podporuje koordinovaný přístup EU k</w:t>
      </w:r>
      <w:r w:rsidR="005A1247">
        <w:rPr>
          <w:bCs/>
          <w:szCs w:val="22"/>
        </w:rPr>
        <w:t> </w:t>
      </w:r>
      <w:r w:rsidR="00DD4D5A" w:rsidRPr="00823214">
        <w:rPr>
          <w:bCs/>
          <w:szCs w:val="22"/>
        </w:rPr>
        <w:t>určité míře zdanění leteckého paliva, který by neohrozil konkurenceschopnost dotčených sektorů, a</w:t>
      </w:r>
      <w:r w:rsidR="005A1247">
        <w:rPr>
          <w:bCs/>
          <w:szCs w:val="22"/>
        </w:rPr>
        <w:t> </w:t>
      </w:r>
      <w:r w:rsidR="00DD4D5A" w:rsidRPr="00823214">
        <w:rPr>
          <w:bCs/>
          <w:szCs w:val="22"/>
        </w:rPr>
        <w:t>to například v</w:t>
      </w:r>
      <w:r w:rsidR="005A1247">
        <w:rPr>
          <w:bCs/>
          <w:szCs w:val="22"/>
        </w:rPr>
        <w:t> </w:t>
      </w:r>
      <w:r w:rsidR="00DD4D5A" w:rsidRPr="00823214">
        <w:rPr>
          <w:bCs/>
          <w:szCs w:val="22"/>
        </w:rPr>
        <w:t>rámci připravované revize směrnice 2003/96/ES, kterou se mění struktura rámcových předpisů Společenství o</w:t>
      </w:r>
      <w:r w:rsidR="005A1247">
        <w:rPr>
          <w:bCs/>
          <w:szCs w:val="22"/>
        </w:rPr>
        <w:t> </w:t>
      </w:r>
      <w:r w:rsidR="00DD4D5A" w:rsidRPr="00823214">
        <w:rPr>
          <w:bCs/>
          <w:szCs w:val="22"/>
        </w:rPr>
        <w:t>zdanění energetických produktů a</w:t>
      </w:r>
      <w:r w:rsidR="005A1247">
        <w:rPr>
          <w:bCs/>
          <w:szCs w:val="22"/>
        </w:rPr>
        <w:t> </w:t>
      </w:r>
      <w:r w:rsidR="00DD4D5A" w:rsidRPr="00823214">
        <w:rPr>
          <w:bCs/>
          <w:szCs w:val="22"/>
        </w:rPr>
        <w:t>elektřiny. Důvodem je dlouhodobý cíl České republiky revidovat daňové výjimky tak, aby byl daňový systém maximálně transparentní a</w:t>
      </w:r>
      <w:r w:rsidR="005A1247">
        <w:rPr>
          <w:bCs/>
          <w:szCs w:val="22"/>
        </w:rPr>
        <w:t> </w:t>
      </w:r>
      <w:r w:rsidR="00DD4D5A" w:rsidRPr="00823214">
        <w:rPr>
          <w:bCs/>
          <w:szCs w:val="22"/>
        </w:rPr>
        <w:t>rovněž funkce spotřebních daní, které mají mimo jiné zohledňovat negativní externality.</w:t>
      </w:r>
    </w:p>
    <w:p w14:paraId="6E019017" w14:textId="0F3BDF64" w:rsidR="0075681D" w:rsidRPr="00B502A0" w:rsidRDefault="0075681D" w:rsidP="009B26B6">
      <w:pPr>
        <w:jc w:val="both"/>
      </w:pPr>
      <w:r>
        <w:t>Evropské ambice v</w:t>
      </w:r>
      <w:r w:rsidR="005A1247">
        <w:t> </w:t>
      </w:r>
      <w:r>
        <w:t>oblasti klimatu byly zohledněny i</w:t>
      </w:r>
      <w:r w:rsidR="005A1247">
        <w:t> </w:t>
      </w:r>
      <w:r>
        <w:t>při nedávných diskusích v</w:t>
      </w:r>
      <w:r w:rsidR="005A1247">
        <w:t> </w:t>
      </w:r>
      <w:r>
        <w:t>rámci EU o</w:t>
      </w:r>
      <w:r w:rsidR="005A1247">
        <w:t> </w:t>
      </w:r>
      <w:r>
        <w:t>zdanění letů a</w:t>
      </w:r>
      <w:r w:rsidR="005A1247">
        <w:t> </w:t>
      </w:r>
      <w:r>
        <w:t>leteckých paliv, jejichž cílem bylo zajistit rovné podmínky pro všechny druhy dopravy. Fosilní letecká paliva prozatím nejsou při letech v</w:t>
      </w:r>
      <w:r w:rsidR="005A1247">
        <w:t> </w:t>
      </w:r>
      <w:r>
        <w:t>rámci EU ani mezinárodních letech předmětem zdanění. Některé členské státy uplatňují v</w:t>
      </w:r>
      <w:r w:rsidR="005A1247">
        <w:t> </w:t>
      </w:r>
      <w:r>
        <w:t>letecké dopravě daně odvozené od počtu cestujících. Jiné uvažují o</w:t>
      </w:r>
      <w:r w:rsidR="005A1247">
        <w:t> </w:t>
      </w:r>
      <w:r>
        <w:t>zdanění letecké dopravy formou daně z</w:t>
      </w:r>
      <w:r w:rsidR="005A1247">
        <w:t> </w:t>
      </w:r>
      <w:r>
        <w:t xml:space="preserve">letenky. </w:t>
      </w:r>
      <w:r w:rsidRPr="00B502A0">
        <w:rPr>
          <w:b/>
        </w:rPr>
        <w:t>Letecká doprava je však průmyslovým odvětvím globálního významu. S</w:t>
      </w:r>
      <w:r w:rsidR="005A1247">
        <w:rPr>
          <w:b/>
        </w:rPr>
        <w:t> </w:t>
      </w:r>
      <w:r w:rsidRPr="00B502A0">
        <w:rPr>
          <w:b/>
        </w:rPr>
        <w:t>ohledem na konkurenceschopnost jsou proto z</w:t>
      </w:r>
      <w:r w:rsidR="005A1247">
        <w:rPr>
          <w:b/>
        </w:rPr>
        <w:t> </w:t>
      </w:r>
      <w:r w:rsidRPr="00B502A0">
        <w:rPr>
          <w:b/>
        </w:rPr>
        <w:t>pohledu ČR třeba globální řešení.</w:t>
      </w:r>
    </w:p>
    <w:p w14:paraId="4D01B42C" w14:textId="77777777" w:rsidR="00603F6E" w:rsidRDefault="00603F6E" w:rsidP="009A3B7E">
      <w:pPr>
        <w:spacing w:before="0" w:after="200" w:line="276" w:lineRule="auto"/>
        <w:jc w:val="both"/>
        <w:rPr>
          <w:rFonts w:cs="Arial"/>
          <w:b/>
          <w:bCs/>
          <w:kern w:val="32"/>
          <w:sz w:val="28"/>
          <w:szCs w:val="32"/>
        </w:rPr>
      </w:pPr>
      <w:r>
        <w:br w:type="page"/>
      </w:r>
    </w:p>
    <w:p w14:paraId="5569D287" w14:textId="1D6E7CC4" w:rsidR="000A789F" w:rsidRDefault="000A789F" w:rsidP="009A3B7E">
      <w:pPr>
        <w:pStyle w:val="Nadpis1"/>
        <w:jc w:val="both"/>
      </w:pPr>
      <w:bookmarkStart w:id="73" w:name="_Toc34387152"/>
      <w:r>
        <w:lastRenderedPageBreak/>
        <w:t>Souhrnný přehled karet opatření a</w:t>
      </w:r>
      <w:r w:rsidR="005A1247">
        <w:t> </w:t>
      </w:r>
      <w:r>
        <w:t>jejich harmonogram</w:t>
      </w:r>
      <w:bookmarkEnd w:id="73"/>
    </w:p>
    <w:p w14:paraId="57BE5703" w14:textId="741DD229" w:rsidR="00A02531" w:rsidRDefault="00A02531" w:rsidP="009A3B7E">
      <w:pPr>
        <w:jc w:val="both"/>
      </w:pPr>
      <w:r w:rsidRPr="00A02531">
        <w:t xml:space="preserve">Následující </w:t>
      </w:r>
      <w:r>
        <w:t xml:space="preserve">stránky </w:t>
      </w:r>
      <w:r w:rsidRPr="00A02531">
        <w:t>nastiňuj</w:t>
      </w:r>
      <w:r>
        <w:t>í</w:t>
      </w:r>
      <w:r w:rsidRPr="00A02531">
        <w:t xml:space="preserve"> celkový přehled opatření</w:t>
      </w:r>
      <w:r w:rsidR="00CC1937">
        <w:rPr>
          <w:rStyle w:val="Znakapoznpodarou"/>
        </w:rPr>
        <w:footnoteReference w:id="13"/>
      </w:r>
      <w:r w:rsidRPr="00A02531">
        <w:t>. Písmeno v</w:t>
      </w:r>
      <w:r w:rsidR="005A1247">
        <w:t> </w:t>
      </w:r>
      <w:r w:rsidRPr="00A02531">
        <w:t>čísle opatření určuje, zdali se jedná o</w:t>
      </w:r>
      <w:r w:rsidR="005A1247">
        <w:t> </w:t>
      </w:r>
      <w:r w:rsidRPr="00A02531">
        <w:rPr>
          <w:b/>
        </w:rPr>
        <w:t>S</w:t>
      </w:r>
      <w:r w:rsidRPr="00A02531">
        <w:t xml:space="preserve">polečná, </w:t>
      </w:r>
      <w:r w:rsidRPr="00A02531">
        <w:rPr>
          <w:b/>
        </w:rPr>
        <w:t>E</w:t>
      </w:r>
      <w:r w:rsidRPr="00A02531">
        <w:t xml:space="preserve">lektro, </w:t>
      </w:r>
      <w:r w:rsidRPr="00A02531">
        <w:rPr>
          <w:b/>
        </w:rPr>
        <w:t>P</w:t>
      </w:r>
      <w:r w:rsidRPr="00A02531">
        <w:t xml:space="preserve">lynárenská nebo </w:t>
      </w:r>
      <w:r w:rsidRPr="00A02531">
        <w:rPr>
          <w:b/>
        </w:rPr>
        <w:t>V</w:t>
      </w:r>
      <w:r w:rsidRPr="00A02531">
        <w:t>odíková opatření. U</w:t>
      </w:r>
      <w:r w:rsidR="005A1247">
        <w:t> </w:t>
      </w:r>
      <w:r w:rsidRPr="00A02531">
        <w:t>každého opatření je uveden druh, odpovědnost a</w:t>
      </w:r>
      <w:r w:rsidR="005A1247">
        <w:t> </w:t>
      </w:r>
      <w:r w:rsidRPr="00A02531">
        <w:t>harmonogram. Konkrétní zaměření a</w:t>
      </w:r>
      <w:r w:rsidR="005A1247">
        <w:t> </w:t>
      </w:r>
      <w:r w:rsidRPr="00A02531">
        <w:t>další informace k</w:t>
      </w:r>
      <w:r w:rsidR="005A1247">
        <w:t> </w:t>
      </w:r>
      <w:r w:rsidRPr="00A02531">
        <w:t>jednotlivým opatřením jsou uvedeny dále.</w:t>
      </w:r>
    </w:p>
    <w:p w14:paraId="3C1D035A" w14:textId="16F0BA29" w:rsidR="00353568" w:rsidRDefault="00575DF0" w:rsidP="009A3B7E">
      <w:pPr>
        <w:jc w:val="both"/>
      </w:pPr>
      <w:r>
        <w:t xml:space="preserve">Následující </w:t>
      </w:r>
      <w:r w:rsidR="00A02531">
        <w:t xml:space="preserve">celkový </w:t>
      </w:r>
      <w:r>
        <w:t>přehled karet opatření a</w:t>
      </w:r>
      <w:r w:rsidR="005A1247">
        <w:t> </w:t>
      </w:r>
      <w:r>
        <w:t xml:space="preserve">jejich harmonogram </w:t>
      </w:r>
      <w:r w:rsidR="00A8181B">
        <w:t xml:space="preserve">je dále </w:t>
      </w:r>
      <w:r>
        <w:t>v</w:t>
      </w:r>
      <w:r w:rsidR="005A1247">
        <w:t> </w:t>
      </w:r>
      <w:r>
        <w:t>členění na</w:t>
      </w:r>
      <w:r w:rsidR="00A8181B">
        <w:t xml:space="preserve"> kategorie</w:t>
      </w:r>
      <w:r>
        <w:t>:</w:t>
      </w:r>
    </w:p>
    <w:p w14:paraId="401677CD" w14:textId="77777777" w:rsidR="00575DF0" w:rsidRPr="00D5678F" w:rsidRDefault="00575DF0" w:rsidP="009A3B7E">
      <w:pPr>
        <w:pStyle w:val="Odrka1"/>
        <w:jc w:val="both"/>
      </w:pPr>
      <w:r>
        <w:t>Právní/legislativní</w:t>
      </w:r>
      <w:r w:rsidRPr="00D5678F">
        <w:t xml:space="preserve"> </w:t>
      </w:r>
    </w:p>
    <w:p w14:paraId="38FEC0B9" w14:textId="42C448BD" w:rsidR="00575DF0" w:rsidRPr="00D5678F" w:rsidRDefault="00575DF0" w:rsidP="009A3B7E">
      <w:pPr>
        <w:pStyle w:val="Odrka1"/>
        <w:jc w:val="both"/>
      </w:pPr>
      <w:r w:rsidRPr="00D5678F">
        <w:t>Přímé pobídky k</w:t>
      </w:r>
      <w:r w:rsidR="005A1247">
        <w:t> </w:t>
      </w:r>
      <w:r w:rsidRPr="00D5678F">
        <w:t>nákupu vozidel</w:t>
      </w:r>
    </w:p>
    <w:p w14:paraId="20345D77" w14:textId="242C154D" w:rsidR="00575DF0" w:rsidRPr="00D5678F" w:rsidRDefault="00575DF0" w:rsidP="009A3B7E">
      <w:pPr>
        <w:pStyle w:val="Odrka1"/>
        <w:jc w:val="both"/>
      </w:pPr>
      <w:r w:rsidRPr="00D5678F">
        <w:t>Přímé pobídky k</w:t>
      </w:r>
      <w:r w:rsidR="005A1247">
        <w:t> </w:t>
      </w:r>
      <w:r w:rsidRPr="00D5678F">
        <w:t>budování infrastruktury</w:t>
      </w:r>
      <w:r>
        <w:t xml:space="preserve"> pro alternativní paliva</w:t>
      </w:r>
      <w:r w:rsidRPr="00D5678F">
        <w:t xml:space="preserve"> </w:t>
      </w:r>
    </w:p>
    <w:p w14:paraId="13F2530F" w14:textId="77777777" w:rsidR="00575DF0" w:rsidRPr="00D5678F" w:rsidRDefault="00575DF0" w:rsidP="009A3B7E">
      <w:pPr>
        <w:pStyle w:val="Odrka1"/>
        <w:jc w:val="both"/>
      </w:pPr>
      <w:r w:rsidRPr="00D5678F">
        <w:t>Nefinan</w:t>
      </w:r>
      <w:r>
        <w:t>ční pobídky na straně poptávky</w:t>
      </w:r>
    </w:p>
    <w:p w14:paraId="52691C19" w14:textId="2CC0C94A" w:rsidR="00575DF0" w:rsidRPr="00D5678F" w:rsidRDefault="00575DF0" w:rsidP="009A3B7E">
      <w:pPr>
        <w:pStyle w:val="Odrka1"/>
        <w:jc w:val="both"/>
      </w:pPr>
      <w:r w:rsidRPr="00D5678F">
        <w:t>Výzkum, technologický rozvoj a</w:t>
      </w:r>
      <w:r w:rsidR="005A1247">
        <w:t> </w:t>
      </w:r>
      <w:r>
        <w:t>demonstrace</w:t>
      </w:r>
    </w:p>
    <w:p w14:paraId="2567C705" w14:textId="77777777" w:rsidR="00575DF0" w:rsidRPr="00D5678F" w:rsidRDefault="00575DF0" w:rsidP="009A3B7E">
      <w:pPr>
        <w:pStyle w:val="Odrka1"/>
        <w:jc w:val="both"/>
      </w:pPr>
      <w:r>
        <w:t>Ostatní opatření</w:t>
      </w:r>
    </w:p>
    <w:p w14:paraId="194ADFCA" w14:textId="77777777" w:rsidR="00575DF0" w:rsidRPr="00D5678F" w:rsidRDefault="00575DF0" w:rsidP="009A3B7E">
      <w:pPr>
        <w:pStyle w:val="Odrka1"/>
        <w:jc w:val="both"/>
      </w:pPr>
      <w:r w:rsidRPr="00D5678F">
        <w:t>Opatření širšího rázu n</w:t>
      </w:r>
      <w:r>
        <w:t>a podporu obnovy vozového parku</w:t>
      </w:r>
    </w:p>
    <w:p w14:paraId="6877FB1B" w14:textId="6F0F8DF2" w:rsidR="00575DF0" w:rsidRDefault="00575DF0" w:rsidP="009A3B7E">
      <w:pPr>
        <w:pStyle w:val="Odrka1"/>
        <w:jc w:val="both"/>
      </w:pPr>
      <w:r w:rsidRPr="00D5678F">
        <w:t>Opatření</w:t>
      </w:r>
      <w:r>
        <w:t xml:space="preserve"> k</w:t>
      </w:r>
      <w:r w:rsidR="005A1247">
        <w:t> </w:t>
      </w:r>
      <w:r>
        <w:t>implementaci NAP CM</w:t>
      </w:r>
    </w:p>
    <w:p w14:paraId="5DE939E3" w14:textId="77777777" w:rsidR="00E57E7F" w:rsidRDefault="00E57E7F" w:rsidP="009A3B7E">
      <w:pPr>
        <w:jc w:val="both"/>
      </w:pPr>
    </w:p>
    <w:p w14:paraId="575E95B3" w14:textId="2BB44CC9" w:rsidR="00575DF0" w:rsidRDefault="00575DF0" w:rsidP="009A3B7E">
      <w:pPr>
        <w:jc w:val="both"/>
      </w:pPr>
      <w:r>
        <w:t>Jednotlivé karty opatření NAP CM jsou uvedeny v</w:t>
      </w:r>
      <w:r w:rsidR="005A1247">
        <w:t> </w:t>
      </w:r>
      <w:r>
        <w:t xml:space="preserve">kapitole </w:t>
      </w:r>
      <w:r>
        <w:fldChar w:fldCharType="begin"/>
      </w:r>
      <w:r>
        <w:instrText xml:space="preserve"> REF _Ref21000982 \r \h </w:instrText>
      </w:r>
      <w:r w:rsidR="009A3B7E">
        <w:instrText xml:space="preserve"> \* MERGEFORMAT </w:instrText>
      </w:r>
      <w:r>
        <w:fldChar w:fldCharType="separate"/>
      </w:r>
      <w:r w:rsidR="00D944E5">
        <w:t>8</w:t>
      </w:r>
      <w:r>
        <w:fldChar w:fldCharType="end"/>
      </w:r>
      <w:r>
        <w:t>.</w:t>
      </w:r>
    </w:p>
    <w:p w14:paraId="68EF129C" w14:textId="77777777" w:rsidR="000E081A" w:rsidRDefault="000E081A" w:rsidP="009A3B7E">
      <w:pPr>
        <w:jc w:val="both"/>
        <w:sectPr w:rsidR="000E081A">
          <w:headerReference w:type="default" r:id="rId23"/>
          <w:footerReference w:type="default" r:id="rId24"/>
          <w:pgSz w:w="11906" w:h="16838"/>
          <w:pgMar w:top="1417" w:right="1417" w:bottom="1417" w:left="1417" w:header="708" w:footer="708" w:gutter="0"/>
          <w:cols w:space="708"/>
          <w:docGrid w:linePitch="360"/>
        </w:sectPr>
      </w:pPr>
    </w:p>
    <w:p w14:paraId="3B1CF258" w14:textId="6CD8337A" w:rsidR="00D222E5" w:rsidRDefault="00B10342" w:rsidP="009A3B7E">
      <w:pPr>
        <w:spacing w:before="0" w:after="200" w:line="276" w:lineRule="auto"/>
        <w:jc w:val="both"/>
      </w:pPr>
      <w:r w:rsidRPr="00B10342">
        <w:rPr>
          <w:noProof/>
        </w:rPr>
        <w:lastRenderedPageBreak/>
        <w:drawing>
          <wp:inline distT="0" distB="0" distL="0" distR="0" wp14:anchorId="1668D6AA" wp14:editId="7110D1C6">
            <wp:extent cx="8892540" cy="4402162"/>
            <wp:effectExtent l="0" t="0" r="381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2540" cy="4402162"/>
                    </a:xfrm>
                    <a:prstGeom prst="rect">
                      <a:avLst/>
                    </a:prstGeom>
                    <a:noFill/>
                    <a:ln>
                      <a:noFill/>
                    </a:ln>
                  </pic:spPr>
                </pic:pic>
              </a:graphicData>
            </a:graphic>
          </wp:inline>
        </w:drawing>
      </w:r>
    </w:p>
    <w:p w14:paraId="6089F202" w14:textId="74EB438A" w:rsidR="000E081A" w:rsidRDefault="000E081A" w:rsidP="009A3B7E">
      <w:pPr>
        <w:jc w:val="both"/>
      </w:pPr>
    </w:p>
    <w:p w14:paraId="271620FA" w14:textId="77777777" w:rsidR="00F63BAC" w:rsidRDefault="00F63BAC" w:rsidP="009A3B7E">
      <w:pPr>
        <w:spacing w:before="0" w:after="200" w:line="276" w:lineRule="auto"/>
        <w:jc w:val="both"/>
      </w:pPr>
    </w:p>
    <w:p w14:paraId="57CE31C7" w14:textId="388276FB" w:rsidR="00D222E5" w:rsidRDefault="0003284E" w:rsidP="0003284E">
      <w:pPr>
        <w:spacing w:before="0" w:after="200" w:line="276" w:lineRule="auto"/>
        <w:jc w:val="both"/>
      </w:pPr>
      <w:r w:rsidRPr="0003284E">
        <w:rPr>
          <w:noProof/>
        </w:rPr>
        <w:lastRenderedPageBreak/>
        <w:drawing>
          <wp:inline distT="0" distB="0" distL="0" distR="0" wp14:anchorId="5B37C2BB" wp14:editId="23943469">
            <wp:extent cx="9240700" cy="2385392"/>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84403" cy="2396674"/>
                    </a:xfrm>
                    <a:prstGeom prst="rect">
                      <a:avLst/>
                    </a:prstGeom>
                    <a:noFill/>
                    <a:ln>
                      <a:noFill/>
                    </a:ln>
                  </pic:spPr>
                </pic:pic>
              </a:graphicData>
            </a:graphic>
          </wp:inline>
        </w:drawing>
      </w:r>
    </w:p>
    <w:p w14:paraId="1C5872D7" w14:textId="7046794D" w:rsidR="00D222E5" w:rsidRDefault="00D222E5" w:rsidP="009A3B7E">
      <w:pPr>
        <w:spacing w:before="0" w:after="200" w:line="276" w:lineRule="auto"/>
        <w:jc w:val="both"/>
      </w:pPr>
      <w:r>
        <w:br w:type="page"/>
      </w:r>
      <w:r w:rsidR="0003284E" w:rsidRPr="0003284E">
        <w:rPr>
          <w:noProof/>
        </w:rPr>
        <w:lastRenderedPageBreak/>
        <w:drawing>
          <wp:inline distT="0" distB="0" distL="0" distR="0" wp14:anchorId="3C58B301" wp14:editId="504BBDF1">
            <wp:extent cx="8892540" cy="2348674"/>
            <wp:effectExtent l="0" t="0" r="381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92540" cy="2348674"/>
                    </a:xfrm>
                    <a:prstGeom prst="rect">
                      <a:avLst/>
                    </a:prstGeom>
                    <a:noFill/>
                    <a:ln>
                      <a:noFill/>
                    </a:ln>
                  </pic:spPr>
                </pic:pic>
              </a:graphicData>
            </a:graphic>
          </wp:inline>
        </w:drawing>
      </w:r>
    </w:p>
    <w:p w14:paraId="083A69E4" w14:textId="487E34FD" w:rsidR="00D222E5" w:rsidRDefault="00B72AD5" w:rsidP="009A3B7E">
      <w:pPr>
        <w:jc w:val="both"/>
      </w:pPr>
      <w:r w:rsidRPr="00B72AD5">
        <w:lastRenderedPageBreak/>
        <w:t xml:space="preserve"> </w:t>
      </w:r>
      <w:r w:rsidR="0003284E" w:rsidRPr="0003284E">
        <w:rPr>
          <w:noProof/>
        </w:rPr>
        <w:drawing>
          <wp:inline distT="0" distB="0" distL="0" distR="0" wp14:anchorId="7F263B08" wp14:editId="1605164C">
            <wp:extent cx="9265965" cy="3031434"/>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293905" cy="3040575"/>
                    </a:xfrm>
                    <a:prstGeom prst="rect">
                      <a:avLst/>
                    </a:prstGeom>
                    <a:noFill/>
                    <a:ln>
                      <a:noFill/>
                    </a:ln>
                  </pic:spPr>
                </pic:pic>
              </a:graphicData>
            </a:graphic>
          </wp:inline>
        </w:drawing>
      </w:r>
    </w:p>
    <w:p w14:paraId="43FD03C1" w14:textId="77777777" w:rsidR="00D222E5" w:rsidRDefault="00D222E5" w:rsidP="009A3B7E">
      <w:pPr>
        <w:spacing w:before="0" w:after="200" w:line="276" w:lineRule="auto"/>
        <w:jc w:val="both"/>
      </w:pPr>
      <w:r>
        <w:br w:type="page"/>
      </w:r>
    </w:p>
    <w:p w14:paraId="5C85D83B" w14:textId="5C3531B5" w:rsidR="00D222E5" w:rsidRDefault="00B72AD5" w:rsidP="009A3B7E">
      <w:pPr>
        <w:jc w:val="both"/>
      </w:pPr>
      <w:r w:rsidRPr="00B72AD5">
        <w:lastRenderedPageBreak/>
        <w:t xml:space="preserve"> </w:t>
      </w:r>
    </w:p>
    <w:p w14:paraId="15C53677" w14:textId="77777777" w:rsidR="000E081A" w:rsidRPr="00353568" w:rsidRDefault="000E081A" w:rsidP="009A3B7E">
      <w:pPr>
        <w:jc w:val="both"/>
      </w:pPr>
    </w:p>
    <w:p w14:paraId="49C71D57" w14:textId="4BD6CE77" w:rsidR="000E081A" w:rsidRDefault="0003284E" w:rsidP="009A3B7E">
      <w:pPr>
        <w:spacing w:before="0" w:after="200" w:line="276" w:lineRule="auto"/>
        <w:jc w:val="both"/>
        <w:rPr>
          <w:rFonts w:cs="Arial"/>
          <w:b/>
          <w:bCs/>
          <w:kern w:val="32"/>
          <w:sz w:val="28"/>
          <w:szCs w:val="32"/>
        </w:rPr>
        <w:sectPr w:rsidR="000E081A" w:rsidSect="00EE3554">
          <w:headerReference w:type="default" r:id="rId29"/>
          <w:footerReference w:type="default" r:id="rId30"/>
          <w:pgSz w:w="16838" w:h="11906" w:orient="landscape"/>
          <w:pgMar w:top="1417" w:right="1417" w:bottom="1417" w:left="1417" w:header="708" w:footer="708" w:gutter="0"/>
          <w:cols w:space="708"/>
          <w:docGrid w:linePitch="360"/>
        </w:sectPr>
      </w:pPr>
      <w:r w:rsidRPr="0003284E">
        <w:rPr>
          <w:noProof/>
        </w:rPr>
        <w:drawing>
          <wp:inline distT="0" distB="0" distL="0" distR="0" wp14:anchorId="0AE47F40" wp14:editId="58BD21C5">
            <wp:extent cx="9183756" cy="3327302"/>
            <wp:effectExtent l="0" t="0" r="0" b="698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22989" cy="3341516"/>
                    </a:xfrm>
                    <a:prstGeom prst="rect">
                      <a:avLst/>
                    </a:prstGeom>
                    <a:noFill/>
                    <a:ln>
                      <a:noFill/>
                    </a:ln>
                  </pic:spPr>
                </pic:pic>
              </a:graphicData>
            </a:graphic>
          </wp:inline>
        </w:drawing>
      </w:r>
    </w:p>
    <w:p w14:paraId="76BD6F97" w14:textId="77777777" w:rsidR="000A789F" w:rsidRDefault="0057372B" w:rsidP="009A3B7E">
      <w:pPr>
        <w:pStyle w:val="Nadpis1"/>
        <w:jc w:val="both"/>
      </w:pPr>
      <w:bookmarkStart w:id="74" w:name="_Ref21000982"/>
      <w:bookmarkStart w:id="75" w:name="_Ref21001662"/>
      <w:bookmarkStart w:id="76" w:name="_Toc34387153"/>
      <w:r>
        <w:lastRenderedPageBreak/>
        <w:t>K</w:t>
      </w:r>
      <w:r w:rsidR="000A789F">
        <w:t>arty opatření</w:t>
      </w:r>
      <w:r>
        <w:t xml:space="preserve"> NAP CM</w:t>
      </w:r>
      <w:bookmarkEnd w:id="74"/>
      <w:bookmarkEnd w:id="75"/>
      <w:bookmarkEnd w:id="76"/>
    </w:p>
    <w:p w14:paraId="5C6EDDA7" w14:textId="77777777" w:rsidR="00C80078" w:rsidRDefault="00C80078" w:rsidP="009A3B7E">
      <w:pPr>
        <w:pStyle w:val="Nadpis2"/>
        <w:jc w:val="both"/>
      </w:pPr>
      <w:bookmarkStart w:id="77" w:name="_Toc21589129"/>
      <w:bookmarkStart w:id="78" w:name="_Toc34387154"/>
      <w:r w:rsidRPr="00015356">
        <w:t>Právní/legislativní</w:t>
      </w:r>
      <w:bookmarkEnd w:id="77"/>
      <w:bookmarkEnd w:id="78"/>
    </w:p>
    <w:p w14:paraId="243A3BCB" w14:textId="09F8FAFF" w:rsidR="00C80078" w:rsidRDefault="00C80078" w:rsidP="009A3B7E">
      <w:pPr>
        <w:pStyle w:val="Nadpis3"/>
        <w:jc w:val="both"/>
      </w:pPr>
      <w:bookmarkStart w:id="79" w:name="_Toc21589130"/>
      <w:r>
        <w:t xml:space="preserve">S1 </w:t>
      </w:r>
      <w:r w:rsidRPr="00137033">
        <w:t>Odstranění bariér v</w:t>
      </w:r>
      <w:r w:rsidR="005A1247">
        <w:t> </w:t>
      </w:r>
      <w:r w:rsidRPr="00137033">
        <w:t>oblasti servisu vozidel na LNG a</w:t>
      </w:r>
      <w:r w:rsidR="005A1247">
        <w:t> </w:t>
      </w:r>
      <w:r w:rsidRPr="00137033">
        <w:t>vodík</w:t>
      </w:r>
      <w:bookmarkEnd w:id="79"/>
    </w:p>
    <w:tbl>
      <w:tblPr>
        <w:tblW w:w="9071" w:type="dxa"/>
        <w:jc w:val="center"/>
        <w:tblCellMar>
          <w:left w:w="0" w:type="dxa"/>
          <w:right w:w="0" w:type="dxa"/>
        </w:tblCellMar>
        <w:tblLook w:val="00A0" w:firstRow="1" w:lastRow="0" w:firstColumn="1" w:lastColumn="0" w:noHBand="0" w:noVBand="0"/>
      </w:tblPr>
      <w:tblGrid>
        <w:gridCol w:w="1984"/>
        <w:gridCol w:w="7087"/>
      </w:tblGrid>
      <w:tr w:rsidR="00C80078" w:rsidRPr="00D5678F" w14:paraId="553F0B44" w14:textId="77777777" w:rsidTr="00B502A0">
        <w:trPr>
          <w:cantSplit/>
          <w:trHeight w:val="340"/>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vAlign w:val="center"/>
          </w:tcPr>
          <w:p w14:paraId="69149257" w14:textId="4CEAEBC3" w:rsidR="00C80078" w:rsidRPr="00D5678F" w:rsidRDefault="00C80078" w:rsidP="005A1247">
            <w:pPr>
              <w:pStyle w:val="Zhlavtabulky"/>
              <w:spacing w:before="0" w:after="0"/>
              <w:jc w:val="left"/>
              <w:rPr>
                <w:rFonts w:cs="Arial"/>
                <w:szCs w:val="22"/>
              </w:rPr>
            </w:pPr>
            <w:r>
              <w:rPr>
                <w:rFonts w:cs="Arial"/>
                <w:color w:val="FFFFFF" w:themeColor="background1"/>
                <w:szCs w:val="22"/>
              </w:rPr>
              <w:t>S1</w:t>
            </w:r>
            <w:r w:rsidRPr="00F42F70">
              <w:rPr>
                <w:rFonts w:cs="Arial"/>
                <w:color w:val="FFFFFF" w:themeColor="background1"/>
                <w:szCs w:val="22"/>
              </w:rPr>
              <w:t xml:space="preserve"> Odstranění bariér v</w:t>
            </w:r>
            <w:r w:rsidR="005A1247">
              <w:rPr>
                <w:rFonts w:cs="Arial"/>
                <w:color w:val="FFFFFF" w:themeColor="background1"/>
                <w:szCs w:val="22"/>
              </w:rPr>
              <w:t> </w:t>
            </w:r>
            <w:r w:rsidRPr="00F42F70">
              <w:rPr>
                <w:rFonts w:cs="Arial"/>
                <w:color w:val="FFFFFF" w:themeColor="background1"/>
                <w:szCs w:val="22"/>
              </w:rPr>
              <w:t>oblasti servisu vozidel na LNG a</w:t>
            </w:r>
            <w:r w:rsidR="005A1247">
              <w:rPr>
                <w:rFonts w:cs="Arial"/>
                <w:color w:val="FFFFFF" w:themeColor="background1"/>
                <w:szCs w:val="22"/>
              </w:rPr>
              <w:t> </w:t>
            </w:r>
            <w:r w:rsidRPr="00F42F70">
              <w:rPr>
                <w:rFonts w:cs="Arial"/>
                <w:color w:val="FFFFFF" w:themeColor="background1"/>
                <w:szCs w:val="22"/>
              </w:rPr>
              <w:t>vodík</w:t>
            </w:r>
          </w:p>
        </w:tc>
      </w:tr>
      <w:tr w:rsidR="00C80078" w:rsidRPr="00D5678F" w14:paraId="51BBEE32" w14:textId="77777777" w:rsidTr="00B502A0">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vAlign w:val="center"/>
          </w:tcPr>
          <w:p w14:paraId="6EA00C9D" w14:textId="77777777" w:rsidR="00C80078" w:rsidRPr="00137033" w:rsidRDefault="00C80078" w:rsidP="00B502A0">
            <w:pPr>
              <w:spacing w:before="60" w:after="60"/>
              <w:rPr>
                <w:rFonts w:cs="Arial"/>
                <w:szCs w:val="20"/>
              </w:rPr>
            </w:pPr>
            <w:r w:rsidRPr="00137033">
              <w:rPr>
                <w:rFonts w:cs="Arial"/>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vAlign w:val="center"/>
          </w:tcPr>
          <w:p w14:paraId="0D10C5DE" w14:textId="77777777" w:rsidR="00C80078" w:rsidRDefault="00C80078" w:rsidP="00B502A0">
            <w:pPr>
              <w:spacing w:before="0" w:after="0"/>
              <w:rPr>
                <w:rFonts w:cs="Arial"/>
                <w:szCs w:val="22"/>
              </w:rPr>
            </w:pPr>
          </w:p>
          <w:p w14:paraId="57839F9A" w14:textId="77777777" w:rsidR="00154581" w:rsidRDefault="00154581" w:rsidP="00B502A0">
            <w:pPr>
              <w:spacing w:before="0" w:after="0"/>
              <w:rPr>
                <w:rFonts w:cs="Arial"/>
                <w:szCs w:val="20"/>
              </w:rPr>
            </w:pPr>
            <w:r w:rsidRPr="00154581">
              <w:rPr>
                <w:rFonts w:cs="Arial"/>
                <w:szCs w:val="20"/>
              </w:rPr>
              <w:t>Zlepšení regulatorního rámce vodíkové elektromobility</w:t>
            </w:r>
            <w:r>
              <w:rPr>
                <w:rFonts w:cs="Arial"/>
                <w:szCs w:val="20"/>
              </w:rPr>
              <w:t xml:space="preserve"> (kap. 4.3.4.)</w:t>
            </w:r>
          </w:p>
          <w:p w14:paraId="6F8EBB7F" w14:textId="607498BC" w:rsidR="00154581" w:rsidRPr="00137033" w:rsidRDefault="00154581" w:rsidP="005A1247">
            <w:pPr>
              <w:spacing w:before="0" w:after="0"/>
              <w:rPr>
                <w:rFonts w:cs="Arial"/>
                <w:szCs w:val="20"/>
              </w:rPr>
            </w:pPr>
            <w:r w:rsidRPr="00154581">
              <w:rPr>
                <w:rFonts w:cs="Arial"/>
                <w:szCs w:val="20"/>
              </w:rPr>
              <w:t>Vytváření podmínek pro lepší vnímání zemního plynu coby alternativního paliva na straně potenciálních zákazníků a</w:t>
            </w:r>
            <w:r w:rsidR="005A1247">
              <w:rPr>
                <w:rFonts w:cs="Arial"/>
                <w:szCs w:val="20"/>
              </w:rPr>
              <w:t> </w:t>
            </w:r>
            <w:r w:rsidRPr="00154581">
              <w:rPr>
                <w:rFonts w:cs="Arial"/>
                <w:szCs w:val="20"/>
              </w:rPr>
              <w:t>podmínek pro rozvoj vozového parku</w:t>
            </w:r>
            <w:r>
              <w:rPr>
                <w:rFonts w:cs="Arial"/>
                <w:szCs w:val="20"/>
              </w:rPr>
              <w:t xml:space="preserve"> (kap. 3.3.4)</w:t>
            </w:r>
          </w:p>
        </w:tc>
      </w:tr>
      <w:tr w:rsidR="00C80078" w:rsidRPr="00D5678F" w14:paraId="14B23975"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31ADE622" w14:textId="77777777" w:rsidR="00C80078" w:rsidRPr="00137033" w:rsidRDefault="00C80078" w:rsidP="00B502A0">
            <w:pPr>
              <w:spacing w:before="60" w:after="60"/>
              <w:rPr>
                <w:rFonts w:cs="Arial"/>
                <w:szCs w:val="20"/>
              </w:rPr>
            </w:pPr>
            <w:r w:rsidRPr="00137033">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722492D4" w14:textId="4C54A8A9" w:rsidR="00C80078" w:rsidRDefault="00C80078" w:rsidP="007E7A32">
            <w:pPr>
              <w:spacing w:before="0" w:after="0"/>
              <w:rPr>
                <w:rFonts w:cs="Arial"/>
                <w:szCs w:val="20"/>
                <w:vertAlign w:val="subscript"/>
              </w:rPr>
            </w:pPr>
            <w:r w:rsidRPr="000B1A72">
              <w:rPr>
                <w:rFonts w:cs="Arial"/>
                <w:szCs w:val="20"/>
              </w:rPr>
              <w:t>Odstranit legislativní, technické a</w:t>
            </w:r>
            <w:r w:rsidR="005A1247">
              <w:rPr>
                <w:rFonts w:cs="Arial"/>
                <w:szCs w:val="20"/>
              </w:rPr>
              <w:t> </w:t>
            </w:r>
            <w:r w:rsidRPr="000B1A72">
              <w:rPr>
                <w:rFonts w:cs="Arial"/>
                <w:szCs w:val="20"/>
              </w:rPr>
              <w:t>další bariéry v</w:t>
            </w:r>
            <w:r w:rsidR="005A1247">
              <w:rPr>
                <w:rFonts w:cs="Arial"/>
                <w:szCs w:val="20"/>
              </w:rPr>
              <w:t> </w:t>
            </w:r>
            <w:r w:rsidRPr="000B1A72">
              <w:rPr>
                <w:rFonts w:cs="Arial"/>
                <w:szCs w:val="20"/>
              </w:rPr>
              <w:t>oblasti servisu vozidel na LNG a</w:t>
            </w:r>
            <w:r w:rsidR="005A1247">
              <w:rPr>
                <w:rFonts w:cs="Arial"/>
                <w:szCs w:val="20"/>
              </w:rPr>
              <w:t> </w:t>
            </w:r>
            <w:r w:rsidRPr="000B1A72">
              <w:rPr>
                <w:rFonts w:cs="Arial"/>
                <w:szCs w:val="20"/>
              </w:rPr>
              <w:t>H</w:t>
            </w:r>
            <w:r w:rsidRPr="00F42F70">
              <w:rPr>
                <w:rFonts w:cs="Arial"/>
                <w:szCs w:val="20"/>
                <w:vertAlign w:val="subscript"/>
              </w:rPr>
              <w:t>2</w:t>
            </w:r>
          </w:p>
          <w:p w14:paraId="77626464" w14:textId="6AB47E5C" w:rsidR="005074E1" w:rsidRPr="00137033" w:rsidRDefault="005074E1" w:rsidP="005A1247">
            <w:pPr>
              <w:spacing w:before="0" w:after="0"/>
              <w:rPr>
                <w:rFonts w:cs="Arial"/>
                <w:szCs w:val="20"/>
              </w:rPr>
            </w:pPr>
            <w:r w:rsidRPr="00EF6EEE">
              <w:rPr>
                <w:szCs w:val="22"/>
              </w:rPr>
              <w:t>nastavení odpovídajících legislativních a</w:t>
            </w:r>
            <w:r w:rsidR="005A1247">
              <w:rPr>
                <w:szCs w:val="22"/>
              </w:rPr>
              <w:t> </w:t>
            </w:r>
            <w:r w:rsidRPr="00EF6EEE">
              <w:rPr>
                <w:szCs w:val="22"/>
              </w:rPr>
              <w:t>technických podmínek</w:t>
            </w:r>
          </w:p>
        </w:tc>
      </w:tr>
      <w:tr w:rsidR="00C80078" w:rsidRPr="00D5678F" w14:paraId="4320F9B2"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1452EAFD" w14:textId="77777777" w:rsidR="00C80078" w:rsidRPr="00137033" w:rsidRDefault="00C80078" w:rsidP="00B502A0">
            <w:pPr>
              <w:spacing w:before="60" w:after="60"/>
              <w:rPr>
                <w:rFonts w:cs="Arial"/>
                <w:szCs w:val="20"/>
              </w:rPr>
            </w:pPr>
            <w:r w:rsidRPr="00137033">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4C0DA933" w14:textId="77777777" w:rsidR="00C80078" w:rsidRPr="00137033" w:rsidRDefault="00C80078" w:rsidP="00B502A0">
            <w:pPr>
              <w:spacing w:before="0" w:after="0"/>
              <w:rPr>
                <w:rFonts w:cs="Arial"/>
                <w:b/>
                <w:szCs w:val="20"/>
              </w:rPr>
            </w:pPr>
            <w:r w:rsidRPr="000B1A72">
              <w:rPr>
                <w:rFonts w:cs="Arial"/>
                <w:szCs w:val="20"/>
              </w:rPr>
              <w:t>Revize související národní legislativy. Zpracovat normu, upravující podmínky provozu autoservisů vozidel na H</w:t>
            </w:r>
            <w:r w:rsidRPr="00F42F70">
              <w:rPr>
                <w:rFonts w:cs="Arial"/>
                <w:szCs w:val="20"/>
                <w:vertAlign w:val="subscript"/>
              </w:rPr>
              <w:t>2</w:t>
            </w:r>
            <w:r w:rsidRPr="000B1A72">
              <w:rPr>
                <w:rFonts w:cs="Arial"/>
                <w:szCs w:val="20"/>
              </w:rPr>
              <w:t>, LNG.</w:t>
            </w:r>
          </w:p>
        </w:tc>
      </w:tr>
      <w:tr w:rsidR="00C80078" w:rsidRPr="00D5678F" w14:paraId="4BA37466"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6317F848" w14:textId="78280228" w:rsidR="00C80078" w:rsidRPr="00137033" w:rsidRDefault="00C80078" w:rsidP="005A1247">
            <w:pPr>
              <w:spacing w:before="60" w:after="60"/>
              <w:rPr>
                <w:rFonts w:cs="Arial"/>
                <w:szCs w:val="20"/>
              </w:rPr>
            </w:pPr>
            <w:r w:rsidRPr="00137033">
              <w:rPr>
                <w:rFonts w:cs="Arial"/>
                <w:szCs w:val="20"/>
              </w:rPr>
              <w:t>Příklad z</w:t>
            </w:r>
            <w:r w:rsidR="005A1247">
              <w:rPr>
                <w:rFonts w:cs="Arial"/>
                <w:szCs w:val="20"/>
              </w:rPr>
              <w:t> </w:t>
            </w:r>
            <w:r w:rsidRPr="00137033">
              <w:rPr>
                <w:rFonts w:cs="Arial"/>
                <w:szCs w:val="20"/>
              </w:rPr>
              <w:t>praxe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299CBB19" w14:textId="62379CE6" w:rsidR="00C80078" w:rsidRDefault="00C80078" w:rsidP="00B502A0">
            <w:pPr>
              <w:spacing w:before="0" w:after="0"/>
              <w:rPr>
                <w:rFonts w:cs="Arial"/>
                <w:szCs w:val="20"/>
              </w:rPr>
            </w:pPr>
            <w:r w:rsidRPr="000B1A72">
              <w:rPr>
                <w:rFonts w:cs="Arial"/>
                <w:szCs w:val="20"/>
              </w:rPr>
              <w:t>Požadavky pro autoservisy vozidel na CNG jsou již zakotveny v</w:t>
            </w:r>
            <w:r w:rsidR="005A1247">
              <w:rPr>
                <w:rFonts w:cs="Arial"/>
                <w:szCs w:val="20"/>
              </w:rPr>
              <w:t> </w:t>
            </w:r>
            <w:r w:rsidRPr="000B1A72">
              <w:rPr>
                <w:rFonts w:cs="Arial"/>
                <w:szCs w:val="20"/>
              </w:rPr>
              <w:t>normativním dokumentu Českého plynárenského svazu TPG 982 02 - Podmínky provozu, oprav, údržby, kontroly, vystavování a</w:t>
            </w:r>
            <w:r w:rsidR="005A1247">
              <w:rPr>
                <w:rFonts w:cs="Arial"/>
                <w:szCs w:val="20"/>
              </w:rPr>
              <w:t> </w:t>
            </w:r>
            <w:r w:rsidRPr="000B1A72">
              <w:rPr>
                <w:rFonts w:cs="Arial"/>
                <w:szCs w:val="20"/>
              </w:rPr>
              <w:t>prodeje motorových vozidel s</w:t>
            </w:r>
            <w:r w:rsidR="005A1247">
              <w:rPr>
                <w:rFonts w:cs="Arial"/>
                <w:szCs w:val="20"/>
              </w:rPr>
              <w:t> </w:t>
            </w:r>
            <w:r w:rsidRPr="000B1A72">
              <w:rPr>
                <w:rFonts w:cs="Arial"/>
                <w:szCs w:val="20"/>
              </w:rPr>
              <w:t>pohonným systémem CNG platném od 1. 9. 2015.</w:t>
            </w:r>
          </w:p>
          <w:p w14:paraId="7CC278DB" w14:textId="77777777" w:rsidR="00C80078" w:rsidRPr="00137033" w:rsidRDefault="00C80078" w:rsidP="00B502A0">
            <w:pPr>
              <w:spacing w:before="0" w:after="0"/>
              <w:rPr>
                <w:rFonts w:cs="Arial"/>
                <w:szCs w:val="20"/>
              </w:rPr>
            </w:pPr>
            <w:r w:rsidRPr="000B1A72">
              <w:rPr>
                <w:rFonts w:cs="Arial"/>
                <w:szCs w:val="20"/>
              </w:rPr>
              <w:t>Aplikovat zkušenosti ze sousedních zemí (Německo, Rakousko …).</w:t>
            </w:r>
          </w:p>
        </w:tc>
      </w:tr>
      <w:tr w:rsidR="00C80078" w:rsidRPr="00D5678F" w14:paraId="0D528B18"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58B55D39" w14:textId="77777777" w:rsidR="00C80078" w:rsidRPr="00137033" w:rsidRDefault="00C80078" w:rsidP="00B502A0">
            <w:pPr>
              <w:spacing w:before="60" w:after="60"/>
              <w:rPr>
                <w:rFonts w:cs="Arial"/>
                <w:szCs w:val="20"/>
              </w:rPr>
            </w:pPr>
            <w:r w:rsidRPr="00137033">
              <w:rPr>
                <w:rFonts w:cs="Arial"/>
                <w:szCs w:val="20"/>
              </w:rPr>
              <w:t>Rozpočtový dopad / financování</w:t>
            </w:r>
            <w:r w:rsidRPr="00137033">
              <w:rPr>
                <w:rFonts w:cs="Arial"/>
                <w:szCs w:val="20"/>
              </w:rPr>
              <w:tab/>
              <w:t xml:space="preserve"> </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40C62A53" w14:textId="77777777" w:rsidR="00C80078" w:rsidRPr="00137033" w:rsidRDefault="00C80078" w:rsidP="00B502A0">
            <w:pPr>
              <w:pStyle w:val="Zpat"/>
              <w:spacing w:before="0" w:after="0"/>
              <w:rPr>
                <w:rFonts w:cs="Arial"/>
                <w:szCs w:val="20"/>
              </w:rPr>
            </w:pPr>
            <w:r w:rsidRPr="00137033">
              <w:rPr>
                <w:rFonts w:cs="Arial"/>
                <w:szCs w:val="20"/>
              </w:rPr>
              <w:t xml:space="preserve">Bez přímých rozpočtových dopadů. Přínos pro provozovatele autoservisů.   </w:t>
            </w:r>
          </w:p>
        </w:tc>
      </w:tr>
      <w:tr w:rsidR="00C80078" w:rsidRPr="00D5678F" w14:paraId="38EEA521"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32AEE280" w14:textId="77777777" w:rsidR="00C80078" w:rsidRPr="00137033" w:rsidRDefault="00C80078" w:rsidP="00B502A0">
            <w:pPr>
              <w:spacing w:before="60" w:after="60"/>
              <w:rPr>
                <w:rFonts w:cs="Arial"/>
                <w:szCs w:val="20"/>
              </w:rPr>
            </w:pPr>
            <w:r w:rsidRPr="00137033">
              <w:rPr>
                <w:rFonts w:cs="Arial"/>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2C557A31" w14:textId="77777777" w:rsidR="005074E1" w:rsidRPr="005074E1" w:rsidRDefault="005074E1" w:rsidP="005074E1">
            <w:pPr>
              <w:pStyle w:val="Zpat"/>
              <w:spacing w:before="0" w:after="0"/>
              <w:rPr>
                <w:rFonts w:cs="Arial"/>
                <w:szCs w:val="20"/>
              </w:rPr>
            </w:pPr>
            <w:r w:rsidRPr="005074E1">
              <w:rPr>
                <w:rFonts w:cs="Arial"/>
                <w:szCs w:val="20"/>
              </w:rPr>
              <w:t>Pro oblast technických doporučení: MD</w:t>
            </w:r>
          </w:p>
          <w:p w14:paraId="663D76D3" w14:textId="77777777" w:rsidR="005074E1" w:rsidRPr="005074E1" w:rsidRDefault="005074E1" w:rsidP="005074E1">
            <w:pPr>
              <w:pStyle w:val="Zpat"/>
              <w:spacing w:before="0" w:after="0"/>
              <w:rPr>
                <w:rFonts w:cs="Arial"/>
                <w:szCs w:val="20"/>
              </w:rPr>
            </w:pPr>
            <w:r w:rsidRPr="005074E1">
              <w:rPr>
                <w:rFonts w:cs="Arial"/>
                <w:szCs w:val="20"/>
              </w:rPr>
              <w:t>Pro oblast odborné způsobilosti pracovníků servisů: MPSV</w:t>
            </w:r>
          </w:p>
          <w:p w14:paraId="7A34069D" w14:textId="29681867" w:rsidR="00C80078" w:rsidRPr="00137033" w:rsidRDefault="005074E1" w:rsidP="005074E1">
            <w:pPr>
              <w:pStyle w:val="Zpat"/>
              <w:spacing w:before="0" w:after="0"/>
              <w:rPr>
                <w:rFonts w:cs="Arial"/>
                <w:szCs w:val="20"/>
              </w:rPr>
            </w:pPr>
            <w:r w:rsidRPr="005074E1">
              <w:rPr>
                <w:rFonts w:cs="Arial"/>
                <w:szCs w:val="20"/>
              </w:rPr>
              <w:t>Pro oblast požární ochrany MV-GŘ HZS ČR</w:t>
            </w:r>
          </w:p>
        </w:tc>
      </w:tr>
      <w:tr w:rsidR="00C80078" w:rsidRPr="00D5678F" w14:paraId="689E1232"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vAlign w:val="center"/>
          </w:tcPr>
          <w:p w14:paraId="3641B2A3" w14:textId="77777777" w:rsidR="00C80078" w:rsidRPr="00137033" w:rsidRDefault="00C80078" w:rsidP="00B502A0">
            <w:pPr>
              <w:spacing w:before="60" w:after="60"/>
              <w:rPr>
                <w:rFonts w:cs="Arial"/>
                <w:szCs w:val="20"/>
              </w:rPr>
            </w:pPr>
            <w:r w:rsidRPr="00137033">
              <w:rPr>
                <w:rFonts w:cs="Arial"/>
                <w:szCs w:val="20"/>
              </w:rPr>
              <w:t>Spolupráce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116EF447" w14:textId="6A0DE503" w:rsidR="00C80078" w:rsidRPr="00137033" w:rsidRDefault="00C80078" w:rsidP="005074E1">
            <w:pPr>
              <w:pStyle w:val="Zpat"/>
              <w:spacing w:before="0" w:after="0"/>
              <w:rPr>
                <w:rFonts w:cs="Arial"/>
                <w:szCs w:val="20"/>
              </w:rPr>
            </w:pPr>
            <w:r w:rsidRPr="00137033">
              <w:rPr>
                <w:rFonts w:cs="Arial"/>
                <w:szCs w:val="20"/>
              </w:rPr>
              <w:t>MPO, ČPS</w:t>
            </w:r>
          </w:p>
        </w:tc>
      </w:tr>
      <w:tr w:rsidR="00C80078" w:rsidRPr="00D5678F" w14:paraId="14A7E9FF"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vAlign w:val="center"/>
          </w:tcPr>
          <w:p w14:paraId="132CF02B" w14:textId="77777777" w:rsidR="00C80078" w:rsidRPr="00137033" w:rsidRDefault="00C80078" w:rsidP="00B502A0">
            <w:pPr>
              <w:spacing w:before="60" w:after="60"/>
              <w:rPr>
                <w:rFonts w:cs="Arial"/>
                <w:szCs w:val="20"/>
              </w:rPr>
            </w:pPr>
            <w:r w:rsidRPr="00137033">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vAlign w:val="center"/>
          </w:tcPr>
          <w:p w14:paraId="3E065998" w14:textId="77777777" w:rsidR="00C80078" w:rsidRPr="00137033" w:rsidRDefault="00C80078" w:rsidP="00B502A0">
            <w:pPr>
              <w:spacing w:before="0" w:after="0"/>
              <w:rPr>
                <w:rFonts w:cs="Arial"/>
                <w:szCs w:val="20"/>
              </w:rPr>
            </w:pPr>
            <w:r w:rsidRPr="00137033">
              <w:rPr>
                <w:rFonts w:cs="Arial"/>
                <w:szCs w:val="20"/>
              </w:rPr>
              <w:t>20</w:t>
            </w:r>
            <w:r>
              <w:rPr>
                <w:rFonts w:cs="Arial"/>
                <w:szCs w:val="20"/>
              </w:rPr>
              <w:t>20</w:t>
            </w:r>
            <w:r w:rsidRPr="00137033">
              <w:rPr>
                <w:rFonts w:cs="Arial"/>
                <w:szCs w:val="20"/>
              </w:rPr>
              <w:t>-</w:t>
            </w:r>
            <w:r>
              <w:rPr>
                <w:rFonts w:cs="Arial"/>
                <w:szCs w:val="20"/>
              </w:rPr>
              <w:t>2025</w:t>
            </w:r>
          </w:p>
        </w:tc>
      </w:tr>
    </w:tbl>
    <w:p w14:paraId="08C8A3F2" w14:textId="77777777" w:rsidR="00C80078" w:rsidRDefault="00C80078" w:rsidP="009A3B7E">
      <w:pPr>
        <w:spacing w:before="0" w:after="0"/>
        <w:jc w:val="both"/>
      </w:pPr>
      <w:r>
        <w:br w:type="page"/>
      </w:r>
    </w:p>
    <w:p w14:paraId="14463942" w14:textId="633A9906" w:rsidR="00C80078" w:rsidRDefault="00C80078" w:rsidP="009A3B7E">
      <w:pPr>
        <w:pStyle w:val="Nadpis3"/>
        <w:jc w:val="both"/>
      </w:pPr>
      <w:bookmarkStart w:id="80" w:name="_Toc21589131"/>
      <w:r>
        <w:lastRenderedPageBreak/>
        <w:t xml:space="preserve">S2 </w:t>
      </w:r>
      <w:r w:rsidR="007D5B64">
        <w:t>I</w:t>
      </w:r>
      <w:r w:rsidRPr="00137033">
        <w:t>mplementace směrnice EU o</w:t>
      </w:r>
      <w:r w:rsidR="005A1247">
        <w:t> </w:t>
      </w:r>
      <w:r w:rsidRPr="00137033">
        <w:t>čistých a</w:t>
      </w:r>
      <w:r w:rsidR="005A1247">
        <w:t> </w:t>
      </w:r>
      <w:r w:rsidRPr="00137033">
        <w:t>energeticky účinných vozidlech</w:t>
      </w:r>
      <w:bookmarkEnd w:id="80"/>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554C5A" w14:paraId="17ACC78A" w14:textId="77777777" w:rsidTr="00B502A0">
        <w:trPr>
          <w:trHeight w:val="340"/>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vAlign w:val="center"/>
            <w:hideMark/>
          </w:tcPr>
          <w:p w14:paraId="650F513F" w14:textId="2CE7E9E6" w:rsidR="00C80078" w:rsidRDefault="00C80078" w:rsidP="005A1247">
            <w:pPr>
              <w:spacing w:before="0" w:after="0"/>
              <w:rPr>
                <w:rFonts w:cs="Arial"/>
                <w:b/>
                <w:color w:val="FFFFFF" w:themeColor="background1"/>
              </w:rPr>
            </w:pPr>
            <w:r>
              <w:rPr>
                <w:rFonts w:cs="Arial"/>
                <w:b/>
                <w:color w:val="FFFFFF" w:themeColor="background1"/>
              </w:rPr>
              <w:t xml:space="preserve">S2 </w:t>
            </w:r>
            <w:r w:rsidR="007D5B64">
              <w:rPr>
                <w:rFonts w:cs="Arial"/>
                <w:b/>
                <w:color w:val="FFFFFF" w:themeColor="background1"/>
              </w:rPr>
              <w:t>I</w:t>
            </w:r>
            <w:r>
              <w:rPr>
                <w:rFonts w:cs="Arial"/>
                <w:b/>
                <w:color w:val="FFFFFF" w:themeColor="background1"/>
              </w:rPr>
              <w:t>mplementace směrnice EU o</w:t>
            </w:r>
            <w:r w:rsidR="005A1247">
              <w:rPr>
                <w:rFonts w:cs="Arial"/>
                <w:b/>
                <w:color w:val="FFFFFF" w:themeColor="background1"/>
              </w:rPr>
              <w:t> </w:t>
            </w:r>
            <w:r>
              <w:rPr>
                <w:rFonts w:cs="Arial"/>
                <w:b/>
                <w:color w:val="FFFFFF" w:themeColor="background1"/>
              </w:rPr>
              <w:t>čistých a</w:t>
            </w:r>
            <w:r w:rsidR="005A1247">
              <w:rPr>
                <w:rFonts w:cs="Arial"/>
                <w:b/>
                <w:color w:val="FFFFFF" w:themeColor="background1"/>
              </w:rPr>
              <w:t> </w:t>
            </w:r>
            <w:r>
              <w:rPr>
                <w:rFonts w:cs="Arial"/>
                <w:b/>
                <w:color w:val="FFFFFF" w:themeColor="background1"/>
              </w:rPr>
              <w:t>energeticky účinných vozidlech</w:t>
            </w:r>
          </w:p>
        </w:tc>
      </w:tr>
      <w:tr w:rsidR="00554C5A" w14:paraId="1A4A3D05" w14:textId="77777777" w:rsidTr="00B502A0">
        <w:trPr>
          <w:trHeight w:val="465"/>
        </w:trPr>
        <w:tc>
          <w:tcPr>
            <w:tcW w:w="1984" w:type="dxa"/>
            <w:tcBorders>
              <w:top w:val="single" w:sz="12" w:space="0" w:color="auto"/>
              <w:left w:val="single" w:sz="12" w:space="0" w:color="auto"/>
              <w:bottom w:val="single" w:sz="4" w:space="0" w:color="auto"/>
              <w:right w:val="single" w:sz="12" w:space="0" w:color="auto"/>
            </w:tcBorders>
            <w:vAlign w:val="center"/>
            <w:hideMark/>
          </w:tcPr>
          <w:p w14:paraId="5A6FB0F4" w14:textId="77777777" w:rsidR="00C80078" w:rsidRDefault="00C80078" w:rsidP="00B502A0">
            <w:pPr>
              <w:pStyle w:val="Normln10"/>
              <w:spacing w:before="0" w:line="240" w:lineRule="auto"/>
              <w:jc w:val="left"/>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vAlign w:val="center"/>
            <w:hideMark/>
          </w:tcPr>
          <w:p w14:paraId="09E466D9" w14:textId="77777777" w:rsidR="00C80078" w:rsidRDefault="00C80078" w:rsidP="00B502A0">
            <w:pPr>
              <w:pStyle w:val="Normln10"/>
              <w:spacing w:before="0" w:line="240" w:lineRule="auto"/>
              <w:jc w:val="left"/>
              <w:rPr>
                <w:rFonts w:cs="Arial"/>
                <w:sz w:val="22"/>
                <w:szCs w:val="22"/>
              </w:rPr>
            </w:pPr>
            <w:r>
              <w:rPr>
                <w:rFonts w:cs="Arial"/>
                <w:sz w:val="22"/>
                <w:szCs w:val="22"/>
              </w:rPr>
              <w:t>Zajištění stabilního regulatorního rámce</w:t>
            </w:r>
            <w:r w:rsidR="00154581">
              <w:rPr>
                <w:rFonts w:cs="Arial"/>
                <w:sz w:val="22"/>
                <w:szCs w:val="22"/>
              </w:rPr>
              <w:t xml:space="preserve"> (kap. 2.4.3)</w:t>
            </w:r>
          </w:p>
        </w:tc>
      </w:tr>
      <w:tr w:rsidR="00554C5A" w14:paraId="6EB479FF" w14:textId="77777777" w:rsidTr="00B502A0">
        <w:trPr>
          <w:trHeight w:val="283"/>
        </w:trPr>
        <w:tc>
          <w:tcPr>
            <w:tcW w:w="1984" w:type="dxa"/>
            <w:tcBorders>
              <w:top w:val="single" w:sz="4" w:space="0" w:color="auto"/>
              <w:left w:val="single" w:sz="12" w:space="0" w:color="auto"/>
              <w:bottom w:val="single" w:sz="4" w:space="0" w:color="auto"/>
              <w:right w:val="single" w:sz="12" w:space="0" w:color="auto"/>
            </w:tcBorders>
            <w:vAlign w:val="center"/>
            <w:hideMark/>
          </w:tcPr>
          <w:p w14:paraId="2D13A669" w14:textId="77777777" w:rsidR="00C80078" w:rsidRDefault="00C80078" w:rsidP="00B502A0">
            <w:pPr>
              <w:pStyle w:val="Normln10"/>
              <w:spacing w:before="60" w:after="60" w:line="240" w:lineRule="auto"/>
              <w:jc w:val="left"/>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vAlign w:val="center"/>
          </w:tcPr>
          <w:p w14:paraId="65E3C975" w14:textId="77777777" w:rsidR="00C80078" w:rsidRDefault="00C80078" w:rsidP="00B502A0">
            <w:pPr>
              <w:pStyle w:val="Normln10"/>
              <w:spacing w:before="0" w:line="240" w:lineRule="auto"/>
              <w:jc w:val="left"/>
              <w:rPr>
                <w:rFonts w:cs="Arial"/>
                <w:sz w:val="22"/>
                <w:szCs w:val="22"/>
              </w:rPr>
            </w:pPr>
            <w:r w:rsidRPr="00DD53AC">
              <w:rPr>
                <w:rFonts w:cs="Arial"/>
                <w:sz w:val="22"/>
                <w:szCs w:val="22"/>
              </w:rPr>
              <w:t>Podpora nákupu vozidel na alternativní paliva</w:t>
            </w:r>
          </w:p>
        </w:tc>
      </w:tr>
      <w:tr w:rsidR="00554C5A" w14:paraId="56CC9B26"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1CB92C71" w14:textId="77777777" w:rsidR="00C80078" w:rsidRDefault="00C80078" w:rsidP="00B502A0">
            <w:pPr>
              <w:pStyle w:val="Normln10"/>
              <w:spacing w:before="60" w:after="60" w:line="240" w:lineRule="auto"/>
              <w:jc w:val="left"/>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06EAA7D2" w14:textId="6295F6BE" w:rsidR="00C80078" w:rsidRPr="007E541C" w:rsidRDefault="00C80078" w:rsidP="00B502A0">
            <w:pPr>
              <w:pStyle w:val="Normln10"/>
              <w:spacing w:before="0" w:line="240" w:lineRule="auto"/>
              <w:rPr>
                <w:rFonts w:cs="Arial"/>
              </w:rPr>
            </w:pPr>
            <w:r w:rsidRPr="007E541C">
              <w:rPr>
                <w:rFonts w:cs="Arial"/>
              </w:rPr>
              <w:t>Problematiky rozvoje elektromobility se úzce dotýká revize směrnice 2009/33/ES o</w:t>
            </w:r>
            <w:r w:rsidR="005A1247">
              <w:rPr>
                <w:rFonts w:cs="Arial"/>
              </w:rPr>
              <w:t> </w:t>
            </w:r>
            <w:r w:rsidRPr="007E541C">
              <w:rPr>
                <w:rFonts w:cs="Arial"/>
              </w:rPr>
              <w:t>čistých vozidlech, která obsahuje poměrně ambiciózní cíle a</w:t>
            </w:r>
            <w:r w:rsidR="005A1247">
              <w:rPr>
                <w:rFonts w:cs="Arial"/>
              </w:rPr>
              <w:t> </w:t>
            </w:r>
            <w:r w:rsidRPr="007E541C">
              <w:rPr>
                <w:rFonts w:cs="Arial"/>
              </w:rPr>
              <w:t>též omezenou definici „čistého vozidla“</w:t>
            </w:r>
            <w:r w:rsidR="00543445" w:rsidRPr="007E541C">
              <w:rPr>
                <w:rFonts w:cs="Arial"/>
              </w:rPr>
              <w:t>.</w:t>
            </w:r>
          </w:p>
          <w:p w14:paraId="7334E2AD" w14:textId="7E969C4F" w:rsidR="00C80078" w:rsidRPr="007E541C" w:rsidRDefault="00C80078" w:rsidP="007E541C">
            <w:pPr>
              <w:pStyle w:val="Bullet1"/>
              <w:spacing w:before="0" w:after="0"/>
              <w:rPr>
                <w:sz w:val="20"/>
                <w:szCs w:val="20"/>
              </w:rPr>
            </w:pPr>
            <w:r w:rsidRPr="007E541C">
              <w:rPr>
                <w:sz w:val="20"/>
                <w:szCs w:val="20"/>
              </w:rPr>
              <w:t>Výsledný cíl pro ČR u</w:t>
            </w:r>
            <w:r w:rsidR="005A1247">
              <w:rPr>
                <w:sz w:val="20"/>
                <w:szCs w:val="20"/>
              </w:rPr>
              <w:t> </w:t>
            </w:r>
            <w:r w:rsidRPr="007E541C">
              <w:rPr>
                <w:sz w:val="20"/>
                <w:szCs w:val="20"/>
              </w:rPr>
              <w:t>osobních a</w:t>
            </w:r>
            <w:r w:rsidR="005A1247">
              <w:rPr>
                <w:sz w:val="20"/>
                <w:szCs w:val="20"/>
              </w:rPr>
              <w:t> </w:t>
            </w:r>
            <w:r w:rsidRPr="007E541C">
              <w:rPr>
                <w:sz w:val="20"/>
                <w:szCs w:val="20"/>
              </w:rPr>
              <w:t>lehkých užitkových vozidel: 29,7 %</w:t>
            </w:r>
            <w:r w:rsidR="00543445" w:rsidRPr="007E541C">
              <w:rPr>
                <w:sz w:val="20"/>
                <w:szCs w:val="20"/>
              </w:rPr>
              <w:t xml:space="preserve"> pro první referenční období od 2. srpna 2021 do konce roku 2025 vozidla s</w:t>
            </w:r>
            <w:r w:rsidR="005A1247">
              <w:rPr>
                <w:sz w:val="20"/>
                <w:szCs w:val="20"/>
              </w:rPr>
              <w:t> </w:t>
            </w:r>
            <w:r w:rsidR="00543445" w:rsidRPr="007E541C">
              <w:rPr>
                <w:sz w:val="20"/>
                <w:szCs w:val="20"/>
              </w:rPr>
              <w:t>emisemi do 50 g</w:t>
            </w:r>
            <w:r w:rsidR="005A1247">
              <w:rPr>
                <w:sz w:val="20"/>
                <w:szCs w:val="20"/>
              </w:rPr>
              <w:t> </w:t>
            </w:r>
            <w:r w:rsidR="00543445" w:rsidRPr="007E541C">
              <w:rPr>
                <w:sz w:val="20"/>
                <w:szCs w:val="20"/>
              </w:rPr>
              <w:t>CO2/km, pro druhé referenční období od roku 2026 do roku 2030 pak pouze vozidla s</w:t>
            </w:r>
            <w:r w:rsidR="005A1247">
              <w:rPr>
                <w:sz w:val="20"/>
                <w:szCs w:val="20"/>
              </w:rPr>
              <w:t> </w:t>
            </w:r>
            <w:r w:rsidR="00543445" w:rsidRPr="007E541C">
              <w:rPr>
                <w:sz w:val="20"/>
                <w:szCs w:val="20"/>
              </w:rPr>
              <w:t>emisemi nulovými</w:t>
            </w:r>
          </w:p>
          <w:p w14:paraId="4EE8FA50" w14:textId="1CBEC5BC" w:rsidR="00C80078" w:rsidRPr="007E541C" w:rsidRDefault="00C80078" w:rsidP="007E541C">
            <w:pPr>
              <w:pStyle w:val="Bullet1"/>
              <w:spacing w:before="0" w:after="0"/>
              <w:jc w:val="both"/>
              <w:rPr>
                <w:sz w:val="20"/>
                <w:szCs w:val="20"/>
              </w:rPr>
            </w:pPr>
            <w:r w:rsidRPr="007E541C">
              <w:rPr>
                <w:sz w:val="20"/>
                <w:szCs w:val="20"/>
              </w:rPr>
              <w:t>U osobních a</w:t>
            </w:r>
            <w:r w:rsidR="005A1247">
              <w:rPr>
                <w:sz w:val="20"/>
                <w:szCs w:val="20"/>
              </w:rPr>
              <w:t> </w:t>
            </w:r>
            <w:r w:rsidRPr="007E541C">
              <w:rPr>
                <w:sz w:val="20"/>
                <w:szCs w:val="20"/>
              </w:rPr>
              <w:t>lehkých užitkových vozidel není zahrnuto CNG</w:t>
            </w:r>
          </w:p>
          <w:p w14:paraId="5AD7A574" w14:textId="6E79AC0C" w:rsidR="00C80078" w:rsidRPr="007E541C" w:rsidRDefault="00C80078" w:rsidP="007E541C">
            <w:pPr>
              <w:pStyle w:val="Bullet1"/>
              <w:spacing w:before="0" w:after="0"/>
              <w:jc w:val="both"/>
              <w:rPr>
                <w:sz w:val="20"/>
                <w:szCs w:val="20"/>
              </w:rPr>
            </w:pPr>
            <w:r w:rsidRPr="007E541C">
              <w:rPr>
                <w:sz w:val="20"/>
                <w:szCs w:val="20"/>
              </w:rPr>
              <w:t>Cíl pro ČR u</w:t>
            </w:r>
            <w:r w:rsidR="005A1247">
              <w:rPr>
                <w:sz w:val="20"/>
                <w:szCs w:val="20"/>
              </w:rPr>
              <w:t> </w:t>
            </w:r>
            <w:r w:rsidRPr="007E541C">
              <w:rPr>
                <w:sz w:val="20"/>
                <w:szCs w:val="20"/>
              </w:rPr>
              <w:t>těžkých nákladních vozidel: 9 %/11 %</w:t>
            </w:r>
          </w:p>
          <w:p w14:paraId="1DF33D8B" w14:textId="0593E1FB" w:rsidR="00C80078" w:rsidRPr="007E541C" w:rsidRDefault="00C80078" w:rsidP="007E541C">
            <w:pPr>
              <w:pStyle w:val="Bullet1"/>
              <w:spacing w:before="0" w:after="0"/>
              <w:jc w:val="both"/>
              <w:rPr>
                <w:sz w:val="20"/>
                <w:szCs w:val="20"/>
              </w:rPr>
            </w:pPr>
            <w:r w:rsidRPr="007E541C">
              <w:rPr>
                <w:sz w:val="20"/>
                <w:szCs w:val="20"/>
              </w:rPr>
              <w:t>Cíl pro ČR u</w:t>
            </w:r>
            <w:r w:rsidR="005A1247">
              <w:rPr>
                <w:sz w:val="20"/>
                <w:szCs w:val="20"/>
              </w:rPr>
              <w:t> </w:t>
            </w:r>
            <w:r w:rsidRPr="007E541C">
              <w:rPr>
                <w:sz w:val="20"/>
                <w:szCs w:val="20"/>
              </w:rPr>
              <w:t>autobusů: 41 %/60 %</w:t>
            </w:r>
            <w:r w:rsidRPr="007E541C">
              <w:rPr>
                <w:sz w:val="20"/>
                <w:szCs w:val="20"/>
              </w:rPr>
              <w:tab/>
            </w:r>
          </w:p>
          <w:p w14:paraId="178CAE47" w14:textId="77777777" w:rsidR="00C80078" w:rsidRPr="007E541C" w:rsidRDefault="00C80078" w:rsidP="007E541C">
            <w:pPr>
              <w:pStyle w:val="Bullet1"/>
              <w:spacing w:before="0" w:after="0"/>
              <w:jc w:val="both"/>
              <w:rPr>
                <w:sz w:val="20"/>
                <w:szCs w:val="20"/>
              </w:rPr>
            </w:pPr>
            <w:r w:rsidRPr="007E541C">
              <w:rPr>
                <w:sz w:val="20"/>
                <w:szCs w:val="20"/>
              </w:rPr>
              <w:t>U autobusů musí být 50 % cíle splněno bezemisními vozidly (ne CNG)</w:t>
            </w:r>
          </w:p>
          <w:p w14:paraId="0B0696CA" w14:textId="09A53603" w:rsidR="00C80078" w:rsidRPr="007E541C" w:rsidRDefault="00C80078" w:rsidP="00B502A0">
            <w:pPr>
              <w:pStyle w:val="Normln10"/>
              <w:spacing w:before="0" w:line="240" w:lineRule="auto"/>
              <w:rPr>
                <w:rFonts w:cs="Arial"/>
              </w:rPr>
            </w:pPr>
            <w:r w:rsidRPr="007E541C">
              <w:rPr>
                <w:rFonts w:cs="Arial"/>
              </w:rPr>
              <w:t>Vzhledem k</w:t>
            </w:r>
            <w:r w:rsidR="005A1247">
              <w:rPr>
                <w:rFonts w:cs="Arial"/>
              </w:rPr>
              <w:t> </w:t>
            </w:r>
            <w:r w:rsidRPr="007E541C">
              <w:rPr>
                <w:rFonts w:cs="Arial"/>
              </w:rPr>
              <w:t>tomu, že se jedná o</w:t>
            </w:r>
            <w:r w:rsidR="005A1247">
              <w:rPr>
                <w:rFonts w:cs="Arial"/>
              </w:rPr>
              <w:t> </w:t>
            </w:r>
            <w:r w:rsidRPr="007E541C">
              <w:rPr>
                <w:rFonts w:cs="Arial"/>
              </w:rPr>
              <w:t>poměrně zásadní legislativní požadavek v</w:t>
            </w:r>
            <w:r w:rsidR="005A1247">
              <w:rPr>
                <w:rFonts w:cs="Arial"/>
              </w:rPr>
              <w:t> </w:t>
            </w:r>
            <w:r w:rsidRPr="007E541C">
              <w:rPr>
                <w:rFonts w:cs="Arial"/>
              </w:rPr>
              <w:t>oblasti čisté mobility, který ovlivní její rozvoj v</w:t>
            </w:r>
            <w:r w:rsidR="005A1247">
              <w:rPr>
                <w:rFonts w:cs="Arial"/>
              </w:rPr>
              <w:t> </w:t>
            </w:r>
            <w:r w:rsidRPr="007E541C">
              <w:rPr>
                <w:rFonts w:cs="Arial"/>
              </w:rPr>
              <w:t>ČR, protože se dotýká řady významných subjektů, je žádoucí, aby implementace této směrnice do národní legislativy proběhla správně tak, aby rozvoj elektromobility maximálně podpořila a</w:t>
            </w:r>
            <w:r w:rsidR="005A1247">
              <w:rPr>
                <w:rFonts w:cs="Arial"/>
              </w:rPr>
              <w:t> </w:t>
            </w:r>
            <w:r w:rsidRPr="007E541C">
              <w:rPr>
                <w:rFonts w:cs="Arial"/>
              </w:rPr>
              <w:t>přitom měla co nejmenší negativní dopady (zejména z</w:t>
            </w:r>
            <w:r w:rsidR="005A1247">
              <w:rPr>
                <w:rFonts w:cs="Arial"/>
              </w:rPr>
              <w:t> </w:t>
            </w:r>
            <w:r w:rsidRPr="007E541C">
              <w:rPr>
                <w:rFonts w:cs="Arial"/>
              </w:rPr>
              <w:t>hlediska nákladů na veřejné rozpočty).</w:t>
            </w:r>
          </w:p>
          <w:p w14:paraId="16D37151" w14:textId="21C1BC64" w:rsidR="00C80078" w:rsidRPr="007E541C" w:rsidRDefault="00C80078" w:rsidP="00B502A0">
            <w:pPr>
              <w:pStyle w:val="Normln10"/>
              <w:spacing w:before="0" w:line="240" w:lineRule="auto"/>
              <w:rPr>
                <w:rFonts w:cs="Arial"/>
              </w:rPr>
            </w:pPr>
            <w:r w:rsidRPr="007E541C">
              <w:rPr>
                <w:rFonts w:cs="Arial"/>
              </w:rPr>
              <w:t>Za tímto účelem je žádoucí, aby implementace probíhala v</w:t>
            </w:r>
            <w:r w:rsidR="005A1247">
              <w:rPr>
                <w:rFonts w:cs="Arial"/>
              </w:rPr>
              <w:t> </w:t>
            </w:r>
            <w:r w:rsidRPr="007E541C">
              <w:rPr>
                <w:rFonts w:cs="Arial"/>
              </w:rPr>
              <w:t>úzké součinnosti státní správy i</w:t>
            </w:r>
            <w:r w:rsidR="005A1247">
              <w:rPr>
                <w:rFonts w:cs="Arial"/>
              </w:rPr>
              <w:t> </w:t>
            </w:r>
            <w:r w:rsidRPr="007E541C">
              <w:rPr>
                <w:rFonts w:cs="Arial"/>
              </w:rPr>
              <w:t>dotčených a</w:t>
            </w:r>
            <w:r w:rsidR="005A1247">
              <w:rPr>
                <w:rFonts w:cs="Arial"/>
              </w:rPr>
              <w:t> </w:t>
            </w:r>
            <w:r w:rsidRPr="007E541C">
              <w:rPr>
                <w:rFonts w:cs="Arial"/>
              </w:rPr>
              <w:t>jinak zainteresovaných subjektů.</w:t>
            </w:r>
          </w:p>
          <w:p w14:paraId="48AEF12A" w14:textId="49EA3E97" w:rsidR="007B3EFC" w:rsidRPr="007E541C" w:rsidRDefault="00C80078" w:rsidP="00B502A0">
            <w:pPr>
              <w:pStyle w:val="Normln10"/>
              <w:spacing w:before="0" w:line="240" w:lineRule="auto"/>
              <w:rPr>
                <w:rFonts w:cs="Arial"/>
              </w:rPr>
            </w:pPr>
            <w:r w:rsidRPr="007E541C">
              <w:rPr>
                <w:rFonts w:cs="Arial"/>
              </w:rPr>
              <w:t>Konkrétním příkladem může být to, že z</w:t>
            </w:r>
            <w:r w:rsidR="005A1247">
              <w:rPr>
                <w:rFonts w:cs="Arial"/>
              </w:rPr>
              <w:t> </w:t>
            </w:r>
            <w:r w:rsidRPr="007E541C">
              <w:rPr>
                <w:rFonts w:cs="Arial"/>
              </w:rPr>
              <w:t>pohledu ČR je žádoucí, aby v</w:t>
            </w:r>
            <w:r w:rsidR="005A1247">
              <w:rPr>
                <w:rFonts w:cs="Arial"/>
              </w:rPr>
              <w:t> </w:t>
            </w:r>
            <w:r w:rsidRPr="007E541C">
              <w:rPr>
                <w:rFonts w:cs="Arial"/>
              </w:rPr>
              <w:t>rámci transpozice této novely byla využita možnost zahrnutí trolejbusů, na kterou odkazuje bod 18 preambule („trolejbusy se považují za autobusy s</w:t>
            </w:r>
            <w:r w:rsidR="005A1247">
              <w:rPr>
                <w:rFonts w:cs="Arial"/>
              </w:rPr>
              <w:t> </w:t>
            </w:r>
            <w:r w:rsidRPr="007E541C">
              <w:rPr>
                <w:rFonts w:cs="Arial"/>
              </w:rPr>
              <w:t>nulovými emisemi, pokud jsou poháněny pouze elektřinou nebo používají výhradně hnací ústrojí s</w:t>
            </w:r>
            <w:r w:rsidR="005A1247">
              <w:rPr>
                <w:rFonts w:cs="Arial"/>
              </w:rPr>
              <w:t> </w:t>
            </w:r>
            <w:r w:rsidRPr="007E541C">
              <w:rPr>
                <w:rFonts w:cs="Arial"/>
              </w:rPr>
              <w:t>nulovými emisemi (nejsou-li připojeny k</w:t>
            </w:r>
            <w:r w:rsidR="005A1247">
              <w:rPr>
                <w:rFonts w:cs="Arial"/>
              </w:rPr>
              <w:t> </w:t>
            </w:r>
            <w:r w:rsidRPr="007E541C">
              <w:rPr>
                <w:rFonts w:cs="Arial"/>
              </w:rPr>
              <w:t>elektrické síti); není-li tomu tak, považují se stále za čistá.“)</w:t>
            </w:r>
            <w:r w:rsidR="0092126B" w:rsidRPr="007E541C">
              <w:rPr>
                <w:rFonts w:cs="Arial"/>
              </w:rPr>
              <w:t xml:space="preserve">. </w:t>
            </w:r>
          </w:p>
          <w:p w14:paraId="7A66AFB2" w14:textId="75E2FDD1" w:rsidR="007B3EFC" w:rsidRPr="007E541C" w:rsidRDefault="0092126B" w:rsidP="00B502A0">
            <w:pPr>
              <w:pStyle w:val="Normln10"/>
              <w:spacing w:before="0" w:line="240" w:lineRule="auto"/>
              <w:rPr>
                <w:rFonts w:cs="Arial"/>
              </w:rPr>
            </w:pPr>
            <w:r w:rsidRPr="007E541C">
              <w:rPr>
                <w:rFonts w:cs="Arial"/>
              </w:rPr>
              <w:t>Cílem by mělo být</w:t>
            </w:r>
            <w:r w:rsidR="007B3EFC" w:rsidRPr="007E541C">
              <w:rPr>
                <w:rFonts w:cs="Arial"/>
              </w:rPr>
              <w:t xml:space="preserve"> </w:t>
            </w:r>
            <w:r w:rsidR="00C80078" w:rsidRPr="007E541C">
              <w:rPr>
                <w:rFonts w:cs="Arial"/>
              </w:rPr>
              <w:t>zahrnout trolejbusy do definice čistého vozidla (nad rámec vozidel kategorie M1, M2 a</w:t>
            </w:r>
            <w:r w:rsidR="005A1247">
              <w:rPr>
                <w:rFonts w:cs="Arial"/>
              </w:rPr>
              <w:t> </w:t>
            </w:r>
            <w:r w:rsidR="00C80078" w:rsidRPr="007E541C">
              <w:rPr>
                <w:rFonts w:cs="Arial"/>
              </w:rPr>
              <w:t>M3 podle zákona upravujícího podmínky provozu vozidel na pozemních komunikacích)</w:t>
            </w:r>
            <w:r w:rsidR="0093608B" w:rsidRPr="007E541C">
              <w:rPr>
                <w:rFonts w:cs="Arial"/>
              </w:rPr>
              <w:t>.</w:t>
            </w:r>
            <w:r w:rsidR="00C80078" w:rsidRPr="007E541C">
              <w:rPr>
                <w:rFonts w:cs="Arial"/>
              </w:rPr>
              <w:t xml:space="preserve"> </w:t>
            </w:r>
          </w:p>
          <w:p w14:paraId="506F3EE4" w14:textId="4336B538" w:rsidR="00C80078" w:rsidRDefault="0093608B" w:rsidP="005A1247">
            <w:pPr>
              <w:pStyle w:val="Normln10"/>
              <w:spacing w:before="0" w:line="240" w:lineRule="auto"/>
              <w:rPr>
                <w:rFonts w:cs="Arial"/>
                <w:sz w:val="22"/>
                <w:szCs w:val="22"/>
              </w:rPr>
            </w:pPr>
            <w:r w:rsidRPr="007E541C">
              <w:rPr>
                <w:rFonts w:cs="Arial"/>
              </w:rPr>
              <w:t>Tento krok</w:t>
            </w:r>
            <w:r w:rsidR="00210AA9" w:rsidRPr="007E541C">
              <w:rPr>
                <w:rFonts w:cs="Arial"/>
              </w:rPr>
              <w:t> </w:t>
            </w:r>
            <w:r w:rsidR="00C80078" w:rsidRPr="007E541C">
              <w:rPr>
                <w:rFonts w:cs="Arial"/>
              </w:rPr>
              <w:t>usnadn</w:t>
            </w:r>
            <w:r w:rsidRPr="007E541C">
              <w:rPr>
                <w:rFonts w:cs="Arial"/>
              </w:rPr>
              <w:t>í</w:t>
            </w:r>
            <w:r w:rsidR="00C80078" w:rsidRPr="007E541C">
              <w:rPr>
                <w:rFonts w:cs="Arial"/>
              </w:rPr>
              <w:t xml:space="preserve"> subjektům, které provozují veřejnou dopravu na základě smluv o</w:t>
            </w:r>
            <w:r w:rsidR="005A1247">
              <w:rPr>
                <w:rFonts w:cs="Arial"/>
              </w:rPr>
              <w:t> </w:t>
            </w:r>
            <w:r w:rsidR="00C80078" w:rsidRPr="007E541C">
              <w:rPr>
                <w:rFonts w:cs="Arial"/>
              </w:rPr>
              <w:t>veřejných službách podle nařízení 1370/2007, a</w:t>
            </w:r>
            <w:r w:rsidR="005A1247">
              <w:rPr>
                <w:rFonts w:cs="Arial"/>
              </w:rPr>
              <w:t> </w:t>
            </w:r>
            <w:r w:rsidR="00C80078" w:rsidRPr="007E541C">
              <w:rPr>
                <w:rFonts w:cs="Arial"/>
              </w:rPr>
              <w:t>na které se tak vztahuje novela směrnice 2009/33 o</w:t>
            </w:r>
            <w:r w:rsidR="005A1247">
              <w:rPr>
                <w:rFonts w:cs="Arial"/>
              </w:rPr>
              <w:t> </w:t>
            </w:r>
            <w:r w:rsidR="00C80078" w:rsidRPr="007E541C">
              <w:rPr>
                <w:rFonts w:cs="Arial"/>
              </w:rPr>
              <w:t>podpoře čistých vozidel, naplnění požadovaných podílů čistých vozidel.</w:t>
            </w:r>
          </w:p>
        </w:tc>
      </w:tr>
      <w:tr w:rsidR="00554C5A" w14:paraId="7907758C"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0268F758" w14:textId="4D6F216D" w:rsidR="00C80078" w:rsidRDefault="00C80078" w:rsidP="005A1247">
            <w:pPr>
              <w:pStyle w:val="Normln10"/>
              <w:spacing w:before="60" w:after="60" w:line="240" w:lineRule="auto"/>
              <w:jc w:val="left"/>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0FE5AC16" w14:textId="4285DCE2" w:rsidR="00C80078" w:rsidRDefault="00C80078" w:rsidP="005A1247">
            <w:pPr>
              <w:pStyle w:val="Normln10"/>
              <w:spacing w:before="0" w:line="240" w:lineRule="auto"/>
              <w:rPr>
                <w:rFonts w:cs="Arial"/>
                <w:sz w:val="22"/>
                <w:szCs w:val="22"/>
              </w:rPr>
            </w:pPr>
            <w:r>
              <w:rPr>
                <w:rFonts w:cs="Arial"/>
                <w:sz w:val="22"/>
                <w:szCs w:val="22"/>
              </w:rPr>
              <w:t>V zemích, kde trolejbusy jsou silničním vozidlem (např. Maďarsko, Německo, Polsko), jsou v</w:t>
            </w:r>
            <w:r w:rsidR="005A1247">
              <w:rPr>
                <w:rFonts w:cs="Arial"/>
                <w:sz w:val="22"/>
                <w:szCs w:val="22"/>
              </w:rPr>
              <w:t> </w:t>
            </w:r>
            <w:r>
              <w:rPr>
                <w:rFonts w:cs="Arial"/>
                <w:sz w:val="22"/>
                <w:szCs w:val="22"/>
              </w:rPr>
              <w:t>národní transpozici směrnice zahrnuty automaticky</w:t>
            </w:r>
            <w:r w:rsidR="00F63BAC">
              <w:rPr>
                <w:rFonts w:cs="Arial"/>
                <w:sz w:val="22"/>
                <w:szCs w:val="22"/>
              </w:rPr>
              <w:t>.</w:t>
            </w:r>
          </w:p>
        </w:tc>
      </w:tr>
      <w:tr w:rsidR="00554C5A" w14:paraId="299A611A"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2E357D7D" w14:textId="77777777" w:rsidR="00C80078" w:rsidRDefault="00C80078" w:rsidP="00B502A0">
            <w:pPr>
              <w:pStyle w:val="Normln10"/>
              <w:spacing w:before="0" w:line="240" w:lineRule="auto"/>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551BE12D" w14:textId="6FC75450" w:rsidR="00C80078" w:rsidRDefault="00C80078" w:rsidP="005A1247">
            <w:pPr>
              <w:pStyle w:val="Normln10"/>
              <w:spacing w:before="0" w:line="240" w:lineRule="auto"/>
              <w:jc w:val="left"/>
              <w:rPr>
                <w:rFonts w:cs="Arial"/>
                <w:sz w:val="22"/>
                <w:szCs w:val="22"/>
              </w:rPr>
            </w:pPr>
            <w:r>
              <w:rPr>
                <w:rFonts w:cs="Arial"/>
                <w:sz w:val="22"/>
                <w:szCs w:val="22"/>
              </w:rPr>
              <w:t>Bude upřesněno v</w:t>
            </w:r>
            <w:r w:rsidR="005A1247">
              <w:rPr>
                <w:rFonts w:cs="Arial"/>
                <w:sz w:val="22"/>
                <w:szCs w:val="22"/>
              </w:rPr>
              <w:t> </w:t>
            </w:r>
            <w:r>
              <w:rPr>
                <w:rFonts w:cs="Arial"/>
                <w:sz w:val="22"/>
                <w:szCs w:val="22"/>
              </w:rPr>
              <w:t>důvodové zprávě k</w:t>
            </w:r>
            <w:r w:rsidR="005A1247">
              <w:rPr>
                <w:rFonts w:cs="Arial"/>
                <w:sz w:val="22"/>
                <w:szCs w:val="22"/>
              </w:rPr>
              <w:t> </w:t>
            </w:r>
            <w:r>
              <w:rPr>
                <w:rFonts w:cs="Arial"/>
                <w:sz w:val="22"/>
                <w:szCs w:val="22"/>
              </w:rPr>
              <w:t>novému zákonu o</w:t>
            </w:r>
            <w:r w:rsidR="005A1247">
              <w:rPr>
                <w:rFonts w:cs="Arial"/>
                <w:sz w:val="22"/>
                <w:szCs w:val="22"/>
              </w:rPr>
              <w:t> </w:t>
            </w:r>
            <w:r>
              <w:rPr>
                <w:rFonts w:cs="Arial"/>
                <w:sz w:val="22"/>
                <w:szCs w:val="22"/>
              </w:rPr>
              <w:t>„čistých vozidlech“</w:t>
            </w:r>
          </w:p>
        </w:tc>
      </w:tr>
      <w:tr w:rsidR="00554C5A" w14:paraId="3BB435C7"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228BEF8C" w14:textId="77777777" w:rsidR="00C80078" w:rsidRDefault="00C80078" w:rsidP="00B502A0">
            <w:pPr>
              <w:pStyle w:val="Normln10"/>
              <w:spacing w:before="0" w:line="240" w:lineRule="auto"/>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6D71A42D" w14:textId="77777777" w:rsidR="00C80078" w:rsidRDefault="00C80078" w:rsidP="00B502A0">
            <w:pPr>
              <w:pStyle w:val="Normln10"/>
              <w:spacing w:before="0" w:line="240" w:lineRule="auto"/>
              <w:jc w:val="left"/>
              <w:rPr>
                <w:rFonts w:cs="Arial"/>
                <w:sz w:val="22"/>
                <w:szCs w:val="22"/>
              </w:rPr>
            </w:pPr>
            <w:r>
              <w:rPr>
                <w:rFonts w:cs="Arial"/>
                <w:sz w:val="22"/>
                <w:szCs w:val="22"/>
              </w:rPr>
              <w:t>MMR</w:t>
            </w:r>
          </w:p>
        </w:tc>
      </w:tr>
      <w:tr w:rsidR="00554C5A" w14:paraId="03361C63"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0B7FEEA2" w14:textId="77777777" w:rsidR="00C80078" w:rsidRDefault="00C80078" w:rsidP="00B502A0">
            <w:pPr>
              <w:pStyle w:val="Normln10"/>
              <w:spacing w:before="0" w:line="240" w:lineRule="auto"/>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45F28070" w14:textId="77777777" w:rsidR="00C80078" w:rsidRDefault="00C80078" w:rsidP="00B502A0">
            <w:pPr>
              <w:pStyle w:val="Normln10"/>
              <w:spacing w:before="0" w:line="240" w:lineRule="auto"/>
              <w:jc w:val="left"/>
              <w:rPr>
                <w:rFonts w:cs="Arial"/>
                <w:sz w:val="22"/>
                <w:szCs w:val="22"/>
              </w:rPr>
            </w:pPr>
            <w:r>
              <w:rPr>
                <w:rFonts w:cs="Arial"/>
                <w:sz w:val="22"/>
                <w:szCs w:val="22"/>
              </w:rPr>
              <w:t>MD</w:t>
            </w:r>
          </w:p>
        </w:tc>
      </w:tr>
      <w:tr w:rsidR="00554C5A" w14:paraId="6C08C69C" w14:textId="77777777" w:rsidTr="00B502A0">
        <w:tc>
          <w:tcPr>
            <w:tcW w:w="1984" w:type="dxa"/>
            <w:tcBorders>
              <w:top w:val="single" w:sz="4" w:space="0" w:color="auto"/>
              <w:left w:val="single" w:sz="12" w:space="0" w:color="auto"/>
              <w:bottom w:val="single" w:sz="12" w:space="0" w:color="auto"/>
              <w:right w:val="single" w:sz="12" w:space="0" w:color="auto"/>
            </w:tcBorders>
            <w:vAlign w:val="center"/>
            <w:hideMark/>
          </w:tcPr>
          <w:p w14:paraId="4DEBB152" w14:textId="77777777" w:rsidR="00C80078" w:rsidRDefault="00C80078" w:rsidP="00B502A0">
            <w:pPr>
              <w:pStyle w:val="Normln10"/>
              <w:spacing w:before="60" w:after="60" w:line="240" w:lineRule="auto"/>
              <w:jc w:val="left"/>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tcPr>
          <w:p w14:paraId="65FE68D6" w14:textId="77777777" w:rsidR="00C80078" w:rsidRDefault="00C80078" w:rsidP="00B502A0">
            <w:pPr>
              <w:pStyle w:val="Normln10"/>
              <w:spacing w:before="0" w:line="240" w:lineRule="auto"/>
              <w:jc w:val="left"/>
              <w:rPr>
                <w:rFonts w:cs="Arial"/>
                <w:sz w:val="22"/>
                <w:szCs w:val="22"/>
              </w:rPr>
            </w:pPr>
            <w:r>
              <w:rPr>
                <w:rFonts w:cs="Arial"/>
                <w:sz w:val="22"/>
                <w:szCs w:val="22"/>
              </w:rPr>
              <w:t>08/2021</w:t>
            </w:r>
          </w:p>
        </w:tc>
      </w:tr>
    </w:tbl>
    <w:p w14:paraId="27B84BF4" w14:textId="77777777" w:rsidR="00C80078" w:rsidRDefault="00C80078" w:rsidP="009A3B7E">
      <w:pPr>
        <w:spacing w:before="0" w:after="0"/>
        <w:jc w:val="both"/>
      </w:pPr>
      <w:r>
        <w:br w:type="page"/>
      </w:r>
    </w:p>
    <w:p w14:paraId="64469E17" w14:textId="3FB1314C" w:rsidR="00C80078" w:rsidRDefault="00C80078" w:rsidP="009A3B7E">
      <w:pPr>
        <w:pStyle w:val="Nadpis3"/>
        <w:jc w:val="both"/>
      </w:pPr>
      <w:bookmarkStart w:id="81" w:name="_Toc21589132"/>
      <w:r>
        <w:lastRenderedPageBreak/>
        <w:t xml:space="preserve">S3 </w:t>
      </w:r>
      <w:r w:rsidR="00272A4E">
        <w:t>I</w:t>
      </w:r>
      <w:r w:rsidRPr="00137033">
        <w:t>mplementace směrnice EU o</w:t>
      </w:r>
      <w:r w:rsidR="005A1247">
        <w:t> </w:t>
      </w:r>
      <w:r w:rsidRPr="00137033">
        <w:t xml:space="preserve">energetické </w:t>
      </w:r>
      <w:r w:rsidR="00272A4E">
        <w:t>náročnosti</w:t>
      </w:r>
      <w:r w:rsidRPr="00137033">
        <w:t xml:space="preserve"> budov</w:t>
      </w:r>
      <w:bookmarkEnd w:id="81"/>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C80078" w14:paraId="1C658E12"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042BB904" w14:textId="6E3E0FD6" w:rsidR="00C80078" w:rsidRDefault="00C80078" w:rsidP="005A1247">
            <w:pPr>
              <w:spacing w:before="60" w:after="60"/>
              <w:jc w:val="both"/>
              <w:rPr>
                <w:rFonts w:cs="Arial"/>
                <w:b/>
                <w:color w:val="FFFFFF" w:themeColor="background1"/>
              </w:rPr>
            </w:pPr>
            <w:r>
              <w:rPr>
                <w:rFonts w:cs="Arial"/>
                <w:b/>
                <w:color w:val="FFFFFF" w:themeColor="background1"/>
              </w:rPr>
              <w:t xml:space="preserve">S3 </w:t>
            </w:r>
            <w:r w:rsidR="00272A4E">
              <w:rPr>
                <w:rFonts w:cs="Arial"/>
                <w:b/>
                <w:color w:val="FFFFFF" w:themeColor="background1"/>
              </w:rPr>
              <w:t>I</w:t>
            </w:r>
            <w:r>
              <w:rPr>
                <w:rFonts w:cs="Arial"/>
                <w:b/>
                <w:color w:val="FFFFFF" w:themeColor="background1"/>
              </w:rPr>
              <w:t>mplementace směrnice EU o</w:t>
            </w:r>
            <w:r w:rsidR="005A1247">
              <w:rPr>
                <w:rFonts w:cs="Arial"/>
                <w:b/>
                <w:color w:val="FFFFFF" w:themeColor="background1"/>
              </w:rPr>
              <w:t> </w:t>
            </w:r>
            <w:r>
              <w:rPr>
                <w:rFonts w:cs="Arial"/>
                <w:b/>
                <w:color w:val="FFFFFF" w:themeColor="background1"/>
              </w:rPr>
              <w:t xml:space="preserve">energetické </w:t>
            </w:r>
            <w:r w:rsidR="00272A4E">
              <w:rPr>
                <w:rFonts w:cs="Arial"/>
                <w:b/>
                <w:color w:val="FFFFFF" w:themeColor="background1"/>
              </w:rPr>
              <w:t xml:space="preserve">náročnosti </w:t>
            </w:r>
            <w:r>
              <w:rPr>
                <w:rFonts w:cs="Arial"/>
                <w:b/>
                <w:color w:val="FFFFFF" w:themeColor="background1"/>
              </w:rPr>
              <w:t>budov</w:t>
            </w:r>
          </w:p>
        </w:tc>
      </w:tr>
      <w:tr w:rsidR="000B7F4B" w14:paraId="071F762D" w14:textId="77777777" w:rsidTr="00B502A0">
        <w:tc>
          <w:tcPr>
            <w:tcW w:w="1984" w:type="dxa"/>
            <w:tcBorders>
              <w:top w:val="single" w:sz="12" w:space="0" w:color="auto"/>
              <w:left w:val="single" w:sz="12" w:space="0" w:color="auto"/>
              <w:bottom w:val="single" w:sz="4" w:space="0" w:color="auto"/>
              <w:right w:val="single" w:sz="12" w:space="0" w:color="auto"/>
            </w:tcBorders>
            <w:hideMark/>
          </w:tcPr>
          <w:p w14:paraId="7F08042E" w14:textId="77777777" w:rsidR="00C80078" w:rsidRDefault="00C80078" w:rsidP="00B502A0">
            <w:pPr>
              <w:pStyle w:val="Normln10"/>
              <w:spacing w:before="0" w:line="240" w:lineRule="auto"/>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vAlign w:val="center"/>
            <w:hideMark/>
          </w:tcPr>
          <w:p w14:paraId="71954907" w14:textId="77777777" w:rsidR="00C80078" w:rsidRDefault="00C80078" w:rsidP="00B502A0">
            <w:pPr>
              <w:pStyle w:val="Normln10"/>
              <w:spacing w:before="0" w:line="240" w:lineRule="auto"/>
              <w:jc w:val="left"/>
              <w:rPr>
                <w:rFonts w:cs="Arial"/>
                <w:sz w:val="22"/>
                <w:szCs w:val="22"/>
              </w:rPr>
            </w:pPr>
            <w:r>
              <w:rPr>
                <w:rFonts w:cs="Arial"/>
                <w:sz w:val="22"/>
                <w:szCs w:val="22"/>
              </w:rPr>
              <w:t>Zajištění stabilního regulatorního rámce pro rozvoj elektromobility</w:t>
            </w:r>
            <w:r w:rsidR="00154581">
              <w:rPr>
                <w:rFonts w:cs="Arial"/>
                <w:sz w:val="22"/>
                <w:szCs w:val="22"/>
              </w:rPr>
              <w:t xml:space="preserve"> (kap. 2.4.3.)</w:t>
            </w:r>
          </w:p>
        </w:tc>
      </w:tr>
      <w:tr w:rsidR="000B7F4B" w14:paraId="68A86B9A"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5D054DB9" w14:textId="77777777" w:rsidR="00C80078" w:rsidRDefault="00C80078" w:rsidP="00B502A0">
            <w:pPr>
              <w:pStyle w:val="Normln10"/>
              <w:spacing w:before="0" w:line="240" w:lineRule="auto"/>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vAlign w:val="center"/>
          </w:tcPr>
          <w:p w14:paraId="2F83A6F2" w14:textId="77777777" w:rsidR="00C80078" w:rsidRPr="007C3578" w:rsidRDefault="00C80078" w:rsidP="00B502A0">
            <w:pPr>
              <w:pStyle w:val="Normln10"/>
              <w:spacing w:before="0" w:line="240" w:lineRule="auto"/>
              <w:jc w:val="left"/>
              <w:rPr>
                <w:rFonts w:cs="Arial"/>
                <w:sz w:val="22"/>
                <w:szCs w:val="22"/>
              </w:rPr>
            </w:pPr>
            <w:r>
              <w:rPr>
                <w:rFonts w:cs="Arial"/>
                <w:sz w:val="22"/>
                <w:szCs w:val="22"/>
              </w:rPr>
              <w:t>Rozvoj neveřejné infrastruktury dobíjecích stanic</w:t>
            </w:r>
          </w:p>
        </w:tc>
      </w:tr>
      <w:tr w:rsidR="000B7F4B" w14:paraId="7F409534"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2034DD0C" w14:textId="77777777" w:rsidR="00C80078" w:rsidRDefault="00C80078" w:rsidP="00B502A0">
            <w:pPr>
              <w:pStyle w:val="Normln10"/>
              <w:spacing w:before="0" w:line="240" w:lineRule="auto"/>
              <w:jc w:val="left"/>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2710D0A1" w14:textId="09230F05" w:rsidR="00C80078" w:rsidRDefault="00C80078" w:rsidP="00B502A0">
            <w:pPr>
              <w:pStyle w:val="Normln10"/>
              <w:spacing w:before="0" w:line="240" w:lineRule="auto"/>
              <w:rPr>
                <w:rFonts w:cs="Arial"/>
                <w:sz w:val="22"/>
                <w:szCs w:val="22"/>
              </w:rPr>
            </w:pPr>
            <w:r>
              <w:rPr>
                <w:rFonts w:cs="Arial"/>
                <w:sz w:val="22"/>
                <w:szCs w:val="22"/>
              </w:rPr>
              <w:t>Významným nástrojem pro rozvoj dobíjecí infrastruktury pro elektromobily bude mít implementace směrnice Evropského parlamentu a</w:t>
            </w:r>
            <w:r w:rsidR="005A1247">
              <w:rPr>
                <w:rFonts w:cs="Arial"/>
                <w:sz w:val="22"/>
                <w:szCs w:val="22"/>
              </w:rPr>
              <w:t> </w:t>
            </w:r>
            <w:r>
              <w:rPr>
                <w:rFonts w:cs="Arial"/>
                <w:sz w:val="22"/>
                <w:szCs w:val="22"/>
              </w:rPr>
              <w:t>Rady (EU) 2018/844 ze dne 30. května 2018, kterou se mění směrnice 2010/31/EU o</w:t>
            </w:r>
            <w:r w:rsidR="005A1247">
              <w:rPr>
                <w:rFonts w:cs="Arial"/>
                <w:sz w:val="22"/>
                <w:szCs w:val="22"/>
              </w:rPr>
              <w:t> </w:t>
            </w:r>
            <w:r>
              <w:rPr>
                <w:rFonts w:cs="Arial"/>
                <w:sz w:val="22"/>
                <w:szCs w:val="22"/>
              </w:rPr>
              <w:t>energetické náročnosti budov a</w:t>
            </w:r>
            <w:r w:rsidR="005A1247">
              <w:rPr>
                <w:rFonts w:cs="Arial"/>
                <w:sz w:val="22"/>
                <w:szCs w:val="22"/>
              </w:rPr>
              <w:t> </w:t>
            </w:r>
            <w:r>
              <w:rPr>
                <w:rFonts w:cs="Arial"/>
                <w:sz w:val="22"/>
                <w:szCs w:val="22"/>
              </w:rPr>
              <w:t>směrnice 2012/27/EU o</w:t>
            </w:r>
            <w:r w:rsidR="005A1247">
              <w:rPr>
                <w:rFonts w:cs="Arial"/>
                <w:sz w:val="22"/>
                <w:szCs w:val="22"/>
              </w:rPr>
              <w:t> </w:t>
            </w:r>
            <w:r>
              <w:rPr>
                <w:rFonts w:cs="Arial"/>
                <w:sz w:val="22"/>
                <w:szCs w:val="22"/>
              </w:rPr>
              <w:t>energetické účinnosti, která zavádí nové povinnosti směřující k</w:t>
            </w:r>
            <w:r w:rsidR="005A1247">
              <w:rPr>
                <w:rFonts w:cs="Arial"/>
                <w:sz w:val="22"/>
                <w:szCs w:val="22"/>
              </w:rPr>
              <w:t> </w:t>
            </w:r>
            <w:r>
              <w:rPr>
                <w:rFonts w:cs="Arial"/>
                <w:sz w:val="22"/>
                <w:szCs w:val="22"/>
              </w:rPr>
              <w:t>rozvoji infrastruktury pro elektromobily v</w:t>
            </w:r>
            <w:r w:rsidR="005A1247">
              <w:rPr>
                <w:rFonts w:cs="Arial"/>
                <w:sz w:val="22"/>
                <w:szCs w:val="22"/>
              </w:rPr>
              <w:t> </w:t>
            </w:r>
            <w:r>
              <w:rPr>
                <w:rFonts w:cs="Arial"/>
                <w:sz w:val="22"/>
                <w:szCs w:val="22"/>
              </w:rPr>
              <w:t>budovách. Požadavky jsou stanovené pro obytné i</w:t>
            </w:r>
            <w:r w:rsidR="005A1247">
              <w:rPr>
                <w:rFonts w:cs="Arial"/>
                <w:sz w:val="22"/>
                <w:szCs w:val="22"/>
              </w:rPr>
              <w:t> </w:t>
            </w:r>
            <w:r>
              <w:rPr>
                <w:rFonts w:cs="Arial"/>
                <w:sz w:val="22"/>
                <w:szCs w:val="22"/>
              </w:rPr>
              <w:t>jiné než obytné budovy, a</w:t>
            </w:r>
            <w:r w:rsidR="005A1247">
              <w:rPr>
                <w:rFonts w:cs="Arial"/>
                <w:sz w:val="22"/>
                <w:szCs w:val="22"/>
              </w:rPr>
              <w:t> </w:t>
            </w:r>
            <w:r>
              <w:rPr>
                <w:rFonts w:cs="Arial"/>
                <w:sz w:val="22"/>
                <w:szCs w:val="22"/>
              </w:rPr>
              <w:t>to pro případy nové výstavby nebo vetší změny dokončené budovy. Od března 2020 (transpoziční lhůta) bude povinnost instalace 1 dobíjecí stanice a</w:t>
            </w:r>
            <w:r w:rsidR="005A1247">
              <w:rPr>
                <w:rFonts w:cs="Arial"/>
                <w:sz w:val="22"/>
                <w:szCs w:val="22"/>
              </w:rPr>
              <w:t> </w:t>
            </w:r>
            <w:r>
              <w:rPr>
                <w:rFonts w:cs="Arial"/>
                <w:sz w:val="22"/>
                <w:szCs w:val="22"/>
              </w:rPr>
              <w:t>kabelovodů nejméně pro každé páté parkovací místo v</w:t>
            </w:r>
            <w:r w:rsidR="005A1247">
              <w:rPr>
                <w:rFonts w:cs="Arial"/>
                <w:sz w:val="22"/>
                <w:szCs w:val="22"/>
              </w:rPr>
              <w:t> </w:t>
            </w:r>
            <w:r>
              <w:rPr>
                <w:rFonts w:cs="Arial"/>
                <w:sz w:val="22"/>
                <w:szCs w:val="22"/>
              </w:rPr>
              <w:t>jiných než obytných budovách s</w:t>
            </w:r>
            <w:r w:rsidR="005A1247">
              <w:rPr>
                <w:rFonts w:cs="Arial"/>
                <w:sz w:val="22"/>
                <w:szCs w:val="22"/>
              </w:rPr>
              <w:t> </w:t>
            </w:r>
            <w:r>
              <w:rPr>
                <w:rFonts w:cs="Arial"/>
                <w:sz w:val="22"/>
                <w:szCs w:val="22"/>
              </w:rPr>
              <w:t>více než 10 parkovacími místy v</w:t>
            </w:r>
            <w:r w:rsidR="005A1247">
              <w:rPr>
                <w:rFonts w:cs="Arial"/>
                <w:sz w:val="22"/>
                <w:szCs w:val="22"/>
              </w:rPr>
              <w:t> </w:t>
            </w:r>
            <w:r>
              <w:rPr>
                <w:rFonts w:cs="Arial"/>
                <w:sz w:val="22"/>
                <w:szCs w:val="22"/>
              </w:rPr>
              <w:t>případě nové stavby nebo větší změny dokončené budovy.</w:t>
            </w:r>
          </w:p>
          <w:p w14:paraId="4B207DF7" w14:textId="443C6503" w:rsidR="00C80078" w:rsidRDefault="00C80078" w:rsidP="00B502A0">
            <w:pPr>
              <w:pStyle w:val="Normln10"/>
              <w:spacing w:before="0" w:line="240" w:lineRule="auto"/>
              <w:rPr>
                <w:rFonts w:cs="Arial"/>
                <w:sz w:val="22"/>
                <w:szCs w:val="22"/>
              </w:rPr>
            </w:pPr>
            <w:r>
              <w:rPr>
                <w:rFonts w:cs="Arial"/>
                <w:sz w:val="22"/>
                <w:szCs w:val="22"/>
              </w:rPr>
              <w:t>V případě obytných budov s</w:t>
            </w:r>
            <w:r w:rsidR="005A1247">
              <w:rPr>
                <w:rFonts w:cs="Arial"/>
                <w:sz w:val="22"/>
                <w:szCs w:val="22"/>
              </w:rPr>
              <w:t> </w:t>
            </w:r>
            <w:r>
              <w:rPr>
                <w:rFonts w:cs="Arial"/>
                <w:sz w:val="22"/>
                <w:szCs w:val="22"/>
              </w:rPr>
              <w:t>více než deseti parkovacími místy bude povinné instalovat kabelovody pro každé parkovací místo, a</w:t>
            </w:r>
            <w:r w:rsidR="005A1247">
              <w:rPr>
                <w:rFonts w:cs="Arial"/>
                <w:sz w:val="22"/>
                <w:szCs w:val="22"/>
              </w:rPr>
              <w:t> </w:t>
            </w:r>
            <w:r>
              <w:rPr>
                <w:rFonts w:cs="Arial"/>
                <w:sz w:val="22"/>
                <w:szCs w:val="22"/>
              </w:rPr>
              <w:t>to pro stejné případy jako u</w:t>
            </w:r>
            <w:r w:rsidR="005A1247">
              <w:rPr>
                <w:rFonts w:cs="Arial"/>
                <w:sz w:val="22"/>
                <w:szCs w:val="22"/>
              </w:rPr>
              <w:t> </w:t>
            </w:r>
            <w:r>
              <w:rPr>
                <w:rFonts w:cs="Arial"/>
                <w:sz w:val="22"/>
                <w:szCs w:val="22"/>
              </w:rPr>
              <w:t xml:space="preserve">jiných než obytných budov. </w:t>
            </w:r>
          </w:p>
          <w:p w14:paraId="388D3F87" w14:textId="6D606419" w:rsidR="00C80078" w:rsidRDefault="00C80078" w:rsidP="00B502A0">
            <w:pPr>
              <w:pStyle w:val="Normln10"/>
              <w:spacing w:before="0" w:line="240" w:lineRule="auto"/>
              <w:rPr>
                <w:rFonts w:cs="Arial"/>
                <w:sz w:val="22"/>
                <w:szCs w:val="22"/>
              </w:rPr>
            </w:pPr>
            <w:r>
              <w:rPr>
                <w:rFonts w:cs="Arial"/>
                <w:sz w:val="22"/>
                <w:szCs w:val="22"/>
              </w:rPr>
              <w:t>Od 1. ledna 2025 členské státy stanoví požadavky týkající se instalace minimálního počtu dobíjecích stanic do všech jiných než obytných budov s</w:t>
            </w:r>
            <w:r w:rsidR="005A1247">
              <w:rPr>
                <w:rFonts w:cs="Arial"/>
                <w:sz w:val="22"/>
                <w:szCs w:val="22"/>
              </w:rPr>
              <w:t> </w:t>
            </w:r>
            <w:r>
              <w:rPr>
                <w:rFonts w:cs="Arial"/>
                <w:sz w:val="22"/>
                <w:szCs w:val="22"/>
              </w:rPr>
              <w:t>více než dvaceti parkovacími místy.</w:t>
            </w:r>
          </w:p>
          <w:p w14:paraId="1DCAECDF" w14:textId="4C7E1BF3" w:rsidR="00C80078" w:rsidRDefault="00C80078" w:rsidP="00B502A0">
            <w:pPr>
              <w:pStyle w:val="Normln10"/>
              <w:spacing w:before="0" w:line="240" w:lineRule="auto"/>
              <w:rPr>
                <w:rFonts w:cs="Arial"/>
                <w:sz w:val="22"/>
                <w:szCs w:val="22"/>
              </w:rPr>
            </w:pPr>
            <w:r>
              <w:rPr>
                <w:rFonts w:cs="Arial"/>
                <w:sz w:val="22"/>
                <w:szCs w:val="22"/>
              </w:rPr>
              <w:t>Za implementaci směrnice je gesčně odpovědné MPO, které v</w:t>
            </w:r>
            <w:r w:rsidR="005A1247">
              <w:rPr>
                <w:rFonts w:cs="Arial"/>
                <w:sz w:val="22"/>
                <w:szCs w:val="22"/>
              </w:rPr>
              <w:t> </w:t>
            </w:r>
            <w:r>
              <w:rPr>
                <w:rFonts w:cs="Arial"/>
                <w:sz w:val="22"/>
                <w:szCs w:val="22"/>
              </w:rPr>
              <w:t>rámci pracovní skupiny k</w:t>
            </w:r>
            <w:r w:rsidR="005A1247">
              <w:rPr>
                <w:rFonts w:cs="Arial"/>
                <w:sz w:val="22"/>
                <w:szCs w:val="22"/>
              </w:rPr>
              <w:t> </w:t>
            </w:r>
            <w:r>
              <w:rPr>
                <w:rFonts w:cs="Arial"/>
                <w:sz w:val="22"/>
                <w:szCs w:val="22"/>
              </w:rPr>
              <w:t>transpozici směrnice diskutuje možnost způsobu transpozice výše uvedených povinností. Prozatím se uvažuje o</w:t>
            </w:r>
            <w:r w:rsidR="005A1247">
              <w:rPr>
                <w:rFonts w:cs="Arial"/>
                <w:sz w:val="22"/>
                <w:szCs w:val="22"/>
              </w:rPr>
              <w:t> </w:t>
            </w:r>
            <w:r>
              <w:rPr>
                <w:rFonts w:cs="Arial"/>
                <w:sz w:val="22"/>
                <w:szCs w:val="22"/>
              </w:rPr>
              <w:t>transpozici do zákona č. 406/2000 Sb., o</w:t>
            </w:r>
            <w:r w:rsidR="005A1247">
              <w:rPr>
                <w:rFonts w:cs="Arial"/>
                <w:sz w:val="22"/>
                <w:szCs w:val="22"/>
              </w:rPr>
              <w:t> </w:t>
            </w:r>
            <w:r>
              <w:rPr>
                <w:rFonts w:cs="Arial"/>
                <w:sz w:val="22"/>
                <w:szCs w:val="22"/>
              </w:rPr>
              <w:t>hospodaření energií, ve znění pozdějších předpisů, s</w:t>
            </w:r>
            <w:r w:rsidR="005A1247">
              <w:rPr>
                <w:rFonts w:cs="Arial"/>
                <w:sz w:val="22"/>
                <w:szCs w:val="22"/>
              </w:rPr>
              <w:t> </w:t>
            </w:r>
            <w:r>
              <w:rPr>
                <w:rFonts w:cs="Arial"/>
                <w:sz w:val="22"/>
                <w:szCs w:val="22"/>
              </w:rPr>
              <w:t>provazbou na vyhlášku č. 268/2009 Sb., o</w:t>
            </w:r>
            <w:r w:rsidR="005A1247">
              <w:rPr>
                <w:rFonts w:cs="Arial"/>
                <w:sz w:val="22"/>
                <w:szCs w:val="22"/>
              </w:rPr>
              <w:t> </w:t>
            </w:r>
            <w:r>
              <w:rPr>
                <w:rFonts w:cs="Arial"/>
                <w:sz w:val="22"/>
                <w:szCs w:val="22"/>
              </w:rPr>
              <w:t>technických požadavcích na stavby, ve znění pozdějších předpisů. Vzhledem k</w:t>
            </w:r>
            <w:r w:rsidR="005A1247">
              <w:rPr>
                <w:rFonts w:cs="Arial"/>
                <w:sz w:val="22"/>
                <w:szCs w:val="22"/>
              </w:rPr>
              <w:t> </w:t>
            </w:r>
            <w:r>
              <w:rPr>
                <w:rFonts w:cs="Arial"/>
                <w:sz w:val="22"/>
                <w:szCs w:val="22"/>
              </w:rPr>
              <w:t>vývoji prací na transpozici všech nových požadavků, bylo zažádáno o</w:t>
            </w:r>
            <w:r w:rsidR="005A1247">
              <w:rPr>
                <w:rFonts w:cs="Arial"/>
                <w:sz w:val="22"/>
                <w:szCs w:val="22"/>
              </w:rPr>
              <w:t> </w:t>
            </w:r>
            <w:r>
              <w:rPr>
                <w:rFonts w:cs="Arial"/>
                <w:sz w:val="22"/>
                <w:szCs w:val="22"/>
              </w:rPr>
              <w:t>odklad předložení návrhu zákona, kterým se mění zákon č. 406/2000 Sb., o</w:t>
            </w:r>
            <w:r w:rsidR="005A1247">
              <w:rPr>
                <w:rFonts w:cs="Arial"/>
                <w:sz w:val="22"/>
                <w:szCs w:val="22"/>
              </w:rPr>
              <w:t> </w:t>
            </w:r>
            <w:r>
              <w:rPr>
                <w:rFonts w:cs="Arial"/>
                <w:sz w:val="22"/>
                <w:szCs w:val="22"/>
              </w:rPr>
              <w:t>hospodaření energií, ve znění pozdějších předpisů, z</w:t>
            </w:r>
            <w:r w:rsidR="005A1247">
              <w:rPr>
                <w:rFonts w:cs="Arial"/>
                <w:sz w:val="22"/>
                <w:szCs w:val="22"/>
              </w:rPr>
              <w:t> </w:t>
            </w:r>
            <w:r>
              <w:rPr>
                <w:rFonts w:cs="Arial"/>
                <w:sz w:val="22"/>
                <w:szCs w:val="22"/>
              </w:rPr>
              <w:t>června 2019 na březen 2020.</w:t>
            </w:r>
          </w:p>
          <w:p w14:paraId="0CEDDDCA" w14:textId="0E5FD67F" w:rsidR="00C80078" w:rsidRDefault="00C80078" w:rsidP="00B502A0">
            <w:pPr>
              <w:pStyle w:val="Normln10"/>
              <w:spacing w:before="0" w:line="240" w:lineRule="auto"/>
              <w:rPr>
                <w:rFonts w:cs="Arial"/>
                <w:sz w:val="22"/>
                <w:szCs w:val="22"/>
              </w:rPr>
            </w:pPr>
            <w:r>
              <w:rPr>
                <w:rFonts w:cs="Arial"/>
                <w:sz w:val="22"/>
                <w:szCs w:val="22"/>
              </w:rPr>
              <w:t>Spolu s</w:t>
            </w:r>
            <w:r w:rsidR="005A1247">
              <w:rPr>
                <w:rFonts w:cs="Arial"/>
                <w:sz w:val="22"/>
                <w:szCs w:val="22"/>
              </w:rPr>
              <w:t> </w:t>
            </w:r>
            <w:r>
              <w:rPr>
                <w:rFonts w:cs="Arial"/>
                <w:sz w:val="22"/>
                <w:szCs w:val="22"/>
              </w:rPr>
              <w:t>revizí směrnice o</w:t>
            </w:r>
            <w:r w:rsidR="005A1247">
              <w:rPr>
                <w:rFonts w:cs="Arial"/>
                <w:sz w:val="22"/>
                <w:szCs w:val="22"/>
              </w:rPr>
              <w:t> </w:t>
            </w:r>
            <w:r>
              <w:rPr>
                <w:rFonts w:cs="Arial"/>
                <w:sz w:val="22"/>
                <w:szCs w:val="22"/>
              </w:rPr>
              <w:t>čistých vozidlech se jedná o</w:t>
            </w:r>
            <w:r w:rsidR="005A1247">
              <w:rPr>
                <w:rFonts w:cs="Arial"/>
                <w:sz w:val="22"/>
                <w:szCs w:val="22"/>
              </w:rPr>
              <w:t> </w:t>
            </w:r>
            <w:r>
              <w:rPr>
                <w:rFonts w:cs="Arial"/>
                <w:sz w:val="22"/>
                <w:szCs w:val="22"/>
              </w:rPr>
              <w:t>poměrně významný legislativní požadavek v</w:t>
            </w:r>
            <w:r w:rsidR="005A1247">
              <w:rPr>
                <w:rFonts w:cs="Arial"/>
                <w:sz w:val="22"/>
                <w:szCs w:val="22"/>
              </w:rPr>
              <w:t> </w:t>
            </w:r>
            <w:r>
              <w:rPr>
                <w:rFonts w:cs="Arial"/>
                <w:sz w:val="22"/>
                <w:szCs w:val="22"/>
              </w:rPr>
              <w:t xml:space="preserve">oblasti čisté mobility, který ovlivní rozvoj dobíjecí infrastruktury jako klíčové podmínky pro rozvoj elektromobility. </w:t>
            </w:r>
          </w:p>
          <w:p w14:paraId="1C623965" w14:textId="34735B6D" w:rsidR="00C80078" w:rsidRDefault="00C80078" w:rsidP="005A1247">
            <w:pPr>
              <w:pStyle w:val="Normln10"/>
              <w:spacing w:before="0" w:line="240" w:lineRule="auto"/>
              <w:rPr>
                <w:rFonts w:cs="Arial"/>
                <w:sz w:val="22"/>
                <w:szCs w:val="22"/>
              </w:rPr>
            </w:pPr>
            <w:r>
              <w:rPr>
                <w:rFonts w:cs="Arial"/>
                <w:sz w:val="22"/>
                <w:szCs w:val="22"/>
              </w:rPr>
              <w:t>Opatření by se dále mělo zaměřit i</w:t>
            </w:r>
            <w:r w:rsidR="005A1247">
              <w:rPr>
                <w:rFonts w:cs="Arial"/>
                <w:sz w:val="22"/>
                <w:szCs w:val="22"/>
              </w:rPr>
              <w:t> </w:t>
            </w:r>
            <w:r>
              <w:rPr>
                <w:rFonts w:cs="Arial"/>
                <w:sz w:val="22"/>
                <w:szCs w:val="22"/>
              </w:rPr>
              <w:t>na formulaci doporučení toho, jak zejména v</w:t>
            </w:r>
            <w:r w:rsidR="005A1247">
              <w:rPr>
                <w:rFonts w:cs="Arial"/>
                <w:sz w:val="22"/>
                <w:szCs w:val="22"/>
              </w:rPr>
              <w:t> </w:t>
            </w:r>
            <w:r>
              <w:rPr>
                <w:rFonts w:cs="Arial"/>
                <w:sz w:val="22"/>
                <w:szCs w:val="22"/>
              </w:rPr>
              <w:t>bytových domech řešit otázku dobíjení vozidel, zejména ve smyslu sledování a</w:t>
            </w:r>
            <w:r w:rsidR="005A1247">
              <w:rPr>
                <w:rFonts w:cs="Arial"/>
                <w:sz w:val="22"/>
                <w:szCs w:val="22"/>
              </w:rPr>
              <w:t> </w:t>
            </w:r>
            <w:r>
              <w:rPr>
                <w:rFonts w:cs="Arial"/>
                <w:sz w:val="22"/>
                <w:szCs w:val="22"/>
              </w:rPr>
              <w:t>fakturace nákladů za spotřebovanou elektřinu</w:t>
            </w:r>
            <w:r w:rsidR="00CE7666">
              <w:rPr>
                <w:rFonts w:cs="Arial"/>
                <w:sz w:val="22"/>
                <w:szCs w:val="22"/>
              </w:rPr>
              <w:t xml:space="preserve"> ve společných prostorách domů. </w:t>
            </w:r>
            <w:r>
              <w:rPr>
                <w:rFonts w:cs="Arial"/>
                <w:sz w:val="22"/>
                <w:szCs w:val="22"/>
              </w:rPr>
              <w:t>Za tímto účelem je žádoucí, aby implementace probíhala v</w:t>
            </w:r>
            <w:r w:rsidR="005A1247">
              <w:rPr>
                <w:rFonts w:cs="Arial"/>
                <w:sz w:val="22"/>
                <w:szCs w:val="22"/>
              </w:rPr>
              <w:t> </w:t>
            </w:r>
            <w:r>
              <w:rPr>
                <w:rFonts w:cs="Arial"/>
                <w:sz w:val="22"/>
                <w:szCs w:val="22"/>
              </w:rPr>
              <w:t>úzké součinnosti státní správy i</w:t>
            </w:r>
            <w:r w:rsidR="005A1247">
              <w:rPr>
                <w:rFonts w:cs="Arial"/>
                <w:sz w:val="22"/>
                <w:szCs w:val="22"/>
              </w:rPr>
              <w:t> </w:t>
            </w:r>
            <w:r>
              <w:rPr>
                <w:rFonts w:cs="Arial"/>
                <w:sz w:val="22"/>
                <w:szCs w:val="22"/>
              </w:rPr>
              <w:t>dotčených a</w:t>
            </w:r>
            <w:r w:rsidR="005A1247">
              <w:rPr>
                <w:rFonts w:cs="Arial"/>
                <w:sz w:val="22"/>
                <w:szCs w:val="22"/>
              </w:rPr>
              <w:t> </w:t>
            </w:r>
            <w:r>
              <w:rPr>
                <w:rFonts w:cs="Arial"/>
                <w:sz w:val="22"/>
                <w:szCs w:val="22"/>
              </w:rPr>
              <w:t>jinak zainteresovaných subjektů.</w:t>
            </w:r>
          </w:p>
        </w:tc>
      </w:tr>
      <w:tr w:rsidR="000B7F4B" w14:paraId="318C86B0"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6BA8F0F6" w14:textId="77777777" w:rsidR="00C80078" w:rsidRDefault="00C80078" w:rsidP="00B502A0">
            <w:pPr>
              <w:pStyle w:val="Normln10"/>
              <w:spacing w:before="0" w:line="240" w:lineRule="auto"/>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4B30FDFC" w14:textId="4F0BFFDC" w:rsidR="00C80078" w:rsidRDefault="00C80078" w:rsidP="005A1247">
            <w:pPr>
              <w:pStyle w:val="Normln10"/>
              <w:spacing w:before="0" w:line="240" w:lineRule="auto"/>
              <w:jc w:val="left"/>
              <w:rPr>
                <w:rFonts w:cs="Arial"/>
                <w:sz w:val="22"/>
                <w:szCs w:val="22"/>
              </w:rPr>
            </w:pPr>
            <w:r>
              <w:rPr>
                <w:rFonts w:cs="Arial"/>
                <w:sz w:val="22"/>
                <w:szCs w:val="22"/>
              </w:rPr>
              <w:t>Bude upřesněno v</w:t>
            </w:r>
            <w:r w:rsidR="005A1247">
              <w:rPr>
                <w:rFonts w:cs="Arial"/>
                <w:sz w:val="22"/>
                <w:szCs w:val="22"/>
              </w:rPr>
              <w:t> </w:t>
            </w:r>
            <w:r>
              <w:rPr>
                <w:rFonts w:cs="Arial"/>
                <w:sz w:val="22"/>
                <w:szCs w:val="22"/>
              </w:rPr>
              <w:t>důvodové zprávě k</w:t>
            </w:r>
            <w:r w:rsidR="005A1247">
              <w:rPr>
                <w:rFonts w:cs="Arial"/>
                <w:sz w:val="22"/>
                <w:szCs w:val="22"/>
              </w:rPr>
              <w:t> </w:t>
            </w:r>
            <w:r>
              <w:rPr>
                <w:rFonts w:cs="Arial"/>
                <w:sz w:val="22"/>
                <w:szCs w:val="22"/>
              </w:rPr>
              <w:t>novele příslušného zákona</w:t>
            </w:r>
          </w:p>
        </w:tc>
      </w:tr>
      <w:tr w:rsidR="000B7F4B" w14:paraId="0BB3746C"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7717D51E" w14:textId="77777777" w:rsidR="00C80078" w:rsidRDefault="00C80078" w:rsidP="00B502A0">
            <w:pPr>
              <w:pStyle w:val="Normln10"/>
              <w:spacing w:before="0" w:line="240" w:lineRule="auto"/>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6857CF2A" w14:textId="77777777" w:rsidR="00C80078" w:rsidRDefault="00C80078" w:rsidP="00B502A0">
            <w:pPr>
              <w:pStyle w:val="Normln10"/>
              <w:spacing w:before="0" w:line="240" w:lineRule="auto"/>
              <w:jc w:val="left"/>
              <w:rPr>
                <w:rFonts w:cs="Arial"/>
                <w:sz w:val="22"/>
                <w:szCs w:val="22"/>
              </w:rPr>
            </w:pPr>
            <w:r>
              <w:rPr>
                <w:rFonts w:cs="Arial"/>
                <w:sz w:val="22"/>
                <w:szCs w:val="22"/>
              </w:rPr>
              <w:t>MPO</w:t>
            </w:r>
          </w:p>
        </w:tc>
      </w:tr>
      <w:tr w:rsidR="000B7F4B" w14:paraId="54CAE8CF"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7E8617DD" w14:textId="77777777" w:rsidR="00C80078" w:rsidRDefault="00C80078" w:rsidP="00B502A0">
            <w:pPr>
              <w:pStyle w:val="Normln10"/>
              <w:spacing w:before="0" w:line="240" w:lineRule="auto"/>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794E882C" w14:textId="77777777" w:rsidR="00C80078" w:rsidRDefault="00C80078" w:rsidP="00B502A0">
            <w:pPr>
              <w:pStyle w:val="Normln10"/>
              <w:spacing w:before="0" w:line="240" w:lineRule="auto"/>
              <w:jc w:val="left"/>
              <w:rPr>
                <w:rFonts w:cs="Arial"/>
                <w:sz w:val="22"/>
                <w:szCs w:val="22"/>
              </w:rPr>
            </w:pPr>
            <w:r>
              <w:rPr>
                <w:rFonts w:cs="Arial"/>
                <w:sz w:val="22"/>
                <w:szCs w:val="22"/>
              </w:rPr>
              <w:t>MMR</w:t>
            </w:r>
          </w:p>
        </w:tc>
      </w:tr>
      <w:tr w:rsidR="000B7F4B" w14:paraId="671E672A" w14:textId="77777777" w:rsidTr="00B502A0">
        <w:tc>
          <w:tcPr>
            <w:tcW w:w="1984" w:type="dxa"/>
            <w:tcBorders>
              <w:top w:val="single" w:sz="4" w:space="0" w:color="auto"/>
              <w:left w:val="single" w:sz="12" w:space="0" w:color="auto"/>
              <w:bottom w:val="single" w:sz="12" w:space="0" w:color="auto"/>
              <w:right w:val="single" w:sz="12" w:space="0" w:color="auto"/>
            </w:tcBorders>
            <w:hideMark/>
          </w:tcPr>
          <w:p w14:paraId="07522B8A" w14:textId="77777777" w:rsidR="00C80078" w:rsidRDefault="00C80078" w:rsidP="00B502A0">
            <w:pPr>
              <w:pStyle w:val="Normln10"/>
              <w:spacing w:before="0" w:line="240" w:lineRule="auto"/>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tcPr>
          <w:p w14:paraId="765CF48B" w14:textId="77777777" w:rsidR="00C80078" w:rsidRDefault="00C80078" w:rsidP="00B502A0">
            <w:pPr>
              <w:pStyle w:val="Normln10"/>
              <w:spacing w:before="0" w:line="240" w:lineRule="auto"/>
              <w:jc w:val="left"/>
              <w:rPr>
                <w:rFonts w:cs="Arial"/>
                <w:sz w:val="22"/>
                <w:szCs w:val="22"/>
              </w:rPr>
            </w:pPr>
            <w:r>
              <w:rPr>
                <w:rFonts w:cs="Arial"/>
                <w:sz w:val="22"/>
                <w:szCs w:val="22"/>
              </w:rPr>
              <w:t>03/2020</w:t>
            </w:r>
          </w:p>
        </w:tc>
      </w:tr>
    </w:tbl>
    <w:p w14:paraId="14689B0A" w14:textId="77777777" w:rsidR="00C80078" w:rsidRDefault="00C80078" w:rsidP="009A3B7E">
      <w:pPr>
        <w:spacing w:before="0" w:after="0"/>
        <w:jc w:val="both"/>
      </w:pPr>
      <w:r>
        <w:br w:type="page"/>
      </w:r>
    </w:p>
    <w:p w14:paraId="0C108DE0" w14:textId="76B97508" w:rsidR="00C80078" w:rsidRDefault="00C80078" w:rsidP="009A3B7E">
      <w:pPr>
        <w:pStyle w:val="Nadpis3"/>
        <w:jc w:val="both"/>
      </w:pPr>
      <w:bookmarkStart w:id="82" w:name="_Toc21589133"/>
      <w:r>
        <w:lastRenderedPageBreak/>
        <w:t xml:space="preserve">S4 </w:t>
      </w:r>
      <w:r w:rsidRPr="005432B2">
        <w:t xml:space="preserve">Zohlednění potřeb </w:t>
      </w:r>
      <w:r>
        <w:t>infrastruktury</w:t>
      </w:r>
      <w:r w:rsidRPr="005432B2">
        <w:t xml:space="preserve"> </w:t>
      </w:r>
      <w:r>
        <w:t xml:space="preserve">alternativních paliv </w:t>
      </w:r>
      <w:r w:rsidRPr="005432B2">
        <w:t>v</w:t>
      </w:r>
      <w:r w:rsidR="005A1247">
        <w:t> </w:t>
      </w:r>
      <w:r w:rsidRPr="005432B2">
        <w:t>rámci Koncepce dálničních odpočívek</w:t>
      </w:r>
      <w:bookmarkEnd w:id="82"/>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C80078" w14:paraId="3EEC51B1"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721F8989" w14:textId="77C99380" w:rsidR="00C80078" w:rsidRDefault="00C80078" w:rsidP="005A1247">
            <w:pPr>
              <w:spacing w:before="60" w:after="60"/>
              <w:jc w:val="both"/>
              <w:rPr>
                <w:rFonts w:cs="Arial"/>
                <w:b/>
                <w:color w:val="FFFFFF" w:themeColor="background1"/>
              </w:rPr>
            </w:pPr>
            <w:r>
              <w:rPr>
                <w:rFonts w:cs="Arial"/>
                <w:b/>
                <w:color w:val="FFFFFF" w:themeColor="background1"/>
              </w:rPr>
              <w:t xml:space="preserve">S4 </w:t>
            </w:r>
            <w:r w:rsidRPr="000A49C7">
              <w:rPr>
                <w:rFonts w:cs="Arial"/>
                <w:b/>
                <w:color w:val="FFFFFF" w:themeColor="background1"/>
              </w:rPr>
              <w:t>Zohlednění potřeb infrastruktury alternativních paliv v</w:t>
            </w:r>
            <w:r w:rsidR="005A1247">
              <w:rPr>
                <w:rFonts w:cs="Arial"/>
                <w:b/>
                <w:color w:val="FFFFFF" w:themeColor="background1"/>
              </w:rPr>
              <w:t> </w:t>
            </w:r>
            <w:r w:rsidRPr="000A49C7">
              <w:rPr>
                <w:rFonts w:cs="Arial"/>
                <w:b/>
                <w:color w:val="FFFFFF" w:themeColor="background1"/>
              </w:rPr>
              <w:t>rámci Koncepce dálničních odpočívek</w:t>
            </w:r>
          </w:p>
        </w:tc>
      </w:tr>
      <w:tr w:rsidR="000B7F4B" w14:paraId="0F50395F" w14:textId="77777777" w:rsidTr="00B502A0">
        <w:tc>
          <w:tcPr>
            <w:tcW w:w="1984" w:type="dxa"/>
            <w:tcBorders>
              <w:top w:val="single" w:sz="12" w:space="0" w:color="auto"/>
              <w:left w:val="single" w:sz="12" w:space="0" w:color="auto"/>
              <w:bottom w:val="single" w:sz="4" w:space="0" w:color="auto"/>
              <w:right w:val="single" w:sz="12" w:space="0" w:color="auto"/>
            </w:tcBorders>
            <w:vAlign w:val="center"/>
            <w:hideMark/>
          </w:tcPr>
          <w:p w14:paraId="0B06D622" w14:textId="77777777" w:rsidR="00C80078" w:rsidRDefault="00C80078" w:rsidP="00B502A0">
            <w:pPr>
              <w:pStyle w:val="Normln10"/>
              <w:jc w:val="left"/>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tcPr>
          <w:p w14:paraId="2051A03C" w14:textId="77777777" w:rsidR="00C80078" w:rsidRDefault="00C80078" w:rsidP="00B502A0">
            <w:pPr>
              <w:pStyle w:val="TableText"/>
              <w:spacing w:before="0" w:after="0" w:line="240" w:lineRule="auto"/>
              <w:jc w:val="both"/>
              <w:rPr>
                <w:rFonts w:cs="Arial"/>
                <w:sz w:val="22"/>
                <w:szCs w:val="22"/>
              </w:rPr>
            </w:pPr>
            <w:r>
              <w:rPr>
                <w:rFonts w:cs="Arial"/>
                <w:sz w:val="22"/>
                <w:szCs w:val="22"/>
              </w:rPr>
              <w:t>Rozvoj infrastruktury dobíjecích stanic</w:t>
            </w:r>
            <w:r w:rsidR="00154581">
              <w:rPr>
                <w:rFonts w:cs="Arial"/>
                <w:sz w:val="22"/>
                <w:szCs w:val="22"/>
              </w:rPr>
              <w:t xml:space="preserve"> (kap. 2.4.2.)</w:t>
            </w:r>
          </w:p>
          <w:p w14:paraId="767CD504" w14:textId="47F69208" w:rsidR="00C80078" w:rsidRDefault="00C80078" w:rsidP="00B502A0">
            <w:pPr>
              <w:pStyle w:val="TableText"/>
              <w:spacing w:before="0" w:after="0" w:line="240" w:lineRule="auto"/>
              <w:jc w:val="both"/>
              <w:rPr>
                <w:rFonts w:cs="Arial"/>
                <w:sz w:val="22"/>
                <w:szCs w:val="22"/>
              </w:rPr>
            </w:pPr>
            <w:r>
              <w:rPr>
                <w:rFonts w:cs="Arial"/>
                <w:sz w:val="22"/>
                <w:szCs w:val="22"/>
              </w:rPr>
              <w:t>Rozvoj infrastruktury CNG a</w:t>
            </w:r>
            <w:r w:rsidR="005A1247">
              <w:rPr>
                <w:rFonts w:cs="Arial"/>
                <w:sz w:val="22"/>
                <w:szCs w:val="22"/>
              </w:rPr>
              <w:t> </w:t>
            </w:r>
            <w:r>
              <w:rPr>
                <w:rFonts w:cs="Arial"/>
                <w:sz w:val="22"/>
                <w:szCs w:val="22"/>
              </w:rPr>
              <w:t>LNG plnicích stanic</w:t>
            </w:r>
            <w:r w:rsidR="00154581">
              <w:rPr>
                <w:rFonts w:cs="Arial"/>
                <w:sz w:val="22"/>
                <w:szCs w:val="22"/>
              </w:rPr>
              <w:t xml:space="preserve"> (kap. 3.3.2.)</w:t>
            </w:r>
          </w:p>
          <w:p w14:paraId="2E04F5A3" w14:textId="77777777" w:rsidR="00C80078" w:rsidRDefault="00C80078" w:rsidP="00B502A0">
            <w:pPr>
              <w:pStyle w:val="TableText"/>
              <w:spacing w:before="0" w:after="0" w:line="240" w:lineRule="auto"/>
              <w:jc w:val="both"/>
              <w:rPr>
                <w:rFonts w:cs="Arial"/>
                <w:sz w:val="22"/>
                <w:szCs w:val="22"/>
              </w:rPr>
            </w:pPr>
            <w:r>
              <w:rPr>
                <w:rFonts w:cs="Arial"/>
                <w:sz w:val="22"/>
                <w:szCs w:val="22"/>
              </w:rPr>
              <w:t>Rozvoj infrastruktury vodíkových plnicích stanic</w:t>
            </w:r>
            <w:r w:rsidR="00154581">
              <w:rPr>
                <w:rFonts w:cs="Arial"/>
                <w:sz w:val="22"/>
                <w:szCs w:val="22"/>
              </w:rPr>
              <w:t xml:space="preserve"> (kap. 4.3.2.)</w:t>
            </w:r>
          </w:p>
        </w:tc>
      </w:tr>
      <w:tr w:rsidR="000B7F4B" w14:paraId="60262C21"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13B5AC1C" w14:textId="77777777" w:rsidR="00C80078" w:rsidRDefault="00C80078" w:rsidP="00B502A0">
            <w:pPr>
              <w:pStyle w:val="Normln10"/>
              <w:jc w:val="left"/>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3B98634C" w14:textId="3B32A898" w:rsidR="00C80078" w:rsidRDefault="00C80078" w:rsidP="005A1247">
            <w:pPr>
              <w:pStyle w:val="Normln10"/>
              <w:spacing w:before="0" w:line="240" w:lineRule="auto"/>
              <w:rPr>
                <w:rFonts w:cs="Arial"/>
                <w:sz w:val="22"/>
                <w:szCs w:val="22"/>
              </w:rPr>
            </w:pPr>
            <w:r w:rsidRPr="000A49C7">
              <w:rPr>
                <w:rFonts w:cs="Arial"/>
                <w:sz w:val="22"/>
                <w:szCs w:val="22"/>
              </w:rPr>
              <w:t>Cílem opatření by mělo být nastavení strategického rámce, který následně umožní soukromým investorům zintenzivnit výstavbu infrastruktury dobíjecích a</w:t>
            </w:r>
            <w:r w:rsidR="005A1247">
              <w:rPr>
                <w:rFonts w:cs="Arial"/>
                <w:sz w:val="22"/>
                <w:szCs w:val="22"/>
              </w:rPr>
              <w:t> </w:t>
            </w:r>
            <w:r w:rsidRPr="000A49C7">
              <w:rPr>
                <w:rFonts w:cs="Arial"/>
                <w:sz w:val="22"/>
                <w:szCs w:val="22"/>
              </w:rPr>
              <w:t>plnících stanic na klíčových místech a</w:t>
            </w:r>
            <w:r w:rsidR="005A1247">
              <w:rPr>
                <w:rFonts w:cs="Arial"/>
                <w:sz w:val="22"/>
                <w:szCs w:val="22"/>
              </w:rPr>
              <w:t> </w:t>
            </w:r>
            <w:r w:rsidRPr="000A49C7">
              <w:rPr>
                <w:rFonts w:cs="Arial"/>
                <w:sz w:val="22"/>
                <w:szCs w:val="22"/>
              </w:rPr>
              <w:t>poskytne jim dostatečně stabilní prostředí pro jejich provoz.</w:t>
            </w:r>
          </w:p>
        </w:tc>
      </w:tr>
      <w:tr w:rsidR="000B7F4B" w14:paraId="75CD900E"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3377DFCE" w14:textId="77777777" w:rsidR="00C80078" w:rsidRDefault="00C80078" w:rsidP="00B502A0">
            <w:pPr>
              <w:pStyle w:val="Normln10"/>
              <w:jc w:val="left"/>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18D1B84E" w14:textId="709F9781" w:rsidR="00C80078" w:rsidRPr="000A49C7" w:rsidRDefault="00C80078" w:rsidP="00B502A0">
            <w:pPr>
              <w:pStyle w:val="Normln10"/>
              <w:spacing w:before="0" w:line="240" w:lineRule="auto"/>
              <w:rPr>
                <w:rFonts w:cs="Arial"/>
                <w:sz w:val="22"/>
                <w:szCs w:val="22"/>
              </w:rPr>
            </w:pPr>
            <w:r w:rsidRPr="000A49C7">
              <w:rPr>
                <w:rFonts w:cs="Arial"/>
                <w:sz w:val="22"/>
                <w:szCs w:val="22"/>
              </w:rPr>
              <w:t>Z pohledu rozvoje infrastruktury stanic na alternativní paliva na úrovni státu a</w:t>
            </w:r>
            <w:r w:rsidR="005A1247">
              <w:rPr>
                <w:rFonts w:cs="Arial"/>
                <w:sz w:val="22"/>
                <w:szCs w:val="22"/>
              </w:rPr>
              <w:t> </w:t>
            </w:r>
            <w:r w:rsidRPr="000A49C7">
              <w:rPr>
                <w:rFonts w:cs="Arial"/>
                <w:sz w:val="22"/>
                <w:szCs w:val="22"/>
              </w:rPr>
              <w:t>následně i</w:t>
            </w:r>
            <w:r w:rsidR="005A1247">
              <w:rPr>
                <w:rFonts w:cs="Arial"/>
                <w:sz w:val="22"/>
                <w:szCs w:val="22"/>
              </w:rPr>
              <w:t> </w:t>
            </w:r>
            <w:r w:rsidRPr="000A49C7">
              <w:rPr>
                <w:rFonts w:cs="Arial"/>
                <w:sz w:val="22"/>
                <w:szCs w:val="22"/>
              </w:rPr>
              <w:t>mezinárodně je klíčové zajištění dostupnosti infrastruktury pokrývající hlavní dálniční a</w:t>
            </w:r>
            <w:r w:rsidR="005A1247">
              <w:rPr>
                <w:rFonts w:cs="Arial"/>
                <w:sz w:val="22"/>
                <w:szCs w:val="22"/>
              </w:rPr>
              <w:t> </w:t>
            </w:r>
            <w:r w:rsidRPr="000A49C7">
              <w:rPr>
                <w:rFonts w:cs="Arial"/>
                <w:sz w:val="22"/>
                <w:szCs w:val="22"/>
              </w:rPr>
              <w:t>silniční tahy. Pozemky, které jsou pro účely instalace dobíjecích stanic vhodné, jsou často ve vlastnictví státu (ŘSD). V</w:t>
            </w:r>
            <w:r w:rsidR="005A1247">
              <w:rPr>
                <w:rFonts w:cs="Arial"/>
                <w:sz w:val="22"/>
                <w:szCs w:val="22"/>
              </w:rPr>
              <w:t> </w:t>
            </w:r>
            <w:r w:rsidRPr="000A49C7">
              <w:rPr>
                <w:rFonts w:cs="Arial"/>
                <w:sz w:val="22"/>
                <w:szCs w:val="22"/>
              </w:rPr>
              <w:t>rámci dosavadní implementace NAP ČM byl nalezen mechanismus výstavby stanic na alternativní paliva na dálničních odpočívkách (v podobě souhlasu ŘSD s</w:t>
            </w:r>
            <w:r w:rsidR="005A1247">
              <w:rPr>
                <w:rFonts w:cs="Arial"/>
                <w:sz w:val="22"/>
                <w:szCs w:val="22"/>
              </w:rPr>
              <w:t> </w:t>
            </w:r>
            <w:r w:rsidRPr="000A49C7">
              <w:rPr>
                <w:rFonts w:cs="Arial"/>
                <w:sz w:val="22"/>
                <w:szCs w:val="22"/>
              </w:rPr>
              <w:t>podnájemní smlouvou stávajícího nájemce na odpočívce) a</w:t>
            </w:r>
            <w:r w:rsidR="005A1247">
              <w:rPr>
                <w:rFonts w:cs="Arial"/>
                <w:sz w:val="22"/>
                <w:szCs w:val="22"/>
              </w:rPr>
              <w:t> </w:t>
            </w:r>
            <w:r w:rsidRPr="000A49C7">
              <w:rPr>
                <w:rFonts w:cs="Arial"/>
                <w:sz w:val="22"/>
                <w:szCs w:val="22"/>
              </w:rPr>
              <w:t>výstavba stanic na některá alternativní paliva (zejm. dobíjecích stanic) již probíhá.</w:t>
            </w:r>
          </w:p>
          <w:p w14:paraId="40985357" w14:textId="27482B16" w:rsidR="00C80078" w:rsidRPr="000A49C7" w:rsidRDefault="00C80078" w:rsidP="00B502A0">
            <w:pPr>
              <w:pStyle w:val="Normln10"/>
              <w:spacing w:before="0" w:line="240" w:lineRule="auto"/>
              <w:rPr>
                <w:rFonts w:cs="Arial"/>
                <w:sz w:val="22"/>
                <w:szCs w:val="22"/>
              </w:rPr>
            </w:pPr>
            <w:r w:rsidRPr="000A49C7">
              <w:rPr>
                <w:rFonts w:cs="Arial"/>
                <w:sz w:val="22"/>
                <w:szCs w:val="22"/>
              </w:rPr>
              <w:t>Na základě praktických zkušeností byly nicméně identifikovány další dílčí problémy k</w:t>
            </w:r>
            <w:r w:rsidR="005A1247">
              <w:rPr>
                <w:rFonts w:cs="Arial"/>
                <w:sz w:val="22"/>
                <w:szCs w:val="22"/>
              </w:rPr>
              <w:t> </w:t>
            </w:r>
            <w:r w:rsidRPr="000A49C7">
              <w:rPr>
                <w:rFonts w:cs="Arial"/>
                <w:sz w:val="22"/>
                <w:szCs w:val="22"/>
              </w:rPr>
              <w:t>řešení. Jde zejména o:</w:t>
            </w:r>
          </w:p>
          <w:p w14:paraId="2EC203A1" w14:textId="07C62A04" w:rsidR="00C80078" w:rsidRPr="000A49C7" w:rsidRDefault="00C80078" w:rsidP="00B502A0">
            <w:pPr>
              <w:pStyle w:val="Bullet1"/>
              <w:spacing w:before="0" w:after="0"/>
              <w:jc w:val="both"/>
            </w:pPr>
            <w:r w:rsidRPr="000A49C7">
              <w:t>umožnění instalace většího počtu dobíjecích stanic na jednom místě, které se s</w:t>
            </w:r>
            <w:r w:rsidR="005A1247">
              <w:t> </w:t>
            </w:r>
            <w:r w:rsidRPr="000A49C7">
              <w:t>očekávaným rozvojem elektromobility ukazuje jako potřebné</w:t>
            </w:r>
          </w:p>
          <w:p w14:paraId="6411F4DA" w14:textId="08601122" w:rsidR="00C80078" w:rsidRPr="000A49C7" w:rsidRDefault="00C80078" w:rsidP="00B502A0">
            <w:pPr>
              <w:pStyle w:val="Bullet1"/>
              <w:spacing w:before="0" w:after="0"/>
              <w:jc w:val="both"/>
            </w:pPr>
            <w:r w:rsidRPr="000A49C7">
              <w:t>větší míru flexibility při umístění stanic na alternativní paliva s</w:t>
            </w:r>
            <w:r w:rsidR="005A1247">
              <w:t> </w:t>
            </w:r>
            <w:r w:rsidRPr="000A49C7">
              <w:t>cílem optimalizace nákladů (optimální umístění dobíjecích stanic v</w:t>
            </w:r>
            <w:r w:rsidR="005A1247">
              <w:t> </w:t>
            </w:r>
            <w:r w:rsidRPr="000A49C7">
              <w:t>návaznosti na umístění odběrného místa pro jejich napájení, umístění LNG stanic v</w:t>
            </w:r>
            <w:r w:rsidR="005A1247">
              <w:t> </w:t>
            </w:r>
            <w:r w:rsidRPr="000A49C7">
              <w:t>návaznosti na větší prostorové nároky technologie a</w:t>
            </w:r>
            <w:r w:rsidR="005A1247">
              <w:t> </w:t>
            </w:r>
            <w:r w:rsidRPr="000A49C7">
              <w:t>příjezdových komunikací)</w:t>
            </w:r>
          </w:p>
          <w:p w14:paraId="1FEB4655" w14:textId="77777777" w:rsidR="00C80078" w:rsidRPr="000A49C7" w:rsidRDefault="00C80078" w:rsidP="00B502A0">
            <w:pPr>
              <w:pStyle w:val="Bullet1"/>
              <w:spacing w:before="0" w:after="0"/>
              <w:jc w:val="both"/>
            </w:pPr>
            <w:r w:rsidRPr="000A49C7">
              <w:t>příprava pro instalaci stanic na alternativní paliva jako součást rekonstrukce dálničních odpočívek, případně výstavby nových</w:t>
            </w:r>
          </w:p>
          <w:p w14:paraId="1FF5FD61" w14:textId="72CAEB68" w:rsidR="00C80078" w:rsidRPr="000A49C7" w:rsidRDefault="00C80078" w:rsidP="00B502A0">
            <w:pPr>
              <w:pStyle w:val="Bullet1"/>
              <w:spacing w:before="0" w:after="0"/>
              <w:jc w:val="both"/>
            </w:pPr>
            <w:r w:rsidRPr="000A49C7">
              <w:t>větší flexibilita při nastavování délky pronájmu/podnájmu, která je nutná vzhledem k</w:t>
            </w:r>
            <w:r w:rsidR="005A1247">
              <w:t> </w:t>
            </w:r>
            <w:r w:rsidRPr="000A49C7">
              <w:t>pomalé návratnosti investice do infrastruktury stanic na alternativní paliva, a</w:t>
            </w:r>
            <w:r w:rsidR="005A1247">
              <w:t> </w:t>
            </w:r>
            <w:r w:rsidRPr="000A49C7">
              <w:t>to i</w:t>
            </w:r>
            <w:r w:rsidR="005A1247">
              <w:t> </w:t>
            </w:r>
            <w:r w:rsidRPr="000A49C7">
              <w:t>za situace, kdy výstavba probíhá s</w:t>
            </w:r>
            <w:r w:rsidR="005A1247">
              <w:t> </w:t>
            </w:r>
            <w:r w:rsidRPr="000A49C7">
              <w:t>veřejnou podporou.</w:t>
            </w:r>
          </w:p>
          <w:p w14:paraId="3B062531" w14:textId="77777777" w:rsidR="00C80078" w:rsidRPr="00D014E5" w:rsidRDefault="00C80078" w:rsidP="00B502A0">
            <w:pPr>
              <w:pStyle w:val="Normln10"/>
              <w:spacing w:before="0" w:line="240" w:lineRule="auto"/>
              <w:rPr>
                <w:rFonts w:cs="Arial"/>
                <w:sz w:val="22"/>
                <w:szCs w:val="22"/>
              </w:rPr>
            </w:pPr>
            <w:r w:rsidRPr="000A49C7">
              <w:rPr>
                <w:rFonts w:cs="Arial"/>
                <w:sz w:val="22"/>
                <w:szCs w:val="22"/>
              </w:rPr>
              <w:t>Současná koncepce dálničních odpočívek se problematice umístění stanic na alternativní paliva nikterak nevěnuje.</w:t>
            </w:r>
          </w:p>
        </w:tc>
      </w:tr>
      <w:tr w:rsidR="000B7F4B" w14:paraId="55859642" w14:textId="77777777" w:rsidTr="00B502A0">
        <w:trPr>
          <w:trHeight w:val="737"/>
        </w:trPr>
        <w:tc>
          <w:tcPr>
            <w:tcW w:w="1984" w:type="dxa"/>
            <w:tcBorders>
              <w:top w:val="single" w:sz="4" w:space="0" w:color="auto"/>
              <w:left w:val="single" w:sz="12" w:space="0" w:color="auto"/>
              <w:bottom w:val="single" w:sz="4" w:space="0" w:color="auto"/>
              <w:right w:val="single" w:sz="12" w:space="0" w:color="auto"/>
            </w:tcBorders>
            <w:vAlign w:val="center"/>
            <w:hideMark/>
          </w:tcPr>
          <w:p w14:paraId="6A1C5F52" w14:textId="77777777" w:rsidR="00C80078" w:rsidRDefault="00C80078" w:rsidP="00B502A0">
            <w:pPr>
              <w:pStyle w:val="Normln10"/>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5D81BEE7" w14:textId="77A40361" w:rsidR="00C80078" w:rsidRDefault="00C80078" w:rsidP="005A1247">
            <w:pPr>
              <w:pStyle w:val="Normln10"/>
              <w:spacing w:before="0" w:line="240" w:lineRule="auto"/>
              <w:jc w:val="left"/>
              <w:rPr>
                <w:rFonts w:cs="Arial"/>
                <w:sz w:val="22"/>
                <w:szCs w:val="22"/>
              </w:rPr>
            </w:pPr>
            <w:r>
              <w:rPr>
                <w:rFonts w:cs="Arial"/>
                <w:sz w:val="22"/>
                <w:szCs w:val="22"/>
              </w:rPr>
              <w:t>Žádný, v</w:t>
            </w:r>
            <w:r w:rsidR="005A1247">
              <w:rPr>
                <w:rFonts w:cs="Arial"/>
                <w:sz w:val="22"/>
                <w:szCs w:val="22"/>
              </w:rPr>
              <w:t> </w:t>
            </w:r>
            <w:r>
              <w:rPr>
                <w:rFonts w:cs="Arial"/>
                <w:sz w:val="22"/>
                <w:szCs w:val="22"/>
              </w:rPr>
              <w:t>rámci rozpočtu MD</w:t>
            </w:r>
          </w:p>
        </w:tc>
      </w:tr>
      <w:tr w:rsidR="000B7F4B" w14:paraId="4168B2B2"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00E242DD" w14:textId="77777777" w:rsidR="00C80078" w:rsidRDefault="00C80078" w:rsidP="00B502A0">
            <w:pPr>
              <w:pStyle w:val="Normln10"/>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032BC672" w14:textId="77777777" w:rsidR="00C80078" w:rsidRDefault="00C80078" w:rsidP="00B502A0">
            <w:pPr>
              <w:pStyle w:val="Normln10"/>
              <w:spacing w:before="0" w:line="240" w:lineRule="auto"/>
              <w:jc w:val="left"/>
              <w:rPr>
                <w:rFonts w:cs="Arial"/>
                <w:sz w:val="22"/>
                <w:szCs w:val="22"/>
              </w:rPr>
            </w:pPr>
            <w:r>
              <w:rPr>
                <w:rFonts w:cs="Arial"/>
                <w:sz w:val="22"/>
                <w:szCs w:val="22"/>
              </w:rPr>
              <w:t>MD</w:t>
            </w:r>
          </w:p>
        </w:tc>
      </w:tr>
      <w:tr w:rsidR="000B7F4B" w14:paraId="3D1CD88E" w14:textId="77777777" w:rsidTr="00B502A0">
        <w:tc>
          <w:tcPr>
            <w:tcW w:w="1984" w:type="dxa"/>
            <w:tcBorders>
              <w:top w:val="single" w:sz="4" w:space="0" w:color="auto"/>
              <w:left w:val="single" w:sz="12" w:space="0" w:color="auto"/>
              <w:bottom w:val="single" w:sz="4" w:space="0" w:color="auto"/>
              <w:right w:val="single" w:sz="12" w:space="0" w:color="auto"/>
            </w:tcBorders>
            <w:vAlign w:val="center"/>
            <w:hideMark/>
          </w:tcPr>
          <w:p w14:paraId="689C2D3D" w14:textId="77777777" w:rsidR="00C80078" w:rsidRDefault="00C80078" w:rsidP="00B502A0">
            <w:pPr>
              <w:pStyle w:val="Normln10"/>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4A807532" w14:textId="77777777" w:rsidR="00C80078" w:rsidRDefault="00C80078" w:rsidP="00B502A0">
            <w:pPr>
              <w:pStyle w:val="Normln10"/>
              <w:spacing w:before="0" w:line="240" w:lineRule="auto"/>
              <w:jc w:val="left"/>
              <w:rPr>
                <w:rFonts w:cs="Arial"/>
                <w:sz w:val="22"/>
                <w:szCs w:val="22"/>
              </w:rPr>
            </w:pPr>
            <w:r>
              <w:rPr>
                <w:rFonts w:cs="Arial"/>
                <w:sz w:val="22"/>
                <w:szCs w:val="22"/>
              </w:rPr>
              <w:t>Energetické společnosti</w:t>
            </w:r>
          </w:p>
        </w:tc>
      </w:tr>
      <w:tr w:rsidR="000B7F4B" w14:paraId="310BD374" w14:textId="77777777" w:rsidTr="00B502A0">
        <w:tc>
          <w:tcPr>
            <w:tcW w:w="1984" w:type="dxa"/>
            <w:tcBorders>
              <w:top w:val="single" w:sz="4" w:space="0" w:color="auto"/>
              <w:left w:val="single" w:sz="12" w:space="0" w:color="auto"/>
              <w:bottom w:val="single" w:sz="12" w:space="0" w:color="auto"/>
              <w:right w:val="single" w:sz="12" w:space="0" w:color="auto"/>
            </w:tcBorders>
            <w:vAlign w:val="center"/>
            <w:hideMark/>
          </w:tcPr>
          <w:p w14:paraId="16AC8DD0" w14:textId="77777777" w:rsidR="00C80078" w:rsidRDefault="00C80078" w:rsidP="00B502A0">
            <w:pPr>
              <w:pStyle w:val="Normln10"/>
              <w:jc w:val="left"/>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74C93050" w14:textId="770C010F" w:rsidR="00C80078" w:rsidRPr="000A49C7" w:rsidRDefault="00C80078" w:rsidP="00B502A0">
            <w:pPr>
              <w:pStyle w:val="Normln10"/>
              <w:spacing w:before="0" w:line="240" w:lineRule="auto"/>
              <w:rPr>
                <w:rFonts w:cs="Arial"/>
                <w:sz w:val="22"/>
                <w:szCs w:val="22"/>
              </w:rPr>
            </w:pPr>
            <w:r w:rsidRPr="000A49C7">
              <w:rPr>
                <w:rFonts w:cs="Arial"/>
                <w:sz w:val="22"/>
                <w:szCs w:val="22"/>
              </w:rPr>
              <w:t>Analýza současného stavu dálničních odpočívek z</w:t>
            </w:r>
            <w:r w:rsidR="005A1247">
              <w:rPr>
                <w:rFonts w:cs="Arial"/>
                <w:sz w:val="22"/>
                <w:szCs w:val="22"/>
              </w:rPr>
              <w:t> </w:t>
            </w:r>
            <w:r w:rsidRPr="000A49C7">
              <w:rPr>
                <w:rFonts w:cs="Arial"/>
                <w:sz w:val="22"/>
                <w:szCs w:val="22"/>
              </w:rPr>
              <w:t>hlediska potřeb budování infrastruktury na alternativní paliva a</w:t>
            </w:r>
            <w:r w:rsidR="005A1247">
              <w:rPr>
                <w:rFonts w:cs="Arial"/>
                <w:sz w:val="22"/>
                <w:szCs w:val="22"/>
              </w:rPr>
              <w:t> </w:t>
            </w:r>
            <w:r w:rsidRPr="000A49C7">
              <w:rPr>
                <w:rFonts w:cs="Arial"/>
                <w:sz w:val="22"/>
                <w:szCs w:val="22"/>
              </w:rPr>
              <w:t>návrh dalšího postupu (doporučení)</w:t>
            </w:r>
            <w:r w:rsidRPr="000A49C7">
              <w:rPr>
                <w:rFonts w:cs="Arial"/>
                <w:sz w:val="22"/>
                <w:szCs w:val="22"/>
              </w:rPr>
              <w:tab/>
            </w:r>
            <w:r w:rsidRPr="000A49C7">
              <w:rPr>
                <w:rFonts w:cs="Arial"/>
                <w:sz w:val="22"/>
                <w:szCs w:val="22"/>
              </w:rPr>
              <w:tab/>
            </w:r>
            <w:r w:rsidRPr="000A49C7">
              <w:rPr>
                <w:rFonts w:cs="Arial"/>
                <w:sz w:val="22"/>
                <w:szCs w:val="22"/>
              </w:rPr>
              <w:tab/>
            </w:r>
            <w:r w:rsidR="000F63E1">
              <w:rPr>
                <w:rFonts w:cs="Arial"/>
                <w:sz w:val="22"/>
                <w:szCs w:val="22"/>
              </w:rPr>
              <w:tab/>
            </w:r>
            <w:r w:rsidR="000F63E1">
              <w:rPr>
                <w:rFonts w:cs="Arial"/>
                <w:sz w:val="22"/>
                <w:szCs w:val="22"/>
              </w:rPr>
              <w:tab/>
            </w:r>
            <w:r w:rsidR="000F63E1">
              <w:rPr>
                <w:rFonts w:cs="Arial"/>
                <w:sz w:val="22"/>
                <w:szCs w:val="22"/>
              </w:rPr>
              <w:tab/>
            </w:r>
            <w:r w:rsidRPr="000A49C7">
              <w:rPr>
                <w:rFonts w:cs="Arial"/>
                <w:sz w:val="22"/>
                <w:szCs w:val="22"/>
              </w:rPr>
              <w:t>30. 11. 2020</w:t>
            </w:r>
          </w:p>
          <w:p w14:paraId="654F5F67" w14:textId="77777777" w:rsidR="00C80078" w:rsidRDefault="00C80078" w:rsidP="00B502A0">
            <w:pPr>
              <w:pStyle w:val="Normln10"/>
              <w:spacing w:before="0" w:line="240" w:lineRule="auto"/>
              <w:rPr>
                <w:rFonts w:cs="Arial"/>
                <w:sz w:val="22"/>
                <w:szCs w:val="22"/>
              </w:rPr>
            </w:pPr>
            <w:r w:rsidRPr="000A49C7">
              <w:rPr>
                <w:rFonts w:cs="Arial"/>
                <w:sz w:val="22"/>
                <w:szCs w:val="22"/>
              </w:rPr>
              <w:t>Aktualizace Koncepce dálničních odpočívek</w:t>
            </w:r>
            <w:r w:rsidRPr="000A49C7">
              <w:rPr>
                <w:rFonts w:cs="Arial"/>
                <w:sz w:val="22"/>
                <w:szCs w:val="22"/>
              </w:rPr>
              <w:tab/>
              <w:t>30. 6. 2021</w:t>
            </w:r>
          </w:p>
        </w:tc>
      </w:tr>
    </w:tbl>
    <w:p w14:paraId="2DBBC53C" w14:textId="77777777" w:rsidR="00C80078" w:rsidRDefault="00C80078" w:rsidP="009A3B7E">
      <w:pPr>
        <w:spacing w:before="0" w:after="0"/>
        <w:jc w:val="both"/>
      </w:pPr>
      <w:r>
        <w:br w:type="page"/>
      </w:r>
    </w:p>
    <w:p w14:paraId="178A5C33" w14:textId="45CC34A8" w:rsidR="00DD2E8A" w:rsidRDefault="00DD2E8A" w:rsidP="00DD2E8A">
      <w:pPr>
        <w:pStyle w:val="Nadpis3"/>
        <w:jc w:val="both"/>
      </w:pPr>
      <w:bookmarkStart w:id="83" w:name="_Toc21589134"/>
      <w:r>
        <w:lastRenderedPageBreak/>
        <w:t xml:space="preserve">S5 </w:t>
      </w:r>
      <w:r w:rsidRPr="00C02BA4">
        <w:t xml:space="preserve">Uvolnění </w:t>
      </w:r>
      <w:r w:rsidRPr="00667BFE">
        <w:t>limitu stáří v</w:t>
      </w:r>
      <w:r w:rsidR="005A1247">
        <w:t> </w:t>
      </w:r>
      <w:r w:rsidRPr="00667BFE">
        <w:t>nařízení vlády 63/2011 pro bezemisní vozidla</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14:paraId="3FB56201"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31FFDC5B" w14:textId="77566D4B" w:rsidR="00DD2E8A" w:rsidRDefault="00DD2E8A" w:rsidP="005A1247">
            <w:pPr>
              <w:jc w:val="both"/>
              <w:rPr>
                <w:rFonts w:cs="Arial"/>
                <w:b/>
                <w:color w:val="FFFFFF" w:themeColor="background1"/>
              </w:rPr>
            </w:pPr>
            <w:r>
              <w:rPr>
                <w:rFonts w:cs="Arial"/>
                <w:b/>
                <w:color w:val="FFFFFF" w:themeColor="background1"/>
              </w:rPr>
              <w:t xml:space="preserve">S5 </w:t>
            </w:r>
            <w:r w:rsidRPr="00D13819">
              <w:rPr>
                <w:rFonts w:cs="Arial"/>
                <w:b/>
                <w:color w:val="FFFFFF" w:themeColor="background1"/>
              </w:rPr>
              <w:t>Uvolnění li</w:t>
            </w:r>
            <w:r>
              <w:rPr>
                <w:rFonts w:cs="Arial"/>
                <w:b/>
                <w:color w:val="FFFFFF" w:themeColor="background1"/>
              </w:rPr>
              <w:t>mitu stáří v</w:t>
            </w:r>
            <w:r w:rsidR="005A1247">
              <w:rPr>
                <w:rFonts w:cs="Arial"/>
                <w:b/>
                <w:color w:val="FFFFFF" w:themeColor="background1"/>
              </w:rPr>
              <w:t> </w:t>
            </w:r>
            <w:r>
              <w:rPr>
                <w:rFonts w:cs="Arial"/>
                <w:b/>
                <w:color w:val="FFFFFF" w:themeColor="background1"/>
              </w:rPr>
              <w:t>nařízení vlády 63/2011</w:t>
            </w:r>
            <w:r w:rsidRPr="00D13819">
              <w:rPr>
                <w:rFonts w:cs="Arial"/>
                <w:b/>
                <w:color w:val="FFFFFF" w:themeColor="background1"/>
              </w:rPr>
              <w:t xml:space="preserve"> pro bezemisní vozidla</w:t>
            </w:r>
          </w:p>
        </w:tc>
      </w:tr>
      <w:tr w:rsidR="00DD2E8A" w14:paraId="203737AD" w14:textId="77777777" w:rsidTr="0054245B">
        <w:tc>
          <w:tcPr>
            <w:tcW w:w="1984" w:type="dxa"/>
            <w:tcBorders>
              <w:top w:val="single" w:sz="4" w:space="0" w:color="auto"/>
              <w:left w:val="single" w:sz="12" w:space="0" w:color="auto"/>
              <w:bottom w:val="single" w:sz="4" w:space="0" w:color="auto"/>
              <w:right w:val="single" w:sz="12" w:space="0" w:color="auto"/>
            </w:tcBorders>
            <w:vAlign w:val="center"/>
          </w:tcPr>
          <w:p w14:paraId="2C7D9D20" w14:textId="77777777" w:rsidR="00DD2E8A" w:rsidRDefault="00DD2E8A" w:rsidP="0054245B">
            <w:pPr>
              <w:pStyle w:val="Normln10"/>
              <w:jc w:val="left"/>
              <w:rPr>
                <w:rFonts w:cs="Arial"/>
                <w:sz w:val="22"/>
                <w:szCs w:val="22"/>
              </w:rPr>
            </w:pPr>
            <w:r>
              <w:rPr>
                <w:rFonts w:cs="Arial"/>
                <w:sz w:val="22"/>
                <w:szCs w:val="22"/>
              </w:rPr>
              <w:t>Návaznost na strategický cíl</w:t>
            </w:r>
          </w:p>
        </w:tc>
        <w:tc>
          <w:tcPr>
            <w:tcW w:w="7087" w:type="dxa"/>
            <w:tcBorders>
              <w:top w:val="single" w:sz="4" w:space="0" w:color="auto"/>
              <w:left w:val="single" w:sz="12" w:space="0" w:color="auto"/>
              <w:bottom w:val="single" w:sz="4" w:space="0" w:color="auto"/>
              <w:right w:val="single" w:sz="12" w:space="0" w:color="auto"/>
            </w:tcBorders>
          </w:tcPr>
          <w:p w14:paraId="6A01A984" w14:textId="77777777" w:rsidR="00DD2E8A" w:rsidRDefault="00DD2E8A" w:rsidP="0054245B">
            <w:pPr>
              <w:pStyle w:val="Normln10"/>
              <w:spacing w:before="60" w:line="240" w:lineRule="auto"/>
              <w:rPr>
                <w:rFonts w:cs="Arial"/>
                <w:sz w:val="22"/>
                <w:szCs w:val="22"/>
              </w:rPr>
            </w:pPr>
            <w:r>
              <w:rPr>
                <w:rFonts w:cs="Arial"/>
                <w:sz w:val="22"/>
                <w:szCs w:val="22"/>
              </w:rPr>
              <w:t>Rozvoj trhu elektrických vozidel</w:t>
            </w:r>
            <w:r w:rsidR="00154581">
              <w:rPr>
                <w:rFonts w:cs="Arial"/>
                <w:sz w:val="22"/>
                <w:szCs w:val="22"/>
              </w:rPr>
              <w:t xml:space="preserve"> (kap. 2.4.1.)</w:t>
            </w:r>
          </w:p>
          <w:p w14:paraId="5CD12570" w14:textId="77777777" w:rsidR="00DD2E8A" w:rsidRDefault="00DD2E8A" w:rsidP="0054245B">
            <w:pPr>
              <w:pStyle w:val="Normln10"/>
              <w:spacing w:before="60" w:line="240" w:lineRule="auto"/>
              <w:rPr>
                <w:rFonts w:cs="Arial"/>
                <w:sz w:val="22"/>
                <w:szCs w:val="22"/>
              </w:rPr>
            </w:pPr>
            <w:r>
              <w:rPr>
                <w:rFonts w:cs="Arial"/>
                <w:sz w:val="22"/>
                <w:szCs w:val="22"/>
              </w:rPr>
              <w:t>Rozvoj trhu vozidel na zemní plyn</w:t>
            </w:r>
            <w:r w:rsidR="00154581">
              <w:rPr>
                <w:rFonts w:cs="Arial"/>
                <w:sz w:val="22"/>
                <w:szCs w:val="22"/>
              </w:rPr>
              <w:t xml:space="preserve"> (kap. 3.3.1.)</w:t>
            </w:r>
          </w:p>
          <w:p w14:paraId="5E961686" w14:textId="77777777" w:rsidR="00DD2E8A" w:rsidRDefault="00DD2E8A" w:rsidP="0054245B">
            <w:pPr>
              <w:pStyle w:val="Normln10"/>
              <w:spacing w:before="60" w:line="240" w:lineRule="auto"/>
              <w:rPr>
                <w:rFonts w:cs="Arial"/>
                <w:sz w:val="22"/>
                <w:szCs w:val="22"/>
              </w:rPr>
            </w:pPr>
            <w:r>
              <w:rPr>
                <w:rFonts w:cs="Arial"/>
                <w:sz w:val="22"/>
                <w:szCs w:val="22"/>
              </w:rPr>
              <w:t>Rozvoj trhu vodíkových vozidel</w:t>
            </w:r>
            <w:r w:rsidR="00154581">
              <w:rPr>
                <w:rFonts w:cs="Arial"/>
                <w:sz w:val="22"/>
                <w:szCs w:val="22"/>
              </w:rPr>
              <w:t xml:space="preserve"> (kap. 4.3.1.)</w:t>
            </w:r>
          </w:p>
          <w:p w14:paraId="3EEAEE8B" w14:textId="77777777" w:rsidR="00DD2E8A" w:rsidRDefault="00DD2E8A" w:rsidP="0054245B">
            <w:pPr>
              <w:pStyle w:val="Normln10"/>
              <w:spacing w:before="60" w:line="240" w:lineRule="auto"/>
              <w:rPr>
                <w:rFonts w:cs="Arial"/>
                <w:sz w:val="22"/>
                <w:szCs w:val="22"/>
              </w:rPr>
            </w:pPr>
            <w:r>
              <w:rPr>
                <w:rFonts w:cs="Arial"/>
                <w:sz w:val="22"/>
                <w:szCs w:val="22"/>
              </w:rPr>
              <w:t>Zajištění stabilního regulatorního rámce pro rozvoj elektromobility</w:t>
            </w:r>
            <w:r w:rsidR="00154581">
              <w:rPr>
                <w:rFonts w:cs="Arial"/>
                <w:sz w:val="22"/>
                <w:szCs w:val="22"/>
              </w:rPr>
              <w:t xml:space="preserve"> (kap. </w:t>
            </w:r>
            <w:r w:rsidR="003D46EF">
              <w:rPr>
                <w:rFonts w:cs="Arial"/>
                <w:sz w:val="22"/>
                <w:szCs w:val="22"/>
              </w:rPr>
              <w:t>2</w:t>
            </w:r>
            <w:r w:rsidR="00154581">
              <w:rPr>
                <w:rFonts w:cs="Arial"/>
                <w:sz w:val="22"/>
                <w:szCs w:val="22"/>
              </w:rPr>
              <w:t>.4.3.)</w:t>
            </w:r>
          </w:p>
          <w:p w14:paraId="55CE187F" w14:textId="6109A30B" w:rsidR="00DD2E8A" w:rsidRDefault="00DD2E8A" w:rsidP="0054245B">
            <w:pPr>
              <w:pStyle w:val="Normln10"/>
              <w:spacing w:before="60" w:line="240" w:lineRule="auto"/>
              <w:rPr>
                <w:rFonts w:cs="Arial"/>
                <w:sz w:val="22"/>
                <w:szCs w:val="22"/>
              </w:rPr>
            </w:pPr>
            <w:r w:rsidRPr="00516FB1">
              <w:rPr>
                <w:rFonts w:cs="Arial"/>
                <w:sz w:val="22"/>
                <w:szCs w:val="22"/>
              </w:rPr>
              <w:t>Vytváření podmínek pro lepší vnímání zemního plynu coby alternativního paliva na straně potenciálních zákazníků a</w:t>
            </w:r>
            <w:r w:rsidR="005A1247">
              <w:rPr>
                <w:rFonts w:cs="Arial"/>
                <w:sz w:val="22"/>
                <w:szCs w:val="22"/>
              </w:rPr>
              <w:t> </w:t>
            </w:r>
            <w:r w:rsidRPr="00516FB1">
              <w:rPr>
                <w:rFonts w:cs="Arial"/>
                <w:sz w:val="22"/>
                <w:szCs w:val="22"/>
              </w:rPr>
              <w:t>podmínek pro rozvoj vozového parku</w:t>
            </w:r>
            <w:r w:rsidR="00154581">
              <w:rPr>
                <w:rFonts w:cs="Arial"/>
                <w:sz w:val="22"/>
                <w:szCs w:val="22"/>
              </w:rPr>
              <w:t xml:space="preserve"> (kap. 3.3.4.)</w:t>
            </w:r>
          </w:p>
          <w:p w14:paraId="5E8E9D59" w14:textId="77777777" w:rsidR="00DD2E8A" w:rsidRDefault="00DD2E8A" w:rsidP="0054245B">
            <w:pPr>
              <w:pStyle w:val="Normln10"/>
              <w:spacing w:before="60" w:line="240" w:lineRule="auto"/>
              <w:rPr>
                <w:rFonts w:cs="Arial"/>
                <w:sz w:val="22"/>
                <w:szCs w:val="22"/>
              </w:rPr>
            </w:pPr>
            <w:r>
              <w:rPr>
                <w:rFonts w:cs="Arial"/>
                <w:sz w:val="22"/>
                <w:szCs w:val="22"/>
              </w:rPr>
              <w:t>Zlepšení regulatorního rámce vodíkové mobility</w:t>
            </w:r>
            <w:r w:rsidR="003D46EF">
              <w:rPr>
                <w:rFonts w:cs="Arial"/>
                <w:sz w:val="22"/>
                <w:szCs w:val="22"/>
              </w:rPr>
              <w:t xml:space="preserve"> (kap. 4.3.4)</w:t>
            </w:r>
          </w:p>
        </w:tc>
      </w:tr>
      <w:tr w:rsidR="00DD2E8A" w14:paraId="09397569"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015FA13F" w14:textId="77777777" w:rsidR="00DD2E8A" w:rsidRDefault="00DD2E8A" w:rsidP="0054245B">
            <w:pPr>
              <w:pStyle w:val="Normln10"/>
              <w:jc w:val="left"/>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4CB9A69B" w14:textId="1A0EEE64" w:rsidR="00DD2E8A" w:rsidRDefault="00DD2E8A" w:rsidP="005A1247">
            <w:pPr>
              <w:pStyle w:val="Normln10"/>
              <w:spacing w:before="0" w:line="240" w:lineRule="auto"/>
              <w:rPr>
                <w:rFonts w:cs="Arial"/>
                <w:sz w:val="22"/>
                <w:szCs w:val="22"/>
              </w:rPr>
            </w:pPr>
            <w:r>
              <w:rPr>
                <w:rFonts w:cs="Arial"/>
                <w:sz w:val="22"/>
                <w:szCs w:val="22"/>
              </w:rPr>
              <w:t>Posouzení vhodnosti a</w:t>
            </w:r>
            <w:r w:rsidRPr="00707E10">
              <w:rPr>
                <w:rFonts w:cs="Arial"/>
                <w:sz w:val="22"/>
                <w:szCs w:val="22"/>
              </w:rPr>
              <w:t xml:space="preserve">ktualizace </w:t>
            </w:r>
            <w:r>
              <w:rPr>
                <w:rFonts w:cs="Arial"/>
                <w:sz w:val="22"/>
                <w:szCs w:val="22"/>
              </w:rPr>
              <w:t xml:space="preserve">nařízení vlády </w:t>
            </w:r>
            <w:r w:rsidRPr="00707E10">
              <w:rPr>
                <w:rFonts w:cs="Arial"/>
                <w:sz w:val="22"/>
                <w:szCs w:val="22"/>
              </w:rPr>
              <w:t>63/2011 - přehodnocení limitu stáří vozidel s</w:t>
            </w:r>
            <w:r w:rsidR="005A1247">
              <w:rPr>
                <w:rFonts w:cs="Arial"/>
                <w:sz w:val="22"/>
                <w:szCs w:val="22"/>
              </w:rPr>
              <w:t> </w:t>
            </w:r>
            <w:r w:rsidRPr="00707E10">
              <w:rPr>
                <w:rFonts w:cs="Arial"/>
                <w:sz w:val="22"/>
                <w:szCs w:val="22"/>
              </w:rPr>
              <w:t>ohledem na zavádění bezemisních pohonů (umožnění prodloužení ekonomické životnosti, umožnění modernizací a</w:t>
            </w:r>
            <w:r w:rsidR="005A1247">
              <w:rPr>
                <w:rFonts w:cs="Arial"/>
                <w:sz w:val="22"/>
                <w:szCs w:val="22"/>
              </w:rPr>
              <w:t> </w:t>
            </w:r>
            <w:r w:rsidRPr="00707E10">
              <w:rPr>
                <w:rFonts w:cs="Arial"/>
                <w:sz w:val="22"/>
                <w:szCs w:val="22"/>
              </w:rPr>
              <w:t>přestaveb)</w:t>
            </w:r>
            <w:r>
              <w:rPr>
                <w:rFonts w:cs="Arial"/>
                <w:sz w:val="22"/>
                <w:szCs w:val="22"/>
              </w:rPr>
              <w:t>.</w:t>
            </w:r>
          </w:p>
        </w:tc>
      </w:tr>
      <w:tr w:rsidR="00DD2E8A" w14:paraId="7A74067C" w14:textId="77777777" w:rsidTr="0054245B">
        <w:tc>
          <w:tcPr>
            <w:tcW w:w="1984" w:type="dxa"/>
            <w:tcBorders>
              <w:top w:val="single" w:sz="4" w:space="0" w:color="auto"/>
              <w:left w:val="single" w:sz="12" w:space="0" w:color="auto"/>
              <w:bottom w:val="single" w:sz="4" w:space="0" w:color="auto"/>
              <w:right w:val="single" w:sz="12" w:space="0" w:color="auto"/>
            </w:tcBorders>
            <w:vAlign w:val="center"/>
          </w:tcPr>
          <w:p w14:paraId="7C59E7B3" w14:textId="77777777" w:rsidR="00DD2E8A" w:rsidRDefault="00DD2E8A" w:rsidP="0054245B">
            <w:pPr>
              <w:pStyle w:val="Normln10"/>
              <w:spacing w:line="240" w:lineRule="auto"/>
              <w:jc w:val="left"/>
              <w:rPr>
                <w:rFonts w:cs="Arial"/>
                <w:sz w:val="22"/>
                <w:szCs w:val="22"/>
              </w:rPr>
            </w:pPr>
            <w:r>
              <w:rPr>
                <w:rFonts w:cs="Arial"/>
                <w:sz w:val="22"/>
                <w:szCs w:val="22"/>
              </w:rPr>
              <w:t>Popis opatření</w:t>
            </w:r>
          </w:p>
        </w:tc>
        <w:tc>
          <w:tcPr>
            <w:tcW w:w="7087" w:type="dxa"/>
            <w:tcBorders>
              <w:top w:val="single" w:sz="4" w:space="0" w:color="auto"/>
              <w:left w:val="single" w:sz="12" w:space="0" w:color="auto"/>
              <w:bottom w:val="single" w:sz="4" w:space="0" w:color="auto"/>
              <w:right w:val="single" w:sz="12" w:space="0" w:color="auto"/>
            </w:tcBorders>
          </w:tcPr>
          <w:p w14:paraId="201AC4D3" w14:textId="5E1DC296" w:rsidR="00DD2E8A" w:rsidRPr="004A1364" w:rsidRDefault="00DD2E8A" w:rsidP="0054245B">
            <w:pPr>
              <w:pStyle w:val="Normln10"/>
              <w:spacing w:before="0" w:line="240" w:lineRule="auto"/>
              <w:rPr>
                <w:rFonts w:cs="Arial"/>
                <w:sz w:val="22"/>
                <w:szCs w:val="22"/>
              </w:rPr>
            </w:pPr>
            <w:r w:rsidRPr="004A1364">
              <w:rPr>
                <w:rFonts w:cs="Arial"/>
                <w:sz w:val="22"/>
                <w:szCs w:val="22"/>
              </w:rPr>
              <w:t>Omezení průměrného stáří (9, resp. 11 nebo 15 let) nedává smysl u</w:t>
            </w:r>
            <w:r w:rsidR="005A1247">
              <w:rPr>
                <w:rFonts w:cs="Arial"/>
                <w:sz w:val="22"/>
                <w:szCs w:val="22"/>
              </w:rPr>
              <w:t> </w:t>
            </w:r>
            <w:r w:rsidRPr="004A1364">
              <w:rPr>
                <w:rFonts w:cs="Arial"/>
                <w:sz w:val="22"/>
                <w:szCs w:val="22"/>
              </w:rPr>
              <w:t>bezemisních vozidel, vytváří zbytečnou ekonomickou překážku pro jejich plošné zavádění: Pokud např. dochází k</w:t>
            </w:r>
            <w:r w:rsidR="005A1247">
              <w:rPr>
                <w:rFonts w:cs="Arial"/>
                <w:sz w:val="22"/>
                <w:szCs w:val="22"/>
              </w:rPr>
              <w:t> </w:t>
            </w:r>
            <w:r w:rsidRPr="004A1364">
              <w:rPr>
                <w:rFonts w:cs="Arial"/>
                <w:sz w:val="22"/>
                <w:szCs w:val="22"/>
              </w:rPr>
              <w:t>nárazové obměně vozového parku z</w:t>
            </w:r>
            <w:r w:rsidR="005A1247">
              <w:rPr>
                <w:rFonts w:cs="Arial"/>
                <w:sz w:val="22"/>
                <w:szCs w:val="22"/>
              </w:rPr>
              <w:t> </w:t>
            </w:r>
            <w:r w:rsidRPr="004A1364">
              <w:rPr>
                <w:rFonts w:cs="Arial"/>
                <w:sz w:val="22"/>
                <w:szCs w:val="22"/>
              </w:rPr>
              <w:t>dieselového na elektrický, nebo nový dopravce začíná jezdit s</w:t>
            </w:r>
            <w:r w:rsidR="005A1247">
              <w:rPr>
                <w:rFonts w:cs="Arial"/>
                <w:sz w:val="22"/>
                <w:szCs w:val="22"/>
              </w:rPr>
              <w:t> </w:t>
            </w:r>
            <w:r w:rsidRPr="004A1364">
              <w:rPr>
                <w:rFonts w:cs="Arial"/>
                <w:sz w:val="22"/>
                <w:szCs w:val="22"/>
              </w:rPr>
              <w:t>novými elektrobusy, tak v</w:t>
            </w:r>
            <w:r w:rsidR="005A1247">
              <w:rPr>
                <w:rFonts w:cs="Arial"/>
                <w:sz w:val="22"/>
                <w:szCs w:val="22"/>
              </w:rPr>
              <w:t> </w:t>
            </w:r>
            <w:r w:rsidRPr="004A1364">
              <w:rPr>
                <w:rFonts w:cs="Arial"/>
                <w:sz w:val="22"/>
                <w:szCs w:val="22"/>
              </w:rPr>
              <w:t>obou případech bude pro ně dosažení stáří vozidel 9 a</w:t>
            </w:r>
            <w:r w:rsidR="005A1247">
              <w:rPr>
                <w:rFonts w:cs="Arial"/>
                <w:sz w:val="22"/>
                <w:szCs w:val="22"/>
              </w:rPr>
              <w:t> </w:t>
            </w:r>
            <w:r w:rsidRPr="004A1364">
              <w:rPr>
                <w:rFonts w:cs="Arial"/>
                <w:sz w:val="22"/>
                <w:szCs w:val="22"/>
              </w:rPr>
              <w:t>11 let stropem. Tyto vozy se však pořizují na delší životnost (12 a</w:t>
            </w:r>
            <w:r w:rsidR="005A1247">
              <w:rPr>
                <w:rFonts w:cs="Arial"/>
                <w:sz w:val="22"/>
                <w:szCs w:val="22"/>
              </w:rPr>
              <w:t> </w:t>
            </w:r>
            <w:r w:rsidRPr="004A1364">
              <w:rPr>
                <w:rFonts w:cs="Arial"/>
                <w:sz w:val="22"/>
                <w:szCs w:val="22"/>
              </w:rPr>
              <w:t>více let) a</w:t>
            </w:r>
            <w:r w:rsidR="005A1247">
              <w:rPr>
                <w:rFonts w:cs="Arial"/>
                <w:sz w:val="22"/>
                <w:szCs w:val="22"/>
              </w:rPr>
              <w:t> </w:t>
            </w:r>
            <w:r w:rsidRPr="004A1364">
              <w:rPr>
                <w:rFonts w:cs="Arial"/>
                <w:sz w:val="22"/>
                <w:szCs w:val="22"/>
              </w:rPr>
              <w:t>především se jejich životnost může dále snadno prodlužovat výměnou baterií, modernizací pohonu apod, což je žádoucí nejen pro zlepšení ekonomiky bezemisního provozu (bezemisní vozidla mají cca dvojnásobné a</w:t>
            </w:r>
            <w:r w:rsidR="005A1247">
              <w:rPr>
                <w:rFonts w:cs="Arial"/>
                <w:sz w:val="22"/>
                <w:szCs w:val="22"/>
              </w:rPr>
              <w:t> </w:t>
            </w:r>
            <w:r w:rsidRPr="004A1364">
              <w:rPr>
                <w:rFonts w:cs="Arial"/>
                <w:sz w:val="22"/>
                <w:szCs w:val="22"/>
              </w:rPr>
              <w:t>vyšší pořizovací náklady), ale i</w:t>
            </w:r>
            <w:r w:rsidR="005A1247">
              <w:rPr>
                <w:rFonts w:cs="Arial"/>
                <w:sz w:val="22"/>
                <w:szCs w:val="22"/>
              </w:rPr>
              <w:t> </w:t>
            </w:r>
            <w:r w:rsidRPr="004A1364">
              <w:rPr>
                <w:rFonts w:cs="Arial"/>
                <w:sz w:val="22"/>
                <w:szCs w:val="22"/>
              </w:rPr>
              <w:t>z ekologického hlediska (uhlíková stopa při výrobě vozidel).</w:t>
            </w:r>
          </w:p>
          <w:p w14:paraId="3DFDA3CD" w14:textId="77777777" w:rsidR="00DD2E8A" w:rsidRPr="004A1364" w:rsidRDefault="00DD2E8A" w:rsidP="0054245B">
            <w:pPr>
              <w:pStyle w:val="Normln10"/>
              <w:spacing w:before="0" w:line="240" w:lineRule="auto"/>
              <w:rPr>
                <w:rFonts w:cs="Arial"/>
                <w:sz w:val="22"/>
                <w:szCs w:val="22"/>
              </w:rPr>
            </w:pPr>
            <w:r w:rsidRPr="004A1364">
              <w:rPr>
                <w:rFonts w:cs="Arial"/>
                <w:sz w:val="22"/>
                <w:szCs w:val="22"/>
              </w:rPr>
              <w:t>Opatření lze realizovat například takto: Bezemisní vozidla se po dosažení určitého limitu stáří nebudou započítávat do p</w:t>
            </w:r>
            <w:r>
              <w:rPr>
                <w:rFonts w:cs="Arial"/>
                <w:sz w:val="22"/>
                <w:szCs w:val="22"/>
              </w:rPr>
              <w:t>růměrného stáří vozového parku.</w:t>
            </w:r>
          </w:p>
          <w:p w14:paraId="4681BE72" w14:textId="7937DA43" w:rsidR="00DD2E8A" w:rsidRPr="00707E10" w:rsidRDefault="00DD2E8A" w:rsidP="005A1247">
            <w:pPr>
              <w:pStyle w:val="Normln10"/>
              <w:spacing w:before="0" w:line="240" w:lineRule="auto"/>
              <w:rPr>
                <w:rFonts w:cs="Arial"/>
                <w:sz w:val="22"/>
                <w:szCs w:val="22"/>
              </w:rPr>
            </w:pPr>
            <w:r w:rsidRPr="004A1364">
              <w:rPr>
                <w:rFonts w:cs="Arial"/>
                <w:sz w:val="22"/>
                <w:szCs w:val="22"/>
              </w:rPr>
              <w:t>Opatření se aplikuje také na vodíkové pohony. Opatření bude nutné učinit také v</w:t>
            </w:r>
            <w:r w:rsidR="005A1247">
              <w:rPr>
                <w:rFonts w:cs="Arial"/>
                <w:sz w:val="22"/>
                <w:szCs w:val="22"/>
              </w:rPr>
              <w:t> </w:t>
            </w:r>
            <w:r w:rsidRPr="004A1364">
              <w:rPr>
                <w:rFonts w:cs="Arial"/>
                <w:sz w:val="22"/>
                <w:szCs w:val="22"/>
              </w:rPr>
              <w:t>případě přesunu trolejbusů do silničních vozidel, u</w:t>
            </w:r>
            <w:r w:rsidR="005A1247">
              <w:rPr>
                <w:rFonts w:cs="Arial"/>
                <w:sz w:val="22"/>
                <w:szCs w:val="22"/>
              </w:rPr>
              <w:t> </w:t>
            </w:r>
            <w:r w:rsidRPr="004A1364">
              <w:rPr>
                <w:rFonts w:cs="Arial"/>
                <w:sz w:val="22"/>
                <w:szCs w:val="22"/>
              </w:rPr>
              <w:t>trolejbusů se běžně prodlužuje životnost opravami.</w:t>
            </w:r>
          </w:p>
        </w:tc>
      </w:tr>
      <w:tr w:rsidR="00DD2E8A" w14:paraId="792EDC81"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5029B28A" w14:textId="6BDCBCD8" w:rsidR="00DD2E8A" w:rsidRDefault="00DD2E8A" w:rsidP="005A1247">
            <w:pPr>
              <w:pStyle w:val="Normln10"/>
              <w:jc w:val="left"/>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6AB33CC2" w14:textId="21949B87" w:rsidR="00DD2E8A" w:rsidRDefault="00DD2E8A" w:rsidP="005A1247">
            <w:pPr>
              <w:pStyle w:val="Normln10"/>
              <w:spacing w:before="0" w:line="240" w:lineRule="auto"/>
              <w:rPr>
                <w:rFonts w:cs="Arial"/>
                <w:sz w:val="22"/>
                <w:szCs w:val="22"/>
              </w:rPr>
            </w:pPr>
            <w:r>
              <w:rPr>
                <w:rFonts w:cs="Arial"/>
                <w:sz w:val="22"/>
                <w:szCs w:val="22"/>
              </w:rPr>
              <w:t>Na trhu jsou dostupné trolejbusy s</w:t>
            </w:r>
            <w:r w:rsidR="005A1247">
              <w:rPr>
                <w:rFonts w:cs="Arial"/>
                <w:sz w:val="22"/>
                <w:szCs w:val="22"/>
              </w:rPr>
              <w:t> </w:t>
            </w:r>
            <w:r>
              <w:rPr>
                <w:rFonts w:cs="Arial"/>
                <w:sz w:val="22"/>
                <w:szCs w:val="22"/>
              </w:rPr>
              <w:t>plánovanou životností minimálně 20 let (např. Švýcarsko).</w:t>
            </w:r>
          </w:p>
        </w:tc>
      </w:tr>
      <w:tr w:rsidR="00DD2E8A" w14:paraId="23D74EFE"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15CE2EA3" w14:textId="77777777" w:rsidR="00DD2E8A" w:rsidRDefault="00DD2E8A" w:rsidP="0054245B">
            <w:pPr>
              <w:pStyle w:val="Normln10"/>
              <w:jc w:val="left"/>
              <w:rPr>
                <w:rFonts w:cs="Arial"/>
                <w:sz w:val="22"/>
                <w:szCs w:val="22"/>
              </w:rPr>
            </w:pPr>
            <w:r>
              <w:rPr>
                <w:rFonts w:cs="Arial"/>
                <w:sz w:val="22"/>
                <w:szCs w:val="22"/>
              </w:rPr>
              <w:t>Vazba na další opatření</w:t>
            </w:r>
          </w:p>
        </w:tc>
        <w:tc>
          <w:tcPr>
            <w:tcW w:w="7087" w:type="dxa"/>
            <w:tcBorders>
              <w:top w:val="single" w:sz="4" w:space="0" w:color="auto"/>
              <w:left w:val="single" w:sz="12" w:space="0" w:color="auto"/>
              <w:bottom w:val="single" w:sz="4" w:space="0" w:color="auto"/>
              <w:right w:val="single" w:sz="12" w:space="0" w:color="auto"/>
            </w:tcBorders>
          </w:tcPr>
          <w:p w14:paraId="21DFDABD" w14:textId="13EF38D3" w:rsidR="00DD2E8A" w:rsidRPr="007B48CA" w:rsidRDefault="00DD2E8A" w:rsidP="005A1247">
            <w:pPr>
              <w:pStyle w:val="Normln10"/>
              <w:spacing w:line="240" w:lineRule="auto"/>
              <w:rPr>
                <w:rFonts w:cs="Arial"/>
                <w:sz w:val="22"/>
                <w:szCs w:val="22"/>
              </w:rPr>
            </w:pPr>
            <w:r w:rsidRPr="007B48CA">
              <w:rPr>
                <w:rFonts w:cs="Arial"/>
                <w:sz w:val="22"/>
                <w:szCs w:val="22"/>
              </w:rPr>
              <w:t xml:space="preserve">E5 </w:t>
            </w:r>
            <w:r w:rsidR="007B48CA" w:rsidRPr="007B48CA">
              <w:rPr>
                <w:rFonts w:cs="Arial"/>
                <w:sz w:val="22"/>
                <w:szCs w:val="22"/>
              </w:rPr>
              <w:t>Analýza existujícího legislativního rámce pro provoz trolejbusů a</w:t>
            </w:r>
            <w:r w:rsidR="005A1247">
              <w:rPr>
                <w:rFonts w:cs="Arial"/>
                <w:sz w:val="22"/>
                <w:szCs w:val="22"/>
              </w:rPr>
              <w:t> </w:t>
            </w:r>
            <w:r w:rsidR="007B48CA" w:rsidRPr="007B48CA">
              <w:rPr>
                <w:rFonts w:cs="Arial"/>
                <w:sz w:val="22"/>
                <w:szCs w:val="22"/>
              </w:rPr>
              <w:t>posouzení možnosti jeho zjednodušení</w:t>
            </w:r>
          </w:p>
        </w:tc>
      </w:tr>
      <w:tr w:rsidR="00DD2E8A" w14:paraId="04013A22"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15FE20F2" w14:textId="77777777" w:rsidR="00DD2E8A" w:rsidRDefault="00DD2E8A" w:rsidP="0054245B">
            <w:pPr>
              <w:pStyle w:val="Normln10"/>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5142A001" w14:textId="32178739" w:rsidR="00DD2E8A" w:rsidRPr="007B48CA" w:rsidRDefault="00DD4D5A" w:rsidP="0054245B">
            <w:pPr>
              <w:pStyle w:val="Normln10"/>
              <w:spacing w:line="240" w:lineRule="auto"/>
              <w:jc w:val="left"/>
              <w:rPr>
                <w:rFonts w:cs="Arial"/>
                <w:sz w:val="22"/>
                <w:szCs w:val="22"/>
              </w:rPr>
            </w:pPr>
            <w:r w:rsidRPr="00823214">
              <w:rPr>
                <w:sz w:val="22"/>
                <w:szCs w:val="22"/>
              </w:rPr>
              <w:t xml:space="preserve"> Navržené opatření nebude mít významný rozpočtový dopad</w:t>
            </w:r>
          </w:p>
        </w:tc>
      </w:tr>
      <w:tr w:rsidR="00DD2E8A" w14:paraId="3B5BE2C6"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3E1FCFD1" w14:textId="77777777" w:rsidR="00DD2E8A" w:rsidRDefault="00DD2E8A" w:rsidP="0054245B">
            <w:pPr>
              <w:pStyle w:val="Normln10"/>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657457DF" w14:textId="77777777" w:rsidR="00DD2E8A" w:rsidRDefault="00DD2E8A" w:rsidP="0054245B">
            <w:pPr>
              <w:pStyle w:val="Normln10"/>
              <w:spacing w:line="240" w:lineRule="auto"/>
              <w:jc w:val="left"/>
              <w:rPr>
                <w:rFonts w:cs="Arial"/>
                <w:sz w:val="22"/>
                <w:szCs w:val="22"/>
              </w:rPr>
            </w:pPr>
            <w:r>
              <w:rPr>
                <w:rFonts w:cs="Arial"/>
                <w:sz w:val="22"/>
                <w:szCs w:val="22"/>
              </w:rPr>
              <w:t>MD</w:t>
            </w:r>
          </w:p>
        </w:tc>
      </w:tr>
      <w:tr w:rsidR="00DD2E8A" w14:paraId="7F2922C3"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4F179AD3" w14:textId="77777777" w:rsidR="00DD2E8A" w:rsidRDefault="00DD2E8A" w:rsidP="0054245B">
            <w:pPr>
              <w:pStyle w:val="Normln10"/>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579B62C6" w14:textId="77777777" w:rsidR="00DD2E8A" w:rsidRDefault="00DD2E8A" w:rsidP="0054245B">
            <w:pPr>
              <w:pStyle w:val="Normln10"/>
              <w:spacing w:line="240" w:lineRule="auto"/>
              <w:jc w:val="left"/>
              <w:rPr>
                <w:rFonts w:cs="Arial"/>
                <w:sz w:val="22"/>
                <w:szCs w:val="22"/>
              </w:rPr>
            </w:pPr>
            <w:r>
              <w:rPr>
                <w:rFonts w:cs="Arial"/>
                <w:sz w:val="22"/>
                <w:szCs w:val="22"/>
              </w:rPr>
              <w:t>SDA, Drážní úřad</w:t>
            </w:r>
          </w:p>
        </w:tc>
      </w:tr>
      <w:tr w:rsidR="00DD2E8A" w14:paraId="621E0A4C" w14:textId="77777777" w:rsidTr="0054245B">
        <w:tc>
          <w:tcPr>
            <w:tcW w:w="1984" w:type="dxa"/>
            <w:tcBorders>
              <w:top w:val="single" w:sz="4" w:space="0" w:color="auto"/>
              <w:left w:val="single" w:sz="12" w:space="0" w:color="auto"/>
              <w:bottom w:val="single" w:sz="12" w:space="0" w:color="auto"/>
              <w:right w:val="single" w:sz="12" w:space="0" w:color="auto"/>
            </w:tcBorders>
            <w:vAlign w:val="center"/>
            <w:hideMark/>
          </w:tcPr>
          <w:p w14:paraId="68279510" w14:textId="77777777" w:rsidR="00DD2E8A" w:rsidRDefault="00DD2E8A" w:rsidP="0054245B">
            <w:pPr>
              <w:pStyle w:val="Normln10"/>
              <w:jc w:val="left"/>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hideMark/>
          </w:tcPr>
          <w:p w14:paraId="518E7B53" w14:textId="77777777" w:rsidR="00DD2E8A" w:rsidRDefault="00DD2E8A" w:rsidP="0054245B">
            <w:pPr>
              <w:pStyle w:val="Normln10"/>
              <w:spacing w:line="240" w:lineRule="auto"/>
              <w:jc w:val="left"/>
              <w:rPr>
                <w:rFonts w:cs="Arial"/>
                <w:sz w:val="22"/>
                <w:szCs w:val="22"/>
              </w:rPr>
            </w:pPr>
            <w:r>
              <w:rPr>
                <w:rFonts w:cs="Arial"/>
                <w:sz w:val="22"/>
                <w:szCs w:val="22"/>
              </w:rPr>
              <w:t>12/2021</w:t>
            </w:r>
          </w:p>
        </w:tc>
      </w:tr>
    </w:tbl>
    <w:p w14:paraId="357DFC12" w14:textId="77777777" w:rsidR="00DD2E8A" w:rsidRDefault="00DD2E8A" w:rsidP="00DD2E8A">
      <w:pPr>
        <w:spacing w:before="0" w:after="0"/>
        <w:jc w:val="both"/>
        <w:rPr>
          <w:rFonts w:cs="Arial"/>
        </w:rPr>
      </w:pPr>
    </w:p>
    <w:p w14:paraId="3D3C1F0C" w14:textId="1CBB808C" w:rsidR="00DD2E8A" w:rsidRDefault="00DD2E8A" w:rsidP="00DD2E8A">
      <w:pPr>
        <w:pStyle w:val="Nadpis3"/>
        <w:jc w:val="both"/>
      </w:pPr>
      <w:r>
        <w:lastRenderedPageBreak/>
        <w:t xml:space="preserve">S6 </w:t>
      </w:r>
      <w:r w:rsidRPr="009A5424">
        <w:t>Sjednocení procesu schvalování výstavby infrastruktury dobíjecích a</w:t>
      </w:r>
      <w:r w:rsidR="005A1247">
        <w:t> </w:t>
      </w:r>
      <w:r w:rsidRPr="009A5424">
        <w:t>plnicích stanic CNG/LNG</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rsidRPr="003234A7" w14:paraId="33DD1E4E"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cPr>
          <w:p w14:paraId="467FE766" w14:textId="73CA4070" w:rsidR="00DD2E8A" w:rsidRPr="003234A7" w:rsidRDefault="00DD2E8A" w:rsidP="005A1247">
            <w:pPr>
              <w:spacing w:before="60" w:after="60"/>
              <w:jc w:val="both"/>
              <w:rPr>
                <w:rFonts w:cs="Arial"/>
                <w:b/>
                <w:color w:val="FFFFFF"/>
              </w:rPr>
            </w:pPr>
            <w:r w:rsidRPr="003234A7">
              <w:rPr>
                <w:rFonts w:cs="Arial"/>
                <w:b/>
                <w:color w:val="FFFFFF"/>
              </w:rPr>
              <w:t>S</w:t>
            </w:r>
            <w:r>
              <w:rPr>
                <w:rFonts w:cs="Arial"/>
                <w:b/>
                <w:color w:val="FFFFFF"/>
              </w:rPr>
              <w:t xml:space="preserve">6 </w:t>
            </w:r>
            <w:r w:rsidRPr="003234A7">
              <w:rPr>
                <w:rFonts w:cs="Arial"/>
                <w:b/>
                <w:color w:val="FFFFFF"/>
              </w:rPr>
              <w:t>Sjednocení</w:t>
            </w:r>
            <w:r>
              <w:rPr>
                <w:rFonts w:cs="Arial"/>
                <w:b/>
                <w:color w:val="FFFFFF"/>
              </w:rPr>
              <w:t xml:space="preserve"> </w:t>
            </w:r>
            <w:r w:rsidRPr="003234A7">
              <w:rPr>
                <w:rFonts w:cs="Arial"/>
                <w:b/>
                <w:color w:val="FFFFFF"/>
              </w:rPr>
              <w:t>procesu schvalování výstavby infrastruktury dobíjecích a</w:t>
            </w:r>
            <w:r w:rsidR="005A1247">
              <w:rPr>
                <w:rFonts w:cs="Arial"/>
                <w:b/>
                <w:color w:val="FFFFFF"/>
              </w:rPr>
              <w:t> </w:t>
            </w:r>
            <w:r w:rsidRPr="003234A7">
              <w:rPr>
                <w:rFonts w:cs="Arial"/>
                <w:b/>
                <w:color w:val="FFFFFF"/>
              </w:rPr>
              <w:t>plnicích stanic CNG/LNG</w:t>
            </w:r>
            <w:r w:rsidRPr="003234A7">
              <w:rPr>
                <w:b/>
              </w:rPr>
              <w:t xml:space="preserve"> </w:t>
            </w:r>
          </w:p>
        </w:tc>
      </w:tr>
      <w:tr w:rsidR="00DD2E8A" w:rsidRPr="003234A7" w14:paraId="3B1C078A" w14:textId="77777777" w:rsidTr="00B502A0">
        <w:tc>
          <w:tcPr>
            <w:tcW w:w="1984" w:type="dxa"/>
            <w:tcBorders>
              <w:top w:val="single" w:sz="12" w:space="0" w:color="auto"/>
              <w:left w:val="single" w:sz="12" w:space="0" w:color="auto"/>
              <w:right w:val="single" w:sz="12" w:space="0" w:color="auto"/>
            </w:tcBorders>
          </w:tcPr>
          <w:p w14:paraId="44E05F8A" w14:textId="77777777" w:rsidR="00DD2E8A" w:rsidRPr="003234A7" w:rsidRDefault="00DD2E8A" w:rsidP="00B502A0">
            <w:pPr>
              <w:suppressAutoHyphens/>
              <w:spacing w:before="60" w:after="0"/>
              <w:jc w:val="both"/>
              <w:rPr>
                <w:rFonts w:cs="Arial"/>
                <w:szCs w:val="22"/>
              </w:rPr>
            </w:pPr>
            <w:r w:rsidRPr="003234A7">
              <w:rPr>
                <w:rFonts w:cs="Arial"/>
                <w:szCs w:val="22"/>
              </w:rPr>
              <w:t>Návaznost na strategický cíl</w:t>
            </w:r>
          </w:p>
        </w:tc>
        <w:tc>
          <w:tcPr>
            <w:tcW w:w="7087" w:type="dxa"/>
            <w:tcBorders>
              <w:top w:val="single" w:sz="12" w:space="0" w:color="auto"/>
              <w:left w:val="single" w:sz="12" w:space="0" w:color="auto"/>
              <w:right w:val="single" w:sz="12" w:space="0" w:color="auto"/>
            </w:tcBorders>
          </w:tcPr>
          <w:p w14:paraId="6EBE1CBA" w14:textId="77777777" w:rsidR="00DD2E8A" w:rsidRDefault="00DD2E8A" w:rsidP="00CE7666">
            <w:pPr>
              <w:suppressAutoHyphens/>
              <w:spacing w:before="0" w:after="0" w:line="276" w:lineRule="auto"/>
              <w:jc w:val="both"/>
              <w:rPr>
                <w:rFonts w:cs="Arial"/>
                <w:szCs w:val="22"/>
              </w:rPr>
            </w:pPr>
            <w:r>
              <w:rPr>
                <w:rFonts w:cs="Arial"/>
                <w:szCs w:val="22"/>
              </w:rPr>
              <w:t>Rozvoj infrastruktury dobíjecích stanic</w:t>
            </w:r>
            <w:r w:rsidR="003D46EF">
              <w:rPr>
                <w:rFonts w:cs="Arial"/>
                <w:szCs w:val="22"/>
              </w:rPr>
              <w:t xml:space="preserve"> (kap. 2.4.2.)</w:t>
            </w:r>
          </w:p>
          <w:p w14:paraId="0E61057B" w14:textId="57A3B3DA" w:rsidR="00DD2E8A" w:rsidRPr="003234A7" w:rsidRDefault="00DD2E8A" w:rsidP="005A1247">
            <w:pPr>
              <w:suppressAutoHyphens/>
              <w:spacing w:before="0" w:after="0" w:line="276" w:lineRule="auto"/>
              <w:jc w:val="both"/>
              <w:rPr>
                <w:rFonts w:cs="Arial"/>
                <w:szCs w:val="22"/>
              </w:rPr>
            </w:pPr>
            <w:r>
              <w:rPr>
                <w:rFonts w:cs="Arial"/>
                <w:szCs w:val="22"/>
              </w:rPr>
              <w:t>Rozvoj infrastruktury CNG a</w:t>
            </w:r>
            <w:r w:rsidR="005A1247">
              <w:rPr>
                <w:rFonts w:cs="Arial"/>
                <w:szCs w:val="22"/>
              </w:rPr>
              <w:t> </w:t>
            </w:r>
            <w:r>
              <w:rPr>
                <w:rFonts w:cs="Arial"/>
                <w:szCs w:val="22"/>
              </w:rPr>
              <w:t>LNG plnicích stanic</w:t>
            </w:r>
            <w:r w:rsidR="003D46EF">
              <w:rPr>
                <w:rFonts w:cs="Arial"/>
                <w:szCs w:val="22"/>
              </w:rPr>
              <w:t xml:space="preserve"> (kap. 3.3.2.)</w:t>
            </w:r>
          </w:p>
        </w:tc>
      </w:tr>
      <w:tr w:rsidR="00DD2E8A" w:rsidRPr="003234A7" w14:paraId="6F4B4626" w14:textId="77777777" w:rsidTr="0054245B">
        <w:tc>
          <w:tcPr>
            <w:tcW w:w="1984" w:type="dxa"/>
            <w:tcBorders>
              <w:top w:val="single" w:sz="4" w:space="0" w:color="auto"/>
              <w:left w:val="single" w:sz="12" w:space="0" w:color="auto"/>
              <w:right w:val="single" w:sz="12" w:space="0" w:color="auto"/>
            </w:tcBorders>
          </w:tcPr>
          <w:p w14:paraId="3D5A1A64" w14:textId="77777777" w:rsidR="00DD2E8A" w:rsidRPr="003234A7" w:rsidRDefault="00DD2E8A" w:rsidP="0054245B">
            <w:pPr>
              <w:suppressAutoHyphens/>
              <w:spacing w:before="60" w:after="0"/>
              <w:jc w:val="both"/>
              <w:rPr>
                <w:rFonts w:cs="Arial"/>
                <w:szCs w:val="22"/>
              </w:rPr>
            </w:pPr>
            <w:r>
              <w:rPr>
                <w:rFonts w:cs="Arial"/>
                <w:szCs w:val="22"/>
              </w:rPr>
              <w:t>Cíl opatření</w:t>
            </w:r>
          </w:p>
        </w:tc>
        <w:tc>
          <w:tcPr>
            <w:tcW w:w="7087" w:type="dxa"/>
            <w:tcBorders>
              <w:top w:val="single" w:sz="4" w:space="0" w:color="auto"/>
              <w:left w:val="single" w:sz="12" w:space="0" w:color="auto"/>
              <w:right w:val="single" w:sz="12" w:space="0" w:color="auto"/>
            </w:tcBorders>
          </w:tcPr>
          <w:p w14:paraId="44B33F53" w14:textId="5E956701" w:rsidR="00DD2E8A" w:rsidRPr="00CE7666" w:rsidRDefault="00DD2E8A" w:rsidP="0054245B">
            <w:pPr>
              <w:spacing w:before="0" w:after="0"/>
              <w:jc w:val="both"/>
              <w:rPr>
                <w:szCs w:val="22"/>
              </w:rPr>
            </w:pPr>
            <w:r w:rsidRPr="00CE7666">
              <w:rPr>
                <w:szCs w:val="22"/>
              </w:rPr>
              <w:t>Navrhnout jednotný celorepublikový výklad platných normativních dokumentů pro výstavbu dobíjecích stanic a</w:t>
            </w:r>
            <w:r w:rsidR="005A1247">
              <w:rPr>
                <w:szCs w:val="22"/>
              </w:rPr>
              <w:t> </w:t>
            </w:r>
            <w:r w:rsidRPr="00CE7666">
              <w:rPr>
                <w:szCs w:val="22"/>
              </w:rPr>
              <w:t>CNG, bio-CNG, LNG, bio-LNG, LCNG a</w:t>
            </w:r>
            <w:r w:rsidR="005A1247">
              <w:rPr>
                <w:szCs w:val="22"/>
              </w:rPr>
              <w:t> </w:t>
            </w:r>
            <w:r w:rsidRPr="00CE7666">
              <w:rPr>
                <w:szCs w:val="22"/>
              </w:rPr>
              <w:t>bio-LCNG plnících stanic a</w:t>
            </w:r>
            <w:r w:rsidR="005A1247">
              <w:rPr>
                <w:szCs w:val="22"/>
              </w:rPr>
              <w:t> </w:t>
            </w:r>
            <w:r w:rsidRPr="00CE7666">
              <w:rPr>
                <w:szCs w:val="22"/>
              </w:rPr>
              <w:t>sjednotit způsob posuzování dokumentací příslušnými dotčenými orgány a</w:t>
            </w:r>
            <w:r w:rsidR="005A1247">
              <w:rPr>
                <w:szCs w:val="22"/>
              </w:rPr>
              <w:t> </w:t>
            </w:r>
            <w:r w:rsidRPr="00CE7666">
              <w:rPr>
                <w:szCs w:val="22"/>
              </w:rPr>
              <w:t>stavebními úřady v</w:t>
            </w:r>
            <w:r w:rsidR="005A1247">
              <w:rPr>
                <w:szCs w:val="22"/>
              </w:rPr>
              <w:t> </w:t>
            </w:r>
            <w:r w:rsidRPr="00CE7666">
              <w:rPr>
                <w:szCs w:val="22"/>
              </w:rPr>
              <w:t>rámci schvalovacího procesu na jejich výstavbu (rozhodnutí o</w:t>
            </w:r>
            <w:r w:rsidR="005A1247">
              <w:rPr>
                <w:szCs w:val="22"/>
              </w:rPr>
              <w:t> </w:t>
            </w:r>
            <w:r w:rsidRPr="00CE7666">
              <w:rPr>
                <w:szCs w:val="22"/>
              </w:rPr>
              <w:t>umístění stavby, stavební povolení, povolení k</w:t>
            </w:r>
            <w:r w:rsidR="005A1247">
              <w:rPr>
                <w:szCs w:val="22"/>
              </w:rPr>
              <w:t> </w:t>
            </w:r>
            <w:r w:rsidRPr="00CE7666">
              <w:rPr>
                <w:szCs w:val="22"/>
              </w:rPr>
              <w:t>provozu) tak, aby se proces v</w:t>
            </w:r>
            <w:r w:rsidR="005A1247">
              <w:rPr>
                <w:szCs w:val="22"/>
              </w:rPr>
              <w:t> </w:t>
            </w:r>
            <w:r w:rsidRPr="00CE7666">
              <w:rPr>
                <w:szCs w:val="22"/>
              </w:rPr>
              <w:t>rámci ČR co nejvíce sjednotil.</w:t>
            </w:r>
          </w:p>
          <w:p w14:paraId="2B913A8E" w14:textId="77777777" w:rsidR="00DD2E8A" w:rsidRPr="00CE7666" w:rsidRDefault="00DD2E8A" w:rsidP="0054245B">
            <w:pPr>
              <w:spacing w:before="0" w:after="0"/>
              <w:jc w:val="both"/>
              <w:rPr>
                <w:szCs w:val="22"/>
              </w:rPr>
            </w:pPr>
            <w:r w:rsidRPr="00CE7666">
              <w:rPr>
                <w:szCs w:val="22"/>
              </w:rPr>
              <w:t xml:space="preserve">Tato metodika (úpravy legislativy) by obsahovala mimo jiné následující: </w:t>
            </w:r>
          </w:p>
          <w:p w14:paraId="7D802689" w14:textId="4ACCCA58" w:rsidR="00DD2E8A" w:rsidRPr="00CE7666" w:rsidRDefault="00DD2E8A" w:rsidP="0054245B">
            <w:pPr>
              <w:pStyle w:val="Bullet1"/>
              <w:spacing w:before="0" w:after="0"/>
              <w:jc w:val="both"/>
              <w:rPr>
                <w:szCs w:val="22"/>
              </w:rPr>
            </w:pPr>
            <w:r w:rsidRPr="00CE7666">
              <w:rPr>
                <w:szCs w:val="22"/>
              </w:rPr>
              <w:t>požadavky na projektovou přípravu výše uvedených plnících stanic včetně jejich umisťování v</w:t>
            </w:r>
            <w:r w:rsidR="005A1247">
              <w:rPr>
                <w:szCs w:val="22"/>
              </w:rPr>
              <w:t> </w:t>
            </w:r>
            <w:r w:rsidRPr="00CE7666">
              <w:rPr>
                <w:szCs w:val="22"/>
              </w:rPr>
              <w:t>integraci s</w:t>
            </w:r>
            <w:r w:rsidR="005A1247">
              <w:rPr>
                <w:szCs w:val="22"/>
              </w:rPr>
              <w:t> </w:t>
            </w:r>
            <w:r w:rsidRPr="00CE7666">
              <w:rPr>
                <w:szCs w:val="22"/>
              </w:rPr>
              <w:t xml:space="preserve">ostatními čerpacími stanicemi PHM, </w:t>
            </w:r>
          </w:p>
          <w:p w14:paraId="38534484" w14:textId="5DA108FC" w:rsidR="00DD2E8A" w:rsidRPr="00CE7666" w:rsidRDefault="00DD2E8A" w:rsidP="0054245B">
            <w:pPr>
              <w:pStyle w:val="Bullet1"/>
              <w:spacing w:before="0" w:after="0"/>
              <w:jc w:val="both"/>
              <w:rPr>
                <w:szCs w:val="22"/>
              </w:rPr>
            </w:pPr>
            <w:r w:rsidRPr="00CE7666">
              <w:rPr>
                <w:szCs w:val="22"/>
              </w:rPr>
              <w:t>podmínky z</w:t>
            </w:r>
            <w:r w:rsidR="005A1247">
              <w:rPr>
                <w:szCs w:val="22"/>
              </w:rPr>
              <w:t> </w:t>
            </w:r>
            <w:r w:rsidRPr="00CE7666">
              <w:rPr>
                <w:szCs w:val="22"/>
              </w:rPr>
              <w:t>hlediska požární bezpečnosti, ochrany obyvatel a</w:t>
            </w:r>
            <w:r w:rsidR="005A1247">
              <w:rPr>
                <w:szCs w:val="22"/>
              </w:rPr>
              <w:t> </w:t>
            </w:r>
            <w:r w:rsidRPr="00CE7666">
              <w:rPr>
                <w:szCs w:val="22"/>
              </w:rPr>
              <w:t>ochrany životního prostředí</w:t>
            </w:r>
          </w:p>
          <w:p w14:paraId="6D784169" w14:textId="77777777" w:rsidR="00DD2E8A" w:rsidRPr="00CE7666" w:rsidRDefault="00DD2E8A" w:rsidP="0054245B">
            <w:pPr>
              <w:pStyle w:val="Bullet1"/>
              <w:spacing w:before="0" w:after="0"/>
              <w:jc w:val="both"/>
              <w:rPr>
                <w:szCs w:val="22"/>
              </w:rPr>
            </w:pPr>
            <w:r w:rsidRPr="00CE7666">
              <w:rPr>
                <w:szCs w:val="22"/>
              </w:rPr>
              <w:t xml:space="preserve">požadavky na realizaci plnících stanic </w:t>
            </w:r>
          </w:p>
          <w:p w14:paraId="39724198" w14:textId="5DDC1BDE" w:rsidR="00DD2E8A" w:rsidRPr="00CE7666" w:rsidDel="00C05672" w:rsidRDefault="00DD2E8A" w:rsidP="005A1247">
            <w:pPr>
              <w:pStyle w:val="Bullet1"/>
              <w:spacing w:before="0" w:after="0"/>
              <w:rPr>
                <w:rFonts w:cs="Arial"/>
                <w:szCs w:val="22"/>
              </w:rPr>
            </w:pPr>
            <w:r w:rsidRPr="00CE7666">
              <w:rPr>
                <w:szCs w:val="22"/>
              </w:rPr>
              <w:t>podmínky zkoušení, uvedení do provozu a</w:t>
            </w:r>
            <w:r w:rsidR="005A1247">
              <w:rPr>
                <w:szCs w:val="22"/>
              </w:rPr>
              <w:t> </w:t>
            </w:r>
            <w:r w:rsidRPr="00CE7666">
              <w:rPr>
                <w:szCs w:val="22"/>
              </w:rPr>
              <w:t>provoz</w:t>
            </w:r>
          </w:p>
        </w:tc>
      </w:tr>
      <w:tr w:rsidR="00DD2E8A" w:rsidRPr="003234A7" w14:paraId="36864732" w14:textId="77777777" w:rsidTr="00B502A0">
        <w:tc>
          <w:tcPr>
            <w:tcW w:w="1984" w:type="dxa"/>
            <w:tcBorders>
              <w:left w:val="single" w:sz="12" w:space="0" w:color="auto"/>
              <w:right w:val="single" w:sz="12" w:space="0" w:color="auto"/>
            </w:tcBorders>
          </w:tcPr>
          <w:p w14:paraId="35CF0928" w14:textId="77777777" w:rsidR="00DD2E8A" w:rsidRPr="003234A7" w:rsidRDefault="00C328B1" w:rsidP="00B502A0">
            <w:pPr>
              <w:suppressAutoHyphens/>
              <w:spacing w:before="60" w:after="0"/>
              <w:jc w:val="both"/>
              <w:rPr>
                <w:rFonts w:cs="Arial"/>
                <w:szCs w:val="22"/>
              </w:rPr>
            </w:pPr>
            <w:r>
              <w:rPr>
                <w:rFonts w:cs="Arial"/>
                <w:szCs w:val="22"/>
              </w:rPr>
              <w:t>Popis opatření</w:t>
            </w:r>
          </w:p>
        </w:tc>
        <w:tc>
          <w:tcPr>
            <w:tcW w:w="7087" w:type="dxa"/>
            <w:tcBorders>
              <w:left w:val="single" w:sz="12" w:space="0" w:color="auto"/>
              <w:right w:val="single" w:sz="12" w:space="0" w:color="auto"/>
            </w:tcBorders>
          </w:tcPr>
          <w:p w14:paraId="629F05FE" w14:textId="74A6C872" w:rsidR="00DD2E8A" w:rsidRPr="00CE7666" w:rsidRDefault="00DD2E8A" w:rsidP="00B502A0">
            <w:pPr>
              <w:suppressAutoHyphens/>
              <w:spacing w:before="20" w:after="0"/>
              <w:jc w:val="both"/>
              <w:rPr>
                <w:rFonts w:cs="Arial"/>
                <w:sz w:val="21"/>
                <w:szCs w:val="21"/>
              </w:rPr>
            </w:pPr>
            <w:r w:rsidRPr="00CE7666">
              <w:rPr>
                <w:rFonts w:cs="Arial"/>
                <w:sz w:val="21"/>
                <w:szCs w:val="21"/>
              </w:rPr>
              <w:t>Vzhledem k</w:t>
            </w:r>
            <w:r w:rsidR="005A1247">
              <w:rPr>
                <w:rFonts w:cs="Arial"/>
                <w:sz w:val="21"/>
                <w:szCs w:val="21"/>
              </w:rPr>
              <w:t> </w:t>
            </w:r>
            <w:r w:rsidRPr="00CE7666">
              <w:rPr>
                <w:rFonts w:cs="Arial"/>
                <w:sz w:val="21"/>
                <w:szCs w:val="21"/>
              </w:rPr>
              <w:t>očeká</w:t>
            </w:r>
            <w:r w:rsidR="00CE7666" w:rsidRPr="00CE7666">
              <w:rPr>
                <w:rFonts w:cs="Arial"/>
                <w:sz w:val="21"/>
                <w:szCs w:val="21"/>
              </w:rPr>
              <w:t>vanému rozvoji čisté mobility</w:t>
            </w:r>
            <w:r w:rsidRPr="00CE7666">
              <w:rPr>
                <w:rFonts w:cs="Arial"/>
                <w:sz w:val="21"/>
                <w:szCs w:val="21"/>
              </w:rPr>
              <w:t xml:space="preserve"> v</w:t>
            </w:r>
            <w:r w:rsidR="005A1247">
              <w:rPr>
                <w:rFonts w:cs="Arial"/>
                <w:sz w:val="21"/>
                <w:szCs w:val="21"/>
              </w:rPr>
              <w:t> </w:t>
            </w:r>
            <w:r w:rsidRPr="00CE7666">
              <w:rPr>
                <w:rFonts w:cs="Arial"/>
                <w:sz w:val="21"/>
                <w:szCs w:val="21"/>
              </w:rPr>
              <w:t>ČR lze očekávat potřebu zajištění adekvátní dostupnosti dobíjecí a</w:t>
            </w:r>
            <w:r w:rsidR="005A1247">
              <w:rPr>
                <w:rFonts w:cs="Arial"/>
                <w:sz w:val="21"/>
                <w:szCs w:val="21"/>
              </w:rPr>
              <w:t> </w:t>
            </w:r>
            <w:r w:rsidRPr="00CE7666">
              <w:rPr>
                <w:rFonts w:cs="Arial"/>
                <w:sz w:val="21"/>
                <w:szCs w:val="21"/>
              </w:rPr>
              <w:t>plnicí infrastruktury. Její výstavba tak musí probíhat maximálně efektivně.</w:t>
            </w:r>
          </w:p>
          <w:p w14:paraId="09B5BF89" w14:textId="115EE031" w:rsidR="00DD2E8A" w:rsidRPr="00CE7666" w:rsidRDefault="00DD2E8A" w:rsidP="007D1931">
            <w:pPr>
              <w:suppressAutoHyphens/>
              <w:spacing w:before="20" w:after="0"/>
              <w:jc w:val="both"/>
              <w:rPr>
                <w:rFonts w:cs="Arial"/>
                <w:sz w:val="21"/>
                <w:szCs w:val="21"/>
              </w:rPr>
            </w:pPr>
            <w:r w:rsidRPr="00CE7666">
              <w:rPr>
                <w:rFonts w:cs="Arial"/>
                <w:sz w:val="21"/>
                <w:szCs w:val="21"/>
              </w:rPr>
              <w:t>Pro oblast dobíjecích stanic pro elektrická vozidla byla metodická pomůcka (výklad zákona) vydána v</w:t>
            </w:r>
            <w:r w:rsidR="005A1247">
              <w:rPr>
                <w:rFonts w:cs="Arial"/>
                <w:sz w:val="21"/>
                <w:szCs w:val="21"/>
              </w:rPr>
              <w:t> </w:t>
            </w:r>
            <w:r w:rsidR="00CE7666" w:rsidRPr="00CE7666">
              <w:rPr>
                <w:rFonts w:cs="Arial"/>
                <w:sz w:val="21"/>
                <w:szCs w:val="21"/>
              </w:rPr>
              <w:t>květnu 2019 MMR</w:t>
            </w:r>
            <w:r w:rsidRPr="00CE7666">
              <w:rPr>
                <w:rFonts w:cs="Arial"/>
                <w:sz w:val="21"/>
                <w:szCs w:val="21"/>
              </w:rPr>
              <w:t>, nicméně je třeba, aby byla více rozpracována, reflektovala konkrétní praktické případy. Obdobným způsobem by se měla ošetřit i</w:t>
            </w:r>
            <w:r w:rsidR="005A1247">
              <w:rPr>
                <w:rFonts w:cs="Arial"/>
                <w:sz w:val="21"/>
                <w:szCs w:val="21"/>
              </w:rPr>
              <w:t> </w:t>
            </w:r>
            <w:r w:rsidRPr="00CE7666">
              <w:rPr>
                <w:rFonts w:cs="Arial"/>
                <w:sz w:val="21"/>
                <w:szCs w:val="21"/>
              </w:rPr>
              <w:t>oblast CNG a</w:t>
            </w:r>
            <w:r w:rsidR="005A1247">
              <w:rPr>
                <w:rFonts w:cs="Arial"/>
                <w:sz w:val="21"/>
                <w:szCs w:val="21"/>
              </w:rPr>
              <w:t> </w:t>
            </w:r>
            <w:r w:rsidRPr="00CE7666">
              <w:rPr>
                <w:rFonts w:cs="Arial"/>
                <w:sz w:val="21"/>
                <w:szCs w:val="21"/>
              </w:rPr>
              <w:t>LNG plnících stanic. Stávající proces schvalování jejich výstavby je často zdlouhavý a</w:t>
            </w:r>
            <w:r w:rsidR="005A1247">
              <w:rPr>
                <w:rFonts w:cs="Arial"/>
                <w:sz w:val="21"/>
                <w:szCs w:val="21"/>
              </w:rPr>
              <w:t> </w:t>
            </w:r>
            <w:r w:rsidR="00CE7666" w:rsidRPr="00CE7666">
              <w:rPr>
                <w:rFonts w:cs="Arial"/>
                <w:sz w:val="21"/>
                <w:szCs w:val="21"/>
              </w:rPr>
              <w:t>komplikovaný</w:t>
            </w:r>
            <w:r w:rsidRPr="00CE7666">
              <w:rPr>
                <w:rFonts w:cs="Arial"/>
                <w:sz w:val="21"/>
                <w:szCs w:val="21"/>
              </w:rPr>
              <w:t xml:space="preserve"> z</w:t>
            </w:r>
            <w:r w:rsidR="005A1247">
              <w:rPr>
                <w:rFonts w:cs="Arial"/>
                <w:sz w:val="21"/>
                <w:szCs w:val="21"/>
              </w:rPr>
              <w:t> </w:t>
            </w:r>
            <w:r w:rsidRPr="00CE7666">
              <w:rPr>
                <w:rFonts w:cs="Arial"/>
                <w:sz w:val="21"/>
                <w:szCs w:val="21"/>
              </w:rPr>
              <w:t>důvodů současné legislativy v</w:t>
            </w:r>
            <w:r w:rsidR="005A1247">
              <w:rPr>
                <w:rFonts w:cs="Arial"/>
                <w:sz w:val="21"/>
                <w:szCs w:val="21"/>
              </w:rPr>
              <w:t> </w:t>
            </w:r>
            <w:r w:rsidRPr="00CE7666">
              <w:rPr>
                <w:rFonts w:cs="Arial"/>
                <w:sz w:val="21"/>
                <w:szCs w:val="21"/>
              </w:rPr>
              <w:t>oblasti stavebního práva, ale v</w:t>
            </w:r>
            <w:r w:rsidR="005A1247">
              <w:rPr>
                <w:rFonts w:cs="Arial"/>
                <w:sz w:val="21"/>
                <w:szCs w:val="21"/>
              </w:rPr>
              <w:t> </w:t>
            </w:r>
            <w:r w:rsidRPr="00CE7666">
              <w:rPr>
                <w:rFonts w:cs="Arial"/>
                <w:sz w:val="21"/>
                <w:szCs w:val="21"/>
              </w:rPr>
              <w:t xml:space="preserve">řadě případů </w:t>
            </w:r>
            <w:r w:rsidR="00CE7666" w:rsidRPr="00CE7666">
              <w:rPr>
                <w:rFonts w:cs="Arial"/>
                <w:sz w:val="21"/>
                <w:szCs w:val="21"/>
              </w:rPr>
              <w:t>je i</w:t>
            </w:r>
            <w:r w:rsidR="005A1247">
              <w:rPr>
                <w:rFonts w:cs="Arial"/>
                <w:sz w:val="21"/>
                <w:szCs w:val="21"/>
              </w:rPr>
              <w:t> </w:t>
            </w:r>
            <w:r w:rsidR="00CE7666" w:rsidRPr="00CE7666">
              <w:rPr>
                <w:rFonts w:cs="Arial"/>
                <w:sz w:val="21"/>
                <w:szCs w:val="21"/>
              </w:rPr>
              <w:t>způsoben</w:t>
            </w:r>
            <w:r w:rsidRPr="00CE7666">
              <w:rPr>
                <w:rFonts w:cs="Arial"/>
                <w:sz w:val="21"/>
                <w:szCs w:val="21"/>
              </w:rPr>
              <w:t xml:space="preserve"> neznalostí pracovníků dotčených orgánů a</w:t>
            </w:r>
            <w:r w:rsidR="005A1247">
              <w:rPr>
                <w:rFonts w:cs="Arial"/>
                <w:sz w:val="21"/>
                <w:szCs w:val="21"/>
              </w:rPr>
              <w:t> </w:t>
            </w:r>
            <w:r w:rsidR="00CE7666" w:rsidRPr="00CE7666">
              <w:rPr>
                <w:rFonts w:cs="Arial"/>
                <w:sz w:val="21"/>
                <w:szCs w:val="21"/>
              </w:rPr>
              <w:t>stavebních úřadů</w:t>
            </w:r>
            <w:r w:rsidRPr="00CE7666">
              <w:rPr>
                <w:rFonts w:cs="Arial"/>
                <w:sz w:val="21"/>
                <w:szCs w:val="21"/>
              </w:rPr>
              <w:t> příslušné technické problematiky, která je pro ně zcela nová, nebo jejich nejednotným přístupem. Přitom dobíjecí i</w:t>
            </w:r>
            <w:r w:rsidR="005A1247">
              <w:rPr>
                <w:rFonts w:cs="Arial"/>
                <w:sz w:val="21"/>
                <w:szCs w:val="21"/>
              </w:rPr>
              <w:t> </w:t>
            </w:r>
            <w:r w:rsidRPr="00CE7666">
              <w:rPr>
                <w:rFonts w:cs="Arial"/>
                <w:sz w:val="21"/>
                <w:szCs w:val="21"/>
              </w:rPr>
              <w:t>plnicí stanice CNG/LNG charakterizují standardní certifikované technologie.</w:t>
            </w:r>
          </w:p>
          <w:p w14:paraId="1C81B194" w14:textId="77D560F1" w:rsidR="00DD2E8A" w:rsidRPr="00CE7666" w:rsidRDefault="00DD2E8A" w:rsidP="005A1247">
            <w:pPr>
              <w:suppressAutoHyphens/>
              <w:spacing w:before="20" w:after="0"/>
              <w:jc w:val="both"/>
              <w:rPr>
                <w:rFonts w:cs="Arial"/>
                <w:szCs w:val="22"/>
              </w:rPr>
            </w:pPr>
            <w:r w:rsidRPr="00CE7666">
              <w:rPr>
                <w:rFonts w:cs="Arial"/>
                <w:sz w:val="21"/>
                <w:szCs w:val="21"/>
              </w:rPr>
              <w:t>Situace je obtížná i</w:t>
            </w:r>
            <w:r w:rsidR="005A1247">
              <w:rPr>
                <w:rFonts w:cs="Arial"/>
                <w:sz w:val="21"/>
                <w:szCs w:val="21"/>
              </w:rPr>
              <w:t> </w:t>
            </w:r>
            <w:r w:rsidRPr="00CE7666">
              <w:rPr>
                <w:rFonts w:cs="Arial"/>
                <w:sz w:val="21"/>
                <w:szCs w:val="21"/>
              </w:rPr>
              <w:t>v tom, že každá realizace dobíjecí/plnicí stanice je svým způsobem specifická, a</w:t>
            </w:r>
            <w:r w:rsidR="005A1247">
              <w:rPr>
                <w:rFonts w:cs="Arial"/>
                <w:sz w:val="21"/>
                <w:szCs w:val="21"/>
              </w:rPr>
              <w:t> </w:t>
            </w:r>
            <w:r w:rsidRPr="00CE7666">
              <w:rPr>
                <w:rFonts w:cs="Arial"/>
                <w:sz w:val="21"/>
                <w:szCs w:val="21"/>
              </w:rPr>
              <w:t>to primárně v</w:t>
            </w:r>
            <w:r w:rsidR="005A1247">
              <w:rPr>
                <w:rFonts w:cs="Arial"/>
                <w:sz w:val="21"/>
                <w:szCs w:val="21"/>
              </w:rPr>
              <w:t> </w:t>
            </w:r>
            <w:r w:rsidRPr="00CE7666">
              <w:rPr>
                <w:rFonts w:cs="Arial"/>
                <w:sz w:val="21"/>
                <w:szCs w:val="21"/>
              </w:rPr>
              <w:t>části zajištění potřebných souhlasů a</w:t>
            </w:r>
            <w:r w:rsidR="005A1247">
              <w:rPr>
                <w:rFonts w:cs="Arial"/>
                <w:sz w:val="21"/>
                <w:szCs w:val="21"/>
              </w:rPr>
              <w:t> </w:t>
            </w:r>
            <w:r w:rsidRPr="00CE7666">
              <w:rPr>
                <w:rFonts w:cs="Arial"/>
                <w:sz w:val="21"/>
                <w:szCs w:val="21"/>
              </w:rPr>
              <w:t>povolení. Subjekty, které se výstavbou dobíjecích/plnicích stanic zabývají, jsou připraveny poskytnout nezbytné praktické zkušenosti a</w:t>
            </w:r>
            <w:r w:rsidR="005A1247">
              <w:rPr>
                <w:rFonts w:cs="Arial"/>
                <w:sz w:val="21"/>
                <w:szCs w:val="21"/>
              </w:rPr>
              <w:t> </w:t>
            </w:r>
            <w:r w:rsidRPr="00CE7666">
              <w:rPr>
                <w:rFonts w:cs="Arial"/>
                <w:sz w:val="21"/>
                <w:szCs w:val="21"/>
              </w:rPr>
              <w:t>doporučení. Toto opatření navíc podporuje splnění závazku ČR v</w:t>
            </w:r>
            <w:r w:rsidR="005A1247">
              <w:rPr>
                <w:rFonts w:cs="Arial"/>
                <w:sz w:val="21"/>
                <w:szCs w:val="21"/>
              </w:rPr>
              <w:t> </w:t>
            </w:r>
            <w:r w:rsidRPr="00CE7666">
              <w:rPr>
                <w:rFonts w:cs="Arial"/>
                <w:sz w:val="21"/>
                <w:szCs w:val="21"/>
              </w:rPr>
              <w:t>oblasti povinného podílu obnovitelných zdrojů energie v</w:t>
            </w:r>
            <w:r w:rsidR="005A1247">
              <w:rPr>
                <w:rFonts w:cs="Arial"/>
                <w:sz w:val="21"/>
                <w:szCs w:val="21"/>
              </w:rPr>
              <w:t> </w:t>
            </w:r>
            <w:r w:rsidRPr="00CE7666">
              <w:rPr>
                <w:rFonts w:cs="Arial"/>
                <w:sz w:val="21"/>
                <w:szCs w:val="21"/>
              </w:rPr>
              <w:t xml:space="preserve">dopravě. </w:t>
            </w:r>
          </w:p>
        </w:tc>
      </w:tr>
      <w:tr w:rsidR="00DD2E8A" w:rsidRPr="003234A7" w14:paraId="0A4AE656" w14:textId="77777777" w:rsidTr="00B502A0">
        <w:tc>
          <w:tcPr>
            <w:tcW w:w="1984" w:type="dxa"/>
            <w:tcBorders>
              <w:left w:val="single" w:sz="12" w:space="0" w:color="auto"/>
              <w:right w:val="single" w:sz="12" w:space="0" w:color="auto"/>
            </w:tcBorders>
          </w:tcPr>
          <w:p w14:paraId="58660721" w14:textId="77777777" w:rsidR="00DD2E8A" w:rsidRPr="003234A7" w:rsidRDefault="00DD2E8A" w:rsidP="00B502A0">
            <w:pPr>
              <w:suppressAutoHyphens/>
              <w:spacing w:before="60" w:after="0"/>
              <w:jc w:val="both"/>
              <w:rPr>
                <w:rFonts w:cs="Arial"/>
                <w:szCs w:val="22"/>
              </w:rPr>
            </w:pPr>
            <w:r w:rsidRPr="003234A7">
              <w:rPr>
                <w:rFonts w:cs="Arial"/>
                <w:szCs w:val="22"/>
              </w:rPr>
              <w:t>Rozpočtový dopad / financování</w:t>
            </w:r>
          </w:p>
        </w:tc>
        <w:tc>
          <w:tcPr>
            <w:tcW w:w="7087" w:type="dxa"/>
            <w:tcBorders>
              <w:left w:val="single" w:sz="12" w:space="0" w:color="auto"/>
              <w:right w:val="single" w:sz="12" w:space="0" w:color="auto"/>
            </w:tcBorders>
          </w:tcPr>
          <w:p w14:paraId="5D2C5F25" w14:textId="77777777" w:rsidR="00DD2E8A" w:rsidRPr="003234A7" w:rsidRDefault="00DD2E8A" w:rsidP="00B502A0">
            <w:pPr>
              <w:suppressAutoHyphens/>
              <w:spacing w:before="60" w:after="0" w:line="276" w:lineRule="auto"/>
              <w:jc w:val="both"/>
              <w:rPr>
                <w:rFonts w:cs="Arial"/>
                <w:szCs w:val="22"/>
              </w:rPr>
            </w:pPr>
            <w:r w:rsidRPr="003234A7">
              <w:rPr>
                <w:rFonts w:cs="Arial"/>
                <w:szCs w:val="22"/>
              </w:rPr>
              <w:t>Bez dopadu na státní rozpočet</w:t>
            </w:r>
          </w:p>
        </w:tc>
      </w:tr>
      <w:tr w:rsidR="00DD2E8A" w:rsidRPr="003234A7" w14:paraId="0CB3DFD0" w14:textId="77777777" w:rsidTr="00B502A0">
        <w:tc>
          <w:tcPr>
            <w:tcW w:w="1984" w:type="dxa"/>
            <w:tcBorders>
              <w:left w:val="single" w:sz="12" w:space="0" w:color="auto"/>
              <w:right w:val="single" w:sz="12" w:space="0" w:color="auto"/>
            </w:tcBorders>
          </w:tcPr>
          <w:p w14:paraId="76732730" w14:textId="77777777" w:rsidR="00DD2E8A" w:rsidRPr="003234A7" w:rsidRDefault="00DD2E8A" w:rsidP="00B502A0">
            <w:pPr>
              <w:suppressAutoHyphens/>
              <w:spacing w:before="60" w:after="0"/>
              <w:jc w:val="both"/>
              <w:rPr>
                <w:rFonts w:cs="Arial"/>
                <w:szCs w:val="22"/>
              </w:rPr>
            </w:pPr>
            <w:r w:rsidRPr="003234A7">
              <w:rPr>
                <w:rFonts w:cs="Arial"/>
                <w:szCs w:val="22"/>
              </w:rPr>
              <w:t>Odpovědnost</w:t>
            </w:r>
          </w:p>
        </w:tc>
        <w:tc>
          <w:tcPr>
            <w:tcW w:w="7087" w:type="dxa"/>
            <w:tcBorders>
              <w:left w:val="single" w:sz="12" w:space="0" w:color="auto"/>
              <w:right w:val="single" w:sz="12" w:space="0" w:color="auto"/>
            </w:tcBorders>
          </w:tcPr>
          <w:p w14:paraId="3AB35440" w14:textId="27CF1609" w:rsidR="00DD2E8A" w:rsidRPr="003234A7" w:rsidRDefault="0052222D" w:rsidP="00B502A0">
            <w:pPr>
              <w:suppressAutoHyphens/>
              <w:spacing w:before="60" w:after="0" w:line="276" w:lineRule="auto"/>
              <w:jc w:val="both"/>
              <w:rPr>
                <w:rFonts w:cs="Arial"/>
                <w:szCs w:val="22"/>
              </w:rPr>
            </w:pPr>
            <w:r>
              <w:rPr>
                <w:rFonts w:cs="Arial"/>
                <w:szCs w:val="22"/>
              </w:rPr>
              <w:t>MPO</w:t>
            </w:r>
          </w:p>
        </w:tc>
      </w:tr>
      <w:tr w:rsidR="00DD2E8A" w:rsidRPr="003234A7" w14:paraId="1A77038B" w14:textId="77777777" w:rsidTr="00B502A0">
        <w:tc>
          <w:tcPr>
            <w:tcW w:w="1984" w:type="dxa"/>
            <w:tcBorders>
              <w:top w:val="single" w:sz="4" w:space="0" w:color="auto"/>
              <w:left w:val="single" w:sz="12" w:space="0" w:color="auto"/>
              <w:bottom w:val="single" w:sz="4" w:space="0" w:color="auto"/>
              <w:right w:val="single" w:sz="12" w:space="0" w:color="auto"/>
            </w:tcBorders>
          </w:tcPr>
          <w:p w14:paraId="6B9DE9C1" w14:textId="77777777" w:rsidR="00DD2E8A" w:rsidRPr="003234A7" w:rsidRDefault="00DD2E8A" w:rsidP="00B502A0">
            <w:pPr>
              <w:suppressAutoHyphens/>
              <w:spacing w:before="60" w:after="0"/>
              <w:jc w:val="both"/>
              <w:rPr>
                <w:rFonts w:cs="Arial"/>
                <w:szCs w:val="22"/>
              </w:rPr>
            </w:pPr>
            <w:r w:rsidRPr="003234A7">
              <w:rPr>
                <w:rFonts w:cs="Arial"/>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241D7DFC" w14:textId="5508B016" w:rsidR="00DD2E8A" w:rsidRPr="003234A7" w:rsidRDefault="0052222D" w:rsidP="00B502A0">
            <w:pPr>
              <w:suppressAutoHyphens/>
              <w:spacing w:before="60" w:after="0" w:line="276" w:lineRule="auto"/>
              <w:jc w:val="both"/>
              <w:rPr>
                <w:rFonts w:cs="Arial"/>
                <w:szCs w:val="22"/>
              </w:rPr>
            </w:pPr>
            <w:r>
              <w:rPr>
                <w:rFonts w:cs="Arial"/>
                <w:szCs w:val="22"/>
              </w:rPr>
              <w:t xml:space="preserve">MV GŘHZS, MŽP, </w:t>
            </w:r>
            <w:r w:rsidRPr="003234A7">
              <w:rPr>
                <w:rFonts w:cs="Arial"/>
                <w:szCs w:val="22"/>
              </w:rPr>
              <w:t xml:space="preserve">MMR </w:t>
            </w:r>
            <w:r w:rsidR="00DD2E8A" w:rsidRPr="003234A7">
              <w:rPr>
                <w:rFonts w:cs="Arial"/>
                <w:szCs w:val="22"/>
              </w:rPr>
              <w:t>Společnosti zabývající se výstavbou dobíjecích / plnicích stanic</w:t>
            </w:r>
          </w:p>
        </w:tc>
      </w:tr>
      <w:tr w:rsidR="00DD2E8A" w:rsidRPr="003234A7" w14:paraId="41C2CBD4" w14:textId="77777777" w:rsidTr="00B502A0">
        <w:tc>
          <w:tcPr>
            <w:tcW w:w="1984" w:type="dxa"/>
            <w:tcBorders>
              <w:top w:val="single" w:sz="4" w:space="0" w:color="auto"/>
              <w:left w:val="single" w:sz="12" w:space="0" w:color="auto"/>
              <w:bottom w:val="single" w:sz="12" w:space="0" w:color="auto"/>
              <w:right w:val="single" w:sz="12" w:space="0" w:color="auto"/>
            </w:tcBorders>
          </w:tcPr>
          <w:p w14:paraId="62CF9A8D" w14:textId="77777777" w:rsidR="00DD2E8A" w:rsidRPr="003234A7" w:rsidRDefault="00DD2E8A" w:rsidP="00B502A0">
            <w:pPr>
              <w:suppressAutoHyphens/>
              <w:spacing w:before="60" w:after="0"/>
              <w:jc w:val="both"/>
              <w:rPr>
                <w:rFonts w:cs="Arial"/>
                <w:szCs w:val="22"/>
              </w:rPr>
            </w:pPr>
            <w:r w:rsidRPr="003234A7">
              <w:rPr>
                <w:rFonts w:cs="Arial"/>
                <w:szCs w:val="22"/>
              </w:rPr>
              <w:t>Termín</w:t>
            </w:r>
          </w:p>
        </w:tc>
        <w:tc>
          <w:tcPr>
            <w:tcW w:w="7087" w:type="dxa"/>
            <w:tcBorders>
              <w:top w:val="single" w:sz="4" w:space="0" w:color="auto"/>
              <w:left w:val="single" w:sz="12" w:space="0" w:color="auto"/>
              <w:bottom w:val="single" w:sz="12" w:space="0" w:color="auto"/>
              <w:right w:val="single" w:sz="12" w:space="0" w:color="auto"/>
            </w:tcBorders>
          </w:tcPr>
          <w:p w14:paraId="5168EFC2" w14:textId="77777777" w:rsidR="00DD2E8A" w:rsidRPr="003234A7" w:rsidRDefault="00DD2E8A" w:rsidP="00B502A0">
            <w:pPr>
              <w:suppressAutoHyphens/>
              <w:spacing w:before="60" w:after="0" w:line="276" w:lineRule="auto"/>
              <w:jc w:val="both"/>
              <w:rPr>
                <w:rFonts w:cs="Arial"/>
                <w:szCs w:val="22"/>
              </w:rPr>
            </w:pPr>
            <w:r w:rsidRPr="003234A7">
              <w:rPr>
                <w:rFonts w:cs="Arial"/>
                <w:szCs w:val="22"/>
              </w:rPr>
              <w:t>Návrh řešení</w:t>
            </w:r>
            <w:r w:rsidRPr="003234A7">
              <w:rPr>
                <w:rFonts w:cs="Arial"/>
                <w:szCs w:val="22"/>
              </w:rPr>
              <w:tab/>
              <w:t>6/2020</w:t>
            </w:r>
          </w:p>
        </w:tc>
      </w:tr>
    </w:tbl>
    <w:p w14:paraId="6912627F" w14:textId="77777777" w:rsidR="00DD2E8A" w:rsidRDefault="00DD2E8A" w:rsidP="00DD2E8A">
      <w:pPr>
        <w:jc w:val="both"/>
      </w:pPr>
      <w:bookmarkStart w:id="84" w:name="_GoBack"/>
      <w:bookmarkEnd w:id="84"/>
    </w:p>
    <w:p w14:paraId="6B941D3C" w14:textId="04028EF0" w:rsidR="00603567" w:rsidRDefault="00411077" w:rsidP="00411077">
      <w:pPr>
        <w:pStyle w:val="Nadpis3"/>
      </w:pPr>
      <w:r>
        <w:t xml:space="preserve"> S7 </w:t>
      </w:r>
      <w:r w:rsidRPr="00411077">
        <w:t>Odpisy na technologie dobíjecích a</w:t>
      </w:r>
      <w:r w:rsidR="005A1247">
        <w:t> </w:t>
      </w:r>
      <w:r w:rsidRPr="00411077">
        <w:t>plnicích vodíkových stanic</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411077" w:rsidRPr="003234A7" w14:paraId="118A8B5E" w14:textId="77777777" w:rsidTr="00D77CA4">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cPr>
          <w:p w14:paraId="5BB6DEB4" w14:textId="2E803B99" w:rsidR="00411077" w:rsidRPr="003234A7" w:rsidRDefault="00411077" w:rsidP="005A1247">
            <w:pPr>
              <w:spacing w:before="60" w:after="60"/>
              <w:jc w:val="both"/>
              <w:rPr>
                <w:rFonts w:cs="Arial"/>
                <w:b/>
                <w:color w:val="FFFFFF"/>
              </w:rPr>
            </w:pPr>
            <w:r w:rsidRPr="003234A7">
              <w:rPr>
                <w:rFonts w:cs="Arial"/>
                <w:b/>
                <w:color w:val="FFFFFF"/>
              </w:rPr>
              <w:t>S</w:t>
            </w:r>
            <w:r>
              <w:rPr>
                <w:rFonts w:cs="Arial"/>
                <w:b/>
                <w:color w:val="FFFFFF"/>
              </w:rPr>
              <w:t xml:space="preserve">7 </w:t>
            </w:r>
            <w:r>
              <w:t xml:space="preserve"> </w:t>
            </w:r>
            <w:r>
              <w:rPr>
                <w:rFonts w:cs="Arial"/>
                <w:b/>
                <w:color w:val="FFFFFF"/>
              </w:rPr>
              <w:t>O</w:t>
            </w:r>
            <w:r w:rsidRPr="006D1CBC">
              <w:rPr>
                <w:rFonts w:cs="Arial"/>
                <w:b/>
                <w:color w:val="FFFFFF"/>
              </w:rPr>
              <w:t>dpis</w:t>
            </w:r>
            <w:r>
              <w:rPr>
                <w:rFonts w:cs="Arial"/>
                <w:b/>
                <w:color w:val="FFFFFF"/>
              </w:rPr>
              <w:t>y</w:t>
            </w:r>
            <w:r w:rsidRPr="006D1CBC">
              <w:rPr>
                <w:rFonts w:cs="Arial"/>
                <w:b/>
                <w:color w:val="FFFFFF"/>
              </w:rPr>
              <w:t xml:space="preserve"> na </w:t>
            </w:r>
            <w:r>
              <w:rPr>
                <w:rFonts w:cs="Arial"/>
                <w:b/>
                <w:color w:val="FFFFFF"/>
              </w:rPr>
              <w:t xml:space="preserve">technologie </w:t>
            </w:r>
            <w:r w:rsidRPr="006D1CBC">
              <w:rPr>
                <w:rFonts w:cs="Arial"/>
                <w:b/>
                <w:color w:val="FFFFFF"/>
              </w:rPr>
              <w:t>dobíjecí</w:t>
            </w:r>
            <w:r>
              <w:rPr>
                <w:rFonts w:cs="Arial"/>
                <w:b/>
                <w:color w:val="FFFFFF"/>
              </w:rPr>
              <w:t>ch</w:t>
            </w:r>
            <w:r w:rsidRPr="006D1CBC">
              <w:rPr>
                <w:rFonts w:cs="Arial"/>
                <w:b/>
                <w:color w:val="FFFFFF"/>
              </w:rPr>
              <w:t xml:space="preserve"> a</w:t>
            </w:r>
            <w:r w:rsidR="005A1247">
              <w:rPr>
                <w:rFonts w:cs="Arial"/>
                <w:b/>
                <w:color w:val="FFFFFF"/>
              </w:rPr>
              <w:t> </w:t>
            </w:r>
            <w:r w:rsidRPr="006D1CBC">
              <w:rPr>
                <w:rFonts w:cs="Arial"/>
                <w:b/>
                <w:color w:val="FFFFFF"/>
              </w:rPr>
              <w:t>plnicí</w:t>
            </w:r>
            <w:r>
              <w:rPr>
                <w:rFonts w:cs="Arial"/>
                <w:b/>
                <w:color w:val="FFFFFF"/>
              </w:rPr>
              <w:t>ch</w:t>
            </w:r>
            <w:r w:rsidRPr="006D1CBC">
              <w:rPr>
                <w:rFonts w:cs="Arial"/>
                <w:b/>
                <w:color w:val="FFFFFF"/>
              </w:rPr>
              <w:t xml:space="preserve"> vodíkov</w:t>
            </w:r>
            <w:r>
              <w:rPr>
                <w:rFonts w:cs="Arial"/>
                <w:b/>
                <w:color w:val="FFFFFF"/>
              </w:rPr>
              <w:t>ých</w:t>
            </w:r>
            <w:r w:rsidRPr="006D1CBC">
              <w:rPr>
                <w:rFonts w:cs="Arial"/>
                <w:b/>
                <w:color w:val="FFFFFF"/>
              </w:rPr>
              <w:t xml:space="preserve"> stanic</w:t>
            </w:r>
          </w:p>
        </w:tc>
      </w:tr>
      <w:tr w:rsidR="00411077" w:rsidRPr="003234A7" w14:paraId="3A139C2A" w14:textId="77777777" w:rsidTr="00D77CA4">
        <w:tc>
          <w:tcPr>
            <w:tcW w:w="1984" w:type="dxa"/>
            <w:tcBorders>
              <w:top w:val="single" w:sz="12" w:space="0" w:color="auto"/>
              <w:left w:val="single" w:sz="12" w:space="0" w:color="auto"/>
              <w:right w:val="single" w:sz="12" w:space="0" w:color="auto"/>
            </w:tcBorders>
          </w:tcPr>
          <w:p w14:paraId="0B113ED0" w14:textId="77777777" w:rsidR="00411077" w:rsidRPr="003234A7" w:rsidRDefault="00411077" w:rsidP="00D77CA4">
            <w:pPr>
              <w:suppressAutoHyphens/>
              <w:spacing w:before="60" w:after="0"/>
              <w:jc w:val="both"/>
              <w:rPr>
                <w:rFonts w:cs="Arial"/>
                <w:szCs w:val="22"/>
              </w:rPr>
            </w:pPr>
            <w:r w:rsidRPr="003234A7">
              <w:rPr>
                <w:rFonts w:cs="Arial"/>
                <w:szCs w:val="22"/>
              </w:rPr>
              <w:t>Návaznost na strategický cíl</w:t>
            </w:r>
          </w:p>
        </w:tc>
        <w:tc>
          <w:tcPr>
            <w:tcW w:w="7087" w:type="dxa"/>
            <w:tcBorders>
              <w:top w:val="single" w:sz="12" w:space="0" w:color="auto"/>
              <w:left w:val="single" w:sz="12" w:space="0" w:color="auto"/>
              <w:right w:val="single" w:sz="12" w:space="0" w:color="auto"/>
            </w:tcBorders>
          </w:tcPr>
          <w:p w14:paraId="2FA364BD" w14:textId="77777777" w:rsidR="00411077" w:rsidRDefault="00411077" w:rsidP="00D77CA4">
            <w:pPr>
              <w:suppressAutoHyphens/>
              <w:spacing w:before="0" w:after="0" w:line="276" w:lineRule="auto"/>
              <w:jc w:val="both"/>
              <w:rPr>
                <w:rFonts w:cs="Arial"/>
                <w:szCs w:val="22"/>
              </w:rPr>
            </w:pPr>
            <w:r>
              <w:rPr>
                <w:rFonts w:cs="Arial"/>
                <w:szCs w:val="22"/>
              </w:rPr>
              <w:t>Rozvoj infrastruktury dobíjecích stanic (kap. 2.4.2.)</w:t>
            </w:r>
          </w:p>
          <w:p w14:paraId="2A5C82D3" w14:textId="77777777" w:rsidR="00411077" w:rsidRPr="003234A7" w:rsidRDefault="00411077" w:rsidP="00D77CA4">
            <w:pPr>
              <w:suppressAutoHyphens/>
              <w:spacing w:before="0" w:after="0" w:line="276" w:lineRule="auto"/>
              <w:jc w:val="both"/>
              <w:rPr>
                <w:rFonts w:cs="Arial"/>
                <w:szCs w:val="22"/>
              </w:rPr>
            </w:pPr>
            <w:r>
              <w:rPr>
                <w:rFonts w:cs="Arial"/>
                <w:szCs w:val="22"/>
              </w:rPr>
              <w:t>Rozvoj infrastruktury vodíkových plnících stanic (kap. 4.3.2.)</w:t>
            </w:r>
          </w:p>
        </w:tc>
      </w:tr>
      <w:tr w:rsidR="00411077" w:rsidRPr="00CE7666" w:rsidDel="00C05672" w14:paraId="1EBF059B" w14:textId="77777777" w:rsidTr="00D77CA4">
        <w:tc>
          <w:tcPr>
            <w:tcW w:w="1984" w:type="dxa"/>
            <w:tcBorders>
              <w:top w:val="single" w:sz="4" w:space="0" w:color="auto"/>
              <w:left w:val="single" w:sz="12" w:space="0" w:color="auto"/>
              <w:right w:val="single" w:sz="12" w:space="0" w:color="auto"/>
            </w:tcBorders>
          </w:tcPr>
          <w:p w14:paraId="1D5AC3FD" w14:textId="77777777" w:rsidR="00411077" w:rsidRPr="003234A7" w:rsidRDefault="00411077" w:rsidP="00D77CA4">
            <w:pPr>
              <w:suppressAutoHyphens/>
              <w:spacing w:before="60" w:after="0"/>
              <w:jc w:val="both"/>
              <w:rPr>
                <w:rFonts w:cs="Arial"/>
                <w:szCs w:val="22"/>
              </w:rPr>
            </w:pPr>
            <w:r>
              <w:rPr>
                <w:rFonts w:cs="Arial"/>
                <w:szCs w:val="22"/>
              </w:rPr>
              <w:t>Cíl opatření</w:t>
            </w:r>
          </w:p>
        </w:tc>
        <w:tc>
          <w:tcPr>
            <w:tcW w:w="7087" w:type="dxa"/>
            <w:tcBorders>
              <w:top w:val="single" w:sz="4" w:space="0" w:color="auto"/>
              <w:left w:val="single" w:sz="12" w:space="0" w:color="auto"/>
              <w:right w:val="single" w:sz="12" w:space="0" w:color="auto"/>
            </w:tcBorders>
          </w:tcPr>
          <w:p w14:paraId="3E1D7463" w14:textId="3A38848D" w:rsidR="00411077" w:rsidRPr="004625DE" w:rsidRDefault="00411077" w:rsidP="00D77CA4">
            <w:pPr>
              <w:pStyle w:val="Bullet1"/>
              <w:numPr>
                <w:ilvl w:val="0"/>
                <w:numId w:val="0"/>
              </w:numPr>
              <w:spacing w:before="0" w:after="0"/>
              <w:ind w:firstLine="20"/>
              <w:rPr>
                <w:rFonts w:cs="Arial"/>
                <w:szCs w:val="22"/>
              </w:rPr>
            </w:pPr>
            <w:r>
              <w:rPr>
                <w:rFonts w:cs="Arial"/>
                <w:szCs w:val="22"/>
              </w:rPr>
              <w:t>V rámci nastavení odpisových skupin v</w:t>
            </w:r>
            <w:r w:rsidR="005A1247">
              <w:rPr>
                <w:rFonts w:cs="Arial"/>
                <w:szCs w:val="22"/>
              </w:rPr>
              <w:t> </w:t>
            </w:r>
            <w:r>
              <w:rPr>
                <w:rFonts w:cs="Arial"/>
                <w:szCs w:val="22"/>
              </w:rPr>
              <w:t>rámci zákona o</w:t>
            </w:r>
            <w:r w:rsidR="005A1247">
              <w:rPr>
                <w:rFonts w:cs="Arial"/>
                <w:szCs w:val="22"/>
              </w:rPr>
              <w:t> </w:t>
            </w:r>
            <w:r>
              <w:rPr>
                <w:rFonts w:cs="Arial"/>
                <w:szCs w:val="22"/>
              </w:rPr>
              <w:t>daních z</w:t>
            </w:r>
            <w:r w:rsidR="005A1247">
              <w:rPr>
                <w:rFonts w:cs="Arial"/>
                <w:szCs w:val="22"/>
              </w:rPr>
              <w:t> </w:t>
            </w:r>
            <w:r>
              <w:rPr>
                <w:rFonts w:cs="Arial"/>
                <w:szCs w:val="22"/>
              </w:rPr>
              <w:t>příjmů zohlednit životnost technologie dobíjecích a</w:t>
            </w:r>
            <w:r w:rsidR="005A1247">
              <w:rPr>
                <w:rFonts w:cs="Arial"/>
                <w:szCs w:val="22"/>
              </w:rPr>
              <w:t> </w:t>
            </w:r>
            <w:r>
              <w:rPr>
                <w:rFonts w:cs="Arial"/>
                <w:szCs w:val="22"/>
              </w:rPr>
              <w:t xml:space="preserve">plnících vodíkových stanic. </w:t>
            </w:r>
          </w:p>
          <w:p w14:paraId="0B06CBA4" w14:textId="77777777" w:rsidR="00411077" w:rsidRPr="00CE7666" w:rsidDel="00C05672" w:rsidRDefault="00411077" w:rsidP="00D77CA4">
            <w:pPr>
              <w:pStyle w:val="Bullet1"/>
              <w:numPr>
                <w:ilvl w:val="0"/>
                <w:numId w:val="0"/>
              </w:numPr>
              <w:spacing w:before="0" w:after="0"/>
              <w:ind w:firstLine="20"/>
              <w:rPr>
                <w:rFonts w:cs="Arial"/>
                <w:szCs w:val="22"/>
              </w:rPr>
            </w:pPr>
          </w:p>
        </w:tc>
      </w:tr>
      <w:tr w:rsidR="00411077" w:rsidRPr="00CE7666" w14:paraId="15C54688" w14:textId="77777777" w:rsidTr="00D77CA4">
        <w:tc>
          <w:tcPr>
            <w:tcW w:w="1984" w:type="dxa"/>
            <w:tcBorders>
              <w:left w:val="single" w:sz="12" w:space="0" w:color="auto"/>
              <w:right w:val="single" w:sz="12" w:space="0" w:color="auto"/>
            </w:tcBorders>
          </w:tcPr>
          <w:p w14:paraId="2146D989" w14:textId="77777777" w:rsidR="00411077" w:rsidRPr="003234A7" w:rsidRDefault="00411077" w:rsidP="00D77CA4">
            <w:pPr>
              <w:suppressAutoHyphens/>
              <w:spacing w:before="60" w:after="0"/>
              <w:jc w:val="both"/>
              <w:rPr>
                <w:rFonts w:cs="Arial"/>
                <w:szCs w:val="22"/>
              </w:rPr>
            </w:pPr>
            <w:r>
              <w:rPr>
                <w:rFonts w:cs="Arial"/>
                <w:szCs w:val="22"/>
              </w:rPr>
              <w:t>Popis opatření</w:t>
            </w:r>
          </w:p>
        </w:tc>
        <w:tc>
          <w:tcPr>
            <w:tcW w:w="7087" w:type="dxa"/>
            <w:tcBorders>
              <w:left w:val="single" w:sz="12" w:space="0" w:color="auto"/>
              <w:right w:val="single" w:sz="12" w:space="0" w:color="auto"/>
            </w:tcBorders>
          </w:tcPr>
          <w:p w14:paraId="36142886" w14:textId="158152E0" w:rsidR="00411077" w:rsidRDefault="00411077" w:rsidP="00D77CA4">
            <w:pPr>
              <w:pStyle w:val="Bullet1"/>
              <w:numPr>
                <w:ilvl w:val="0"/>
                <w:numId w:val="0"/>
              </w:numPr>
              <w:spacing w:before="0" w:after="0"/>
              <w:ind w:firstLine="20"/>
              <w:rPr>
                <w:rFonts w:cs="Arial"/>
                <w:szCs w:val="22"/>
              </w:rPr>
            </w:pPr>
            <w:r w:rsidRPr="006D1CBC">
              <w:rPr>
                <w:rFonts w:cs="Arial"/>
                <w:szCs w:val="22"/>
              </w:rPr>
              <w:t>Pro rozvoj elektrifikované mobility je klíčová dostatečně hustá síť dobíjecích stanic (pro vozidla získávající elektrickou energii z</w:t>
            </w:r>
            <w:r w:rsidR="005A1247">
              <w:rPr>
                <w:rFonts w:cs="Arial"/>
                <w:szCs w:val="22"/>
              </w:rPr>
              <w:t> </w:t>
            </w:r>
            <w:r w:rsidRPr="006D1CBC">
              <w:rPr>
                <w:rFonts w:cs="Arial"/>
                <w:szCs w:val="22"/>
              </w:rPr>
              <w:t>baterií) a</w:t>
            </w:r>
            <w:r w:rsidR="005A1247">
              <w:rPr>
                <w:rFonts w:cs="Arial"/>
                <w:szCs w:val="22"/>
              </w:rPr>
              <w:t> </w:t>
            </w:r>
            <w:r w:rsidRPr="006D1CBC">
              <w:rPr>
                <w:rFonts w:cs="Arial"/>
                <w:szCs w:val="22"/>
              </w:rPr>
              <w:t>plnicích stanic (pro vozidla získávající elektrickou energii z</w:t>
            </w:r>
            <w:r w:rsidR="005A1247">
              <w:rPr>
                <w:rFonts w:cs="Arial"/>
                <w:szCs w:val="22"/>
              </w:rPr>
              <w:t> </w:t>
            </w:r>
            <w:r w:rsidRPr="006D1CBC">
              <w:rPr>
                <w:rFonts w:cs="Arial"/>
                <w:szCs w:val="22"/>
              </w:rPr>
              <w:t>vodíkových palivových článků).</w:t>
            </w:r>
            <w:r>
              <w:rPr>
                <w:rFonts w:cs="Arial"/>
                <w:szCs w:val="22"/>
              </w:rPr>
              <w:t xml:space="preserve"> Dle projekce lze očekávat, že do roku 2025 vznikne v</w:t>
            </w:r>
            <w:r w:rsidR="005A1247">
              <w:rPr>
                <w:rFonts w:cs="Arial"/>
                <w:szCs w:val="22"/>
              </w:rPr>
              <w:t> </w:t>
            </w:r>
            <w:r>
              <w:rPr>
                <w:rFonts w:cs="Arial"/>
                <w:szCs w:val="22"/>
              </w:rPr>
              <w:t>ČR 3900 dobíjecích a</w:t>
            </w:r>
            <w:r w:rsidR="005A1247">
              <w:rPr>
                <w:rFonts w:cs="Arial"/>
                <w:szCs w:val="22"/>
              </w:rPr>
              <w:t> </w:t>
            </w:r>
            <w:r>
              <w:rPr>
                <w:rFonts w:cs="Arial"/>
                <w:szCs w:val="22"/>
              </w:rPr>
              <w:t>15 plnících vodíkových stanic a</w:t>
            </w:r>
            <w:r w:rsidR="005A1247">
              <w:rPr>
                <w:rFonts w:cs="Arial"/>
                <w:szCs w:val="22"/>
              </w:rPr>
              <w:t> </w:t>
            </w:r>
            <w:r>
              <w:rPr>
                <w:rFonts w:cs="Arial"/>
                <w:szCs w:val="22"/>
              </w:rPr>
              <w:t>do roku 2030 vznikne v</w:t>
            </w:r>
            <w:r w:rsidR="005A1247">
              <w:rPr>
                <w:rFonts w:cs="Arial"/>
                <w:szCs w:val="22"/>
              </w:rPr>
              <w:t> </w:t>
            </w:r>
            <w:r>
              <w:rPr>
                <w:rFonts w:cs="Arial"/>
                <w:szCs w:val="22"/>
              </w:rPr>
              <w:t>ČR 17 500 dobíjecích a</w:t>
            </w:r>
            <w:r w:rsidR="005A1247">
              <w:rPr>
                <w:rFonts w:cs="Arial"/>
                <w:szCs w:val="22"/>
              </w:rPr>
              <w:t> </w:t>
            </w:r>
            <w:r>
              <w:rPr>
                <w:rFonts w:cs="Arial"/>
                <w:szCs w:val="22"/>
              </w:rPr>
              <w:t>80 plnících vodíkových stanic.</w:t>
            </w:r>
          </w:p>
          <w:p w14:paraId="06B2D5EB" w14:textId="72E4073D" w:rsidR="00411077" w:rsidRPr="00CE7666" w:rsidRDefault="00DE68E6" w:rsidP="00DE68E6">
            <w:pPr>
              <w:pStyle w:val="Bullet1"/>
              <w:numPr>
                <w:ilvl w:val="0"/>
                <w:numId w:val="0"/>
              </w:numPr>
              <w:spacing w:before="0" w:after="0"/>
              <w:ind w:firstLine="20"/>
              <w:rPr>
                <w:rFonts w:cs="Arial"/>
                <w:szCs w:val="22"/>
              </w:rPr>
            </w:pPr>
            <w:r>
              <w:rPr>
                <w:rFonts w:cs="Arial"/>
                <w:szCs w:val="22"/>
              </w:rPr>
              <w:t>V rámci podpoře</w:t>
            </w:r>
            <w:r w:rsidR="00411077">
              <w:rPr>
                <w:rFonts w:cs="Arial"/>
                <w:szCs w:val="22"/>
              </w:rPr>
              <w:t xml:space="preserve">ní tohoto trendu je nezbytné mít nastavenu správnou odpisovou skupinu, která se nejvíce blíží technické životnosti daného hmotného majetku. </w:t>
            </w:r>
            <w:r>
              <w:rPr>
                <w:rFonts w:cs="Arial"/>
                <w:szCs w:val="22"/>
              </w:rPr>
              <w:t>S rozvojem technologií lze předpokládat, že skutečná životnost dobíjecích stanic bude kratší než 10 let a že budou nahrazovány lepší technologií a nižší pořizovací cenou.</w:t>
            </w:r>
          </w:p>
        </w:tc>
      </w:tr>
      <w:tr w:rsidR="00411077" w:rsidRPr="003234A7" w14:paraId="2BFA0072" w14:textId="77777777" w:rsidTr="00D77CA4">
        <w:tc>
          <w:tcPr>
            <w:tcW w:w="1984" w:type="dxa"/>
            <w:tcBorders>
              <w:left w:val="single" w:sz="12" w:space="0" w:color="auto"/>
              <w:right w:val="single" w:sz="12" w:space="0" w:color="auto"/>
            </w:tcBorders>
          </w:tcPr>
          <w:p w14:paraId="4C2F7EB0" w14:textId="77777777" w:rsidR="00411077" w:rsidRPr="003234A7" w:rsidRDefault="00411077" w:rsidP="00D77CA4">
            <w:pPr>
              <w:suppressAutoHyphens/>
              <w:spacing w:before="60" w:after="0"/>
              <w:jc w:val="both"/>
              <w:rPr>
                <w:rFonts w:cs="Arial"/>
                <w:szCs w:val="22"/>
              </w:rPr>
            </w:pPr>
            <w:r w:rsidRPr="003234A7">
              <w:rPr>
                <w:rFonts w:cs="Arial"/>
                <w:szCs w:val="22"/>
              </w:rPr>
              <w:t>Rozpočtový dopad / financování</w:t>
            </w:r>
          </w:p>
        </w:tc>
        <w:tc>
          <w:tcPr>
            <w:tcW w:w="7087" w:type="dxa"/>
            <w:tcBorders>
              <w:left w:val="single" w:sz="12" w:space="0" w:color="auto"/>
              <w:right w:val="single" w:sz="12" w:space="0" w:color="auto"/>
            </w:tcBorders>
          </w:tcPr>
          <w:p w14:paraId="551BF104" w14:textId="79B2984A" w:rsidR="00411077" w:rsidRPr="003234A7" w:rsidRDefault="00411077" w:rsidP="005A1247">
            <w:pPr>
              <w:contextualSpacing/>
              <w:jc w:val="both"/>
              <w:rPr>
                <w:rFonts w:cs="Arial"/>
                <w:szCs w:val="22"/>
              </w:rPr>
            </w:pPr>
            <w:r>
              <w:rPr>
                <w:rFonts w:cs="Arial"/>
                <w:szCs w:val="22"/>
              </w:rPr>
              <w:t>V případě níže uvedeného řešení jde o</w:t>
            </w:r>
            <w:r w:rsidR="005A1247">
              <w:rPr>
                <w:rFonts w:cs="Arial"/>
                <w:szCs w:val="22"/>
              </w:rPr>
              <w:t> </w:t>
            </w:r>
            <w:r>
              <w:rPr>
                <w:rFonts w:cs="Arial"/>
                <w:szCs w:val="22"/>
              </w:rPr>
              <w:t>dopad, který bude primárně kvantifikován v</w:t>
            </w:r>
            <w:r w:rsidR="005A1247">
              <w:rPr>
                <w:rFonts w:cs="Arial"/>
                <w:szCs w:val="22"/>
              </w:rPr>
              <w:t> </w:t>
            </w:r>
            <w:r>
              <w:rPr>
                <w:rFonts w:cs="Arial"/>
                <w:szCs w:val="22"/>
              </w:rPr>
              <w:t>rámci celé koncepční změny daňového odpisování.</w:t>
            </w:r>
          </w:p>
        </w:tc>
      </w:tr>
      <w:tr w:rsidR="00411077" w:rsidRPr="003234A7" w14:paraId="4AB37578" w14:textId="77777777" w:rsidTr="00D77CA4">
        <w:tc>
          <w:tcPr>
            <w:tcW w:w="1984" w:type="dxa"/>
            <w:tcBorders>
              <w:left w:val="single" w:sz="12" w:space="0" w:color="auto"/>
              <w:right w:val="single" w:sz="12" w:space="0" w:color="auto"/>
            </w:tcBorders>
          </w:tcPr>
          <w:p w14:paraId="30EFCEA9" w14:textId="77777777" w:rsidR="00411077" w:rsidRPr="003234A7" w:rsidRDefault="00411077" w:rsidP="00D77CA4">
            <w:pPr>
              <w:suppressAutoHyphens/>
              <w:spacing w:before="60" w:after="0"/>
              <w:jc w:val="both"/>
              <w:rPr>
                <w:rFonts w:cs="Arial"/>
                <w:szCs w:val="22"/>
              </w:rPr>
            </w:pPr>
            <w:r w:rsidRPr="003234A7">
              <w:rPr>
                <w:rFonts w:cs="Arial"/>
                <w:szCs w:val="22"/>
              </w:rPr>
              <w:t>Odpovědnost</w:t>
            </w:r>
          </w:p>
        </w:tc>
        <w:tc>
          <w:tcPr>
            <w:tcW w:w="7087" w:type="dxa"/>
            <w:tcBorders>
              <w:left w:val="single" w:sz="12" w:space="0" w:color="auto"/>
              <w:right w:val="single" w:sz="12" w:space="0" w:color="auto"/>
            </w:tcBorders>
          </w:tcPr>
          <w:p w14:paraId="7AD7FA8A" w14:textId="77777777" w:rsidR="00411077" w:rsidRPr="003234A7" w:rsidRDefault="00411077" w:rsidP="00D77CA4">
            <w:pPr>
              <w:suppressAutoHyphens/>
              <w:spacing w:before="60" w:after="0" w:line="276" w:lineRule="auto"/>
              <w:jc w:val="both"/>
              <w:rPr>
                <w:rFonts w:cs="Arial"/>
                <w:szCs w:val="22"/>
              </w:rPr>
            </w:pPr>
            <w:r>
              <w:rPr>
                <w:rFonts w:cs="Arial"/>
                <w:szCs w:val="22"/>
              </w:rPr>
              <w:t>MF</w:t>
            </w:r>
          </w:p>
        </w:tc>
      </w:tr>
      <w:tr w:rsidR="00411077" w:rsidRPr="003234A7" w14:paraId="552753A9" w14:textId="77777777" w:rsidTr="00D77CA4">
        <w:tc>
          <w:tcPr>
            <w:tcW w:w="1984" w:type="dxa"/>
            <w:tcBorders>
              <w:top w:val="single" w:sz="4" w:space="0" w:color="auto"/>
              <w:left w:val="single" w:sz="12" w:space="0" w:color="auto"/>
              <w:bottom w:val="single" w:sz="4" w:space="0" w:color="auto"/>
              <w:right w:val="single" w:sz="12" w:space="0" w:color="auto"/>
            </w:tcBorders>
          </w:tcPr>
          <w:p w14:paraId="61AE67D0" w14:textId="77777777" w:rsidR="00411077" w:rsidRPr="003234A7" w:rsidRDefault="00411077" w:rsidP="00D77CA4">
            <w:pPr>
              <w:suppressAutoHyphens/>
              <w:spacing w:before="60" w:after="0"/>
              <w:jc w:val="both"/>
              <w:rPr>
                <w:rFonts w:cs="Arial"/>
                <w:szCs w:val="22"/>
              </w:rPr>
            </w:pPr>
            <w:r w:rsidRPr="003234A7">
              <w:rPr>
                <w:rFonts w:cs="Arial"/>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7AD193FD" w14:textId="77777777" w:rsidR="00411077" w:rsidRPr="003234A7" w:rsidRDefault="00411077" w:rsidP="00D77CA4">
            <w:pPr>
              <w:suppressAutoHyphens/>
              <w:spacing w:before="60" w:after="0" w:line="276" w:lineRule="auto"/>
              <w:jc w:val="both"/>
              <w:rPr>
                <w:rFonts w:cs="Arial"/>
                <w:szCs w:val="22"/>
              </w:rPr>
            </w:pPr>
            <w:r>
              <w:rPr>
                <w:rFonts w:cs="Arial"/>
                <w:szCs w:val="22"/>
              </w:rPr>
              <w:t>MPO, MD</w:t>
            </w:r>
          </w:p>
        </w:tc>
      </w:tr>
      <w:tr w:rsidR="00411077" w:rsidRPr="003234A7" w14:paraId="3E10B620" w14:textId="77777777" w:rsidTr="00D77CA4">
        <w:tc>
          <w:tcPr>
            <w:tcW w:w="1984" w:type="dxa"/>
            <w:tcBorders>
              <w:top w:val="single" w:sz="4" w:space="0" w:color="auto"/>
              <w:left w:val="single" w:sz="12" w:space="0" w:color="auto"/>
              <w:bottom w:val="single" w:sz="12" w:space="0" w:color="auto"/>
              <w:right w:val="single" w:sz="12" w:space="0" w:color="auto"/>
            </w:tcBorders>
          </w:tcPr>
          <w:p w14:paraId="60C152E2" w14:textId="77777777" w:rsidR="00411077" w:rsidRPr="003234A7" w:rsidRDefault="00411077" w:rsidP="00D77CA4">
            <w:pPr>
              <w:suppressAutoHyphens/>
              <w:spacing w:before="60" w:after="0"/>
              <w:jc w:val="both"/>
              <w:rPr>
                <w:rFonts w:cs="Arial"/>
                <w:szCs w:val="22"/>
              </w:rPr>
            </w:pPr>
            <w:r w:rsidRPr="003234A7">
              <w:rPr>
                <w:rFonts w:cs="Arial"/>
                <w:szCs w:val="22"/>
              </w:rPr>
              <w:t>Termín</w:t>
            </w:r>
          </w:p>
        </w:tc>
        <w:tc>
          <w:tcPr>
            <w:tcW w:w="7087" w:type="dxa"/>
            <w:tcBorders>
              <w:top w:val="single" w:sz="4" w:space="0" w:color="auto"/>
              <w:left w:val="single" w:sz="12" w:space="0" w:color="auto"/>
              <w:bottom w:val="single" w:sz="12" w:space="0" w:color="auto"/>
              <w:right w:val="single" w:sz="12" w:space="0" w:color="auto"/>
            </w:tcBorders>
          </w:tcPr>
          <w:p w14:paraId="739595CB" w14:textId="03E6597B" w:rsidR="00411077" w:rsidRDefault="00411077" w:rsidP="00D77CA4">
            <w:pPr>
              <w:rPr>
                <w:rFonts w:cs="Arial"/>
                <w:szCs w:val="22"/>
              </w:rPr>
            </w:pPr>
            <w:r>
              <w:rPr>
                <w:rFonts w:cs="Arial"/>
                <w:szCs w:val="22"/>
              </w:rPr>
              <w:t>V rámci budoucích úprav zákona o</w:t>
            </w:r>
            <w:r w:rsidR="005A1247">
              <w:rPr>
                <w:rFonts w:cs="Arial"/>
                <w:szCs w:val="22"/>
              </w:rPr>
              <w:t> </w:t>
            </w:r>
            <w:r>
              <w:rPr>
                <w:rFonts w:cs="Arial"/>
                <w:szCs w:val="22"/>
              </w:rPr>
              <w:t>daních z</w:t>
            </w:r>
            <w:r w:rsidR="005A1247">
              <w:rPr>
                <w:rFonts w:cs="Arial"/>
                <w:szCs w:val="22"/>
              </w:rPr>
              <w:t> </w:t>
            </w:r>
            <w:r>
              <w:rPr>
                <w:rFonts w:cs="Arial"/>
                <w:szCs w:val="22"/>
              </w:rPr>
              <w:t xml:space="preserve">příjmů se primárně předpokládá integrace </w:t>
            </w:r>
            <w:r w:rsidR="00DE68E6">
              <w:rPr>
                <w:rFonts w:cs="Arial"/>
                <w:szCs w:val="22"/>
              </w:rPr>
              <w:t xml:space="preserve">do dvou </w:t>
            </w:r>
            <w:r>
              <w:rPr>
                <w:rFonts w:cs="Arial"/>
                <w:szCs w:val="22"/>
              </w:rPr>
              <w:t>odpisových skupin. Jedné pro movitý a</w:t>
            </w:r>
            <w:r w:rsidR="005A1247">
              <w:rPr>
                <w:rFonts w:cs="Arial"/>
                <w:szCs w:val="22"/>
              </w:rPr>
              <w:t> </w:t>
            </w:r>
            <w:r>
              <w:rPr>
                <w:rFonts w:cs="Arial"/>
                <w:szCs w:val="22"/>
              </w:rPr>
              <w:t xml:space="preserve">druhé pro nemovitý majetek. Záměrem této změny je zjednodušení daňového systému odpisování. </w:t>
            </w:r>
          </w:p>
          <w:p w14:paraId="67A1F98B" w14:textId="77777777" w:rsidR="00411077" w:rsidRDefault="00411077" w:rsidP="005A1247">
            <w:pPr>
              <w:rPr>
                <w:rFonts w:cs="Arial"/>
                <w:szCs w:val="22"/>
              </w:rPr>
            </w:pPr>
            <w:r>
              <w:rPr>
                <w:rFonts w:cs="Arial"/>
                <w:szCs w:val="22"/>
              </w:rPr>
              <w:t>V</w:t>
            </w:r>
            <w:r w:rsidR="00DE68E6">
              <w:rPr>
                <w:rFonts w:cs="Arial"/>
                <w:szCs w:val="22"/>
              </w:rPr>
              <w:t xml:space="preserve"> tomto </w:t>
            </w:r>
            <w:r>
              <w:rPr>
                <w:rFonts w:cs="Arial"/>
                <w:szCs w:val="22"/>
              </w:rPr>
              <w:t>kontextu se bude tech</w:t>
            </w:r>
            <w:r w:rsidR="00F211FB">
              <w:rPr>
                <w:rFonts w:cs="Arial"/>
                <w:szCs w:val="22"/>
              </w:rPr>
              <w:t>nologické zařízení zařazovat</w:t>
            </w:r>
            <w:r>
              <w:rPr>
                <w:rFonts w:cs="Arial"/>
                <w:szCs w:val="22"/>
              </w:rPr>
              <w:t xml:space="preserve"> dle svého charakteru.</w:t>
            </w:r>
          </w:p>
          <w:p w14:paraId="3541F2E9" w14:textId="32878C0A" w:rsidR="00EC5F1E" w:rsidRPr="003234A7" w:rsidRDefault="00EC5F1E" w:rsidP="00EC5F1E">
            <w:pPr>
              <w:rPr>
                <w:rFonts w:cs="Arial"/>
                <w:szCs w:val="22"/>
              </w:rPr>
            </w:pPr>
            <w:r>
              <w:rPr>
                <w:rFonts w:cs="Arial"/>
                <w:szCs w:val="22"/>
              </w:rPr>
              <w:t>Realizace návrhu se předpokládá v průběhu příštího volebního období, v roce 2023.</w:t>
            </w:r>
          </w:p>
        </w:tc>
      </w:tr>
    </w:tbl>
    <w:p w14:paraId="013276B9" w14:textId="77777777" w:rsidR="00D77CA4" w:rsidRDefault="00D77CA4" w:rsidP="00D77CA4">
      <w:pPr>
        <w:pStyle w:val="Nadpis3"/>
        <w:numPr>
          <w:ilvl w:val="0"/>
          <w:numId w:val="0"/>
        </w:numPr>
        <w:ind w:left="284"/>
        <w:jc w:val="both"/>
      </w:pPr>
    </w:p>
    <w:p w14:paraId="38AB9878" w14:textId="77777777" w:rsidR="00D31F63" w:rsidRDefault="00D31F63" w:rsidP="00D31F63"/>
    <w:p w14:paraId="6B6A8A11" w14:textId="77777777" w:rsidR="00DE68E6" w:rsidRPr="00D31F63" w:rsidRDefault="00DE68E6" w:rsidP="00D31F63"/>
    <w:p w14:paraId="0801552D" w14:textId="77777777" w:rsidR="00D77CA4" w:rsidRDefault="00D77CA4" w:rsidP="00D77CA4"/>
    <w:p w14:paraId="362D5B24" w14:textId="77777777" w:rsidR="00D77CA4" w:rsidRPr="00D77CA4" w:rsidRDefault="00D77CA4" w:rsidP="00D77CA4"/>
    <w:p w14:paraId="66FD920B" w14:textId="15DE361F" w:rsidR="00DD2E8A" w:rsidRDefault="00DD2E8A" w:rsidP="00DD2E8A">
      <w:pPr>
        <w:pStyle w:val="Nadpis3"/>
        <w:jc w:val="both"/>
      </w:pPr>
      <w:r>
        <w:lastRenderedPageBreak/>
        <w:t xml:space="preserve">E1 </w:t>
      </w:r>
      <w:r w:rsidRPr="00015356">
        <w:t>Interoperabilita a</w:t>
      </w:r>
      <w:r w:rsidR="005A1247">
        <w:t> </w:t>
      </w:r>
      <w:r w:rsidRPr="00015356">
        <w:t>roaming provozovatelů veřejných dobíjecích stanic</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14:paraId="17EA3FD6"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28D89574" w14:textId="070A8044" w:rsidR="00DD2E8A" w:rsidRDefault="00DD2E8A" w:rsidP="005A1247">
            <w:pPr>
              <w:spacing w:before="60" w:after="60"/>
              <w:jc w:val="both"/>
              <w:rPr>
                <w:rFonts w:cs="Arial"/>
                <w:b/>
                <w:color w:val="FFFFFF" w:themeColor="background1"/>
              </w:rPr>
            </w:pPr>
            <w:r>
              <w:rPr>
                <w:rFonts w:cs="Arial"/>
                <w:b/>
                <w:color w:val="FFFFFF" w:themeColor="background1"/>
              </w:rPr>
              <w:t>E1 Interoperabilita a</w:t>
            </w:r>
            <w:r w:rsidR="005A1247">
              <w:rPr>
                <w:rFonts w:cs="Arial"/>
                <w:b/>
                <w:color w:val="FFFFFF" w:themeColor="background1"/>
              </w:rPr>
              <w:t> </w:t>
            </w:r>
            <w:r>
              <w:rPr>
                <w:rFonts w:cs="Arial"/>
                <w:b/>
                <w:color w:val="FFFFFF" w:themeColor="background1"/>
              </w:rPr>
              <w:t>roaming provozovatelů veřejných dobíjecích stanic</w:t>
            </w:r>
          </w:p>
        </w:tc>
      </w:tr>
      <w:tr w:rsidR="00DD2E8A" w14:paraId="4A5045A0" w14:textId="77777777" w:rsidTr="0054245B">
        <w:tc>
          <w:tcPr>
            <w:tcW w:w="1984" w:type="dxa"/>
            <w:tcBorders>
              <w:top w:val="single" w:sz="12" w:space="0" w:color="auto"/>
              <w:left w:val="single" w:sz="12" w:space="0" w:color="auto"/>
              <w:bottom w:val="single" w:sz="4" w:space="0" w:color="auto"/>
              <w:right w:val="single" w:sz="12" w:space="0" w:color="auto"/>
            </w:tcBorders>
            <w:vAlign w:val="center"/>
            <w:hideMark/>
          </w:tcPr>
          <w:p w14:paraId="109FAD2B" w14:textId="77777777" w:rsidR="00DD2E8A" w:rsidRPr="00AE0635" w:rsidRDefault="00DD2E8A" w:rsidP="0054245B">
            <w:pPr>
              <w:pStyle w:val="Normln10"/>
              <w:jc w:val="left"/>
              <w:rPr>
                <w:rFonts w:cs="Arial"/>
                <w:sz w:val="22"/>
                <w:szCs w:val="22"/>
              </w:rPr>
            </w:pPr>
            <w:r w:rsidRPr="00AE0635">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58C2F57B" w14:textId="77777777" w:rsidR="00DD2E8A" w:rsidRPr="00AE0635" w:rsidRDefault="00DD2E8A" w:rsidP="0054245B">
            <w:pPr>
              <w:pStyle w:val="Normln10"/>
              <w:rPr>
                <w:rFonts w:cs="Arial"/>
                <w:sz w:val="22"/>
                <w:szCs w:val="22"/>
              </w:rPr>
            </w:pPr>
            <w:r w:rsidRPr="00AE0635">
              <w:rPr>
                <w:rFonts w:cs="Arial"/>
                <w:sz w:val="22"/>
                <w:szCs w:val="22"/>
              </w:rPr>
              <w:t>Zajištění stabilního regulatorního rámce pro rozvoj elektromobility</w:t>
            </w:r>
            <w:r w:rsidR="003D46EF" w:rsidRPr="00AE0635">
              <w:rPr>
                <w:rFonts w:cs="Arial"/>
                <w:sz w:val="22"/>
                <w:szCs w:val="22"/>
              </w:rPr>
              <w:t xml:space="preserve"> (kap. 2.4.3.)</w:t>
            </w:r>
          </w:p>
        </w:tc>
      </w:tr>
      <w:tr w:rsidR="00DD2E8A" w14:paraId="23CE0E4D"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048BF215" w14:textId="77777777" w:rsidR="00DD2E8A" w:rsidRPr="00AE0635" w:rsidRDefault="00DD2E8A" w:rsidP="0054245B">
            <w:pPr>
              <w:pStyle w:val="Normln10"/>
              <w:jc w:val="left"/>
              <w:rPr>
                <w:rFonts w:cs="Arial"/>
                <w:sz w:val="22"/>
                <w:szCs w:val="22"/>
              </w:rPr>
            </w:pPr>
            <w:r w:rsidRPr="00AE0635">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07D2B2C6" w14:textId="3A035C7B" w:rsidR="00DD2E8A" w:rsidRPr="00AE0635" w:rsidRDefault="00DD2E8A" w:rsidP="0054245B">
            <w:pPr>
              <w:pStyle w:val="Normln10"/>
              <w:spacing w:before="60" w:line="240" w:lineRule="auto"/>
              <w:rPr>
                <w:rFonts w:cs="Arial"/>
                <w:sz w:val="22"/>
                <w:szCs w:val="22"/>
              </w:rPr>
            </w:pPr>
            <w:r w:rsidRPr="00AE0635">
              <w:rPr>
                <w:rFonts w:cs="Arial"/>
                <w:sz w:val="22"/>
                <w:szCs w:val="22"/>
              </w:rPr>
              <w:t>Z analýz provedených v</w:t>
            </w:r>
            <w:r w:rsidR="005A1247">
              <w:rPr>
                <w:rFonts w:cs="Arial"/>
                <w:sz w:val="22"/>
                <w:szCs w:val="22"/>
              </w:rPr>
              <w:t> </w:t>
            </w:r>
            <w:r w:rsidRPr="00AE0635">
              <w:rPr>
                <w:rFonts w:cs="Arial"/>
                <w:sz w:val="22"/>
                <w:szCs w:val="22"/>
              </w:rPr>
              <w:t>roce 2018 a</w:t>
            </w:r>
            <w:r w:rsidR="005A1247">
              <w:rPr>
                <w:rFonts w:cs="Arial"/>
                <w:sz w:val="22"/>
                <w:szCs w:val="22"/>
              </w:rPr>
              <w:t> </w:t>
            </w:r>
            <w:r w:rsidRPr="00AE0635">
              <w:rPr>
                <w:rFonts w:cs="Arial"/>
                <w:sz w:val="22"/>
                <w:szCs w:val="22"/>
              </w:rPr>
              <w:t>z navazujících diskusí na úrovni PS Elektromobilita NAP CM bylo doporučeno následující:</w:t>
            </w:r>
          </w:p>
          <w:p w14:paraId="392110AD" w14:textId="5EE16EF9" w:rsidR="00DD2E8A" w:rsidRPr="00AE0635" w:rsidRDefault="00DD2E8A" w:rsidP="0054245B">
            <w:pPr>
              <w:pStyle w:val="Normln10"/>
              <w:numPr>
                <w:ilvl w:val="0"/>
                <w:numId w:val="56"/>
              </w:numPr>
              <w:spacing w:before="40" w:line="240" w:lineRule="auto"/>
              <w:ind w:left="714" w:hanging="357"/>
              <w:rPr>
                <w:rFonts w:cs="Arial"/>
                <w:sz w:val="22"/>
                <w:szCs w:val="22"/>
              </w:rPr>
            </w:pPr>
            <w:r w:rsidRPr="00AE0635">
              <w:rPr>
                <w:rFonts w:cs="Arial"/>
                <w:sz w:val="22"/>
                <w:szCs w:val="22"/>
              </w:rPr>
              <w:t>soustředit se na důsledné naplňování požadavků legislativy a</w:t>
            </w:r>
            <w:r w:rsidR="005A1247">
              <w:rPr>
                <w:rFonts w:cs="Arial"/>
                <w:sz w:val="22"/>
                <w:szCs w:val="22"/>
              </w:rPr>
              <w:t> </w:t>
            </w:r>
            <w:r w:rsidRPr="00AE0635">
              <w:rPr>
                <w:rFonts w:cs="Arial"/>
                <w:sz w:val="22"/>
                <w:szCs w:val="22"/>
              </w:rPr>
              <w:t>to nejen v</w:t>
            </w:r>
            <w:r w:rsidR="005A1247">
              <w:rPr>
                <w:rFonts w:cs="Arial"/>
                <w:sz w:val="22"/>
                <w:szCs w:val="22"/>
              </w:rPr>
              <w:t> </w:t>
            </w:r>
            <w:r w:rsidRPr="00AE0635">
              <w:rPr>
                <w:rFonts w:cs="Arial"/>
                <w:sz w:val="22"/>
                <w:szCs w:val="22"/>
              </w:rPr>
              <w:t>oblasti zajištění tzv. jednorázového dobití, ale též registrace veřejně provozovaných dobíjecích stanic dle požadavků zákona</w:t>
            </w:r>
          </w:p>
          <w:p w14:paraId="44897FE9" w14:textId="2E9B6288" w:rsidR="00DD2E8A" w:rsidRPr="00AE0635" w:rsidRDefault="00DD2E8A" w:rsidP="0054245B">
            <w:pPr>
              <w:pStyle w:val="Normln10"/>
              <w:numPr>
                <w:ilvl w:val="0"/>
                <w:numId w:val="56"/>
              </w:numPr>
              <w:spacing w:before="40" w:line="240" w:lineRule="auto"/>
              <w:ind w:left="714" w:hanging="357"/>
              <w:rPr>
                <w:rFonts w:cs="Arial"/>
                <w:sz w:val="22"/>
                <w:szCs w:val="22"/>
              </w:rPr>
            </w:pPr>
            <w:r w:rsidRPr="00AE0635">
              <w:rPr>
                <w:rFonts w:cs="Arial"/>
                <w:sz w:val="22"/>
                <w:szCs w:val="22"/>
              </w:rPr>
              <w:t>v rámci řešení problematiky interoperability vyjasnit kompetence z</w:t>
            </w:r>
            <w:r w:rsidR="005A1247">
              <w:rPr>
                <w:rFonts w:cs="Arial"/>
                <w:sz w:val="22"/>
                <w:szCs w:val="22"/>
              </w:rPr>
              <w:t> </w:t>
            </w:r>
            <w:r w:rsidRPr="00AE0635">
              <w:rPr>
                <w:rFonts w:cs="Arial"/>
                <w:sz w:val="22"/>
                <w:szCs w:val="22"/>
              </w:rPr>
              <w:t>hlediska sběru a</w:t>
            </w:r>
            <w:r w:rsidR="005A1247">
              <w:rPr>
                <w:rFonts w:cs="Arial"/>
                <w:sz w:val="22"/>
                <w:szCs w:val="22"/>
              </w:rPr>
              <w:t> </w:t>
            </w:r>
            <w:r w:rsidRPr="00AE0635">
              <w:rPr>
                <w:rFonts w:cs="Arial"/>
                <w:sz w:val="22"/>
                <w:szCs w:val="22"/>
              </w:rPr>
              <w:t>sdílení statických dat o</w:t>
            </w:r>
            <w:r w:rsidR="005A1247">
              <w:rPr>
                <w:rFonts w:cs="Arial"/>
                <w:sz w:val="22"/>
                <w:szCs w:val="22"/>
              </w:rPr>
              <w:t> </w:t>
            </w:r>
            <w:r w:rsidRPr="00AE0635">
              <w:rPr>
                <w:rFonts w:cs="Arial"/>
                <w:sz w:val="22"/>
                <w:szCs w:val="22"/>
              </w:rPr>
              <w:t>DS, způsob vykazování, sledování a</w:t>
            </w:r>
            <w:r w:rsidR="005A1247">
              <w:rPr>
                <w:rFonts w:cs="Arial"/>
                <w:sz w:val="22"/>
                <w:szCs w:val="22"/>
              </w:rPr>
              <w:t> </w:t>
            </w:r>
            <w:r w:rsidRPr="00AE0635">
              <w:rPr>
                <w:rFonts w:cs="Arial"/>
                <w:sz w:val="22"/>
                <w:szCs w:val="22"/>
              </w:rPr>
              <w:t>zveřejňování těchto dat a</w:t>
            </w:r>
            <w:r w:rsidR="005A1247">
              <w:rPr>
                <w:rFonts w:cs="Arial"/>
                <w:sz w:val="22"/>
                <w:szCs w:val="22"/>
              </w:rPr>
              <w:t> </w:t>
            </w:r>
            <w:r w:rsidRPr="00AE0635">
              <w:rPr>
                <w:rFonts w:cs="Arial"/>
                <w:sz w:val="22"/>
                <w:szCs w:val="22"/>
              </w:rPr>
              <w:t>vybrané řešení implementovat</w:t>
            </w:r>
          </w:p>
          <w:p w14:paraId="69FCD6EC" w14:textId="12063B78" w:rsidR="00DD2E8A" w:rsidRPr="00AE0635" w:rsidRDefault="00DD2E8A" w:rsidP="005A1247">
            <w:pPr>
              <w:pStyle w:val="Normln10"/>
              <w:numPr>
                <w:ilvl w:val="0"/>
                <w:numId w:val="56"/>
              </w:numPr>
              <w:spacing w:before="40" w:line="240" w:lineRule="auto"/>
              <w:ind w:left="714" w:hanging="357"/>
              <w:rPr>
                <w:rFonts w:cs="Arial"/>
                <w:sz w:val="22"/>
                <w:szCs w:val="22"/>
              </w:rPr>
            </w:pPr>
            <w:r w:rsidRPr="00AE0635">
              <w:rPr>
                <w:rFonts w:cs="Arial"/>
                <w:sz w:val="22"/>
                <w:szCs w:val="22"/>
              </w:rPr>
              <w:t>aktivně řešit agendu vydávání ID a</w:t>
            </w:r>
            <w:r w:rsidR="005A1247">
              <w:rPr>
                <w:rFonts w:cs="Arial"/>
                <w:sz w:val="22"/>
                <w:szCs w:val="22"/>
              </w:rPr>
              <w:t> </w:t>
            </w:r>
            <w:r w:rsidRPr="00AE0635">
              <w:rPr>
                <w:rFonts w:cs="Arial"/>
                <w:sz w:val="22"/>
                <w:szCs w:val="22"/>
              </w:rPr>
              <w:t>participovat na mezinárodním projektu financovaném z</w:t>
            </w:r>
            <w:r w:rsidR="005A1247">
              <w:rPr>
                <w:rFonts w:cs="Arial"/>
                <w:sz w:val="22"/>
                <w:szCs w:val="22"/>
              </w:rPr>
              <w:t> </w:t>
            </w:r>
            <w:r w:rsidRPr="00AE0635">
              <w:rPr>
                <w:rFonts w:cs="Arial"/>
                <w:sz w:val="22"/>
                <w:szCs w:val="22"/>
              </w:rPr>
              <w:t>technické pomoci CEF a</w:t>
            </w:r>
            <w:r w:rsidR="005A1247">
              <w:rPr>
                <w:rFonts w:cs="Arial"/>
                <w:sz w:val="22"/>
                <w:szCs w:val="22"/>
              </w:rPr>
              <w:t> </w:t>
            </w:r>
            <w:r w:rsidRPr="00AE0635">
              <w:rPr>
                <w:rFonts w:cs="Arial"/>
                <w:sz w:val="22"/>
                <w:szCs w:val="22"/>
              </w:rPr>
              <w:t>sledovat vývoj na úrovni EK</w:t>
            </w:r>
          </w:p>
        </w:tc>
      </w:tr>
      <w:tr w:rsidR="00DD2E8A" w14:paraId="51EDC75C"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33076F66" w14:textId="77777777" w:rsidR="00DD2E8A" w:rsidRPr="00AE0635" w:rsidRDefault="00DD2E8A" w:rsidP="0054245B">
            <w:pPr>
              <w:pStyle w:val="Normln10"/>
              <w:jc w:val="left"/>
              <w:rPr>
                <w:rFonts w:cs="Arial"/>
                <w:sz w:val="22"/>
                <w:szCs w:val="22"/>
              </w:rPr>
            </w:pPr>
            <w:r w:rsidRPr="00AE0635">
              <w:rPr>
                <w:rFonts w:cs="Arial"/>
                <w:sz w:val="22"/>
                <w:szCs w:val="22"/>
              </w:rPr>
              <w:t>Popis opatření</w:t>
            </w:r>
            <w:r w:rsidRPr="00AE0635">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3F496436" w14:textId="6B108AC9" w:rsidR="00DD2E8A" w:rsidRPr="00AE0635" w:rsidRDefault="00DD2E8A" w:rsidP="0054245B">
            <w:pPr>
              <w:pStyle w:val="Normln10"/>
              <w:spacing w:before="60" w:line="240" w:lineRule="auto"/>
              <w:rPr>
                <w:rFonts w:cs="Arial"/>
                <w:sz w:val="22"/>
                <w:szCs w:val="22"/>
              </w:rPr>
            </w:pPr>
            <w:r w:rsidRPr="00AE0635">
              <w:rPr>
                <w:rFonts w:cs="Arial"/>
                <w:sz w:val="22"/>
                <w:szCs w:val="22"/>
              </w:rPr>
              <w:t>Budování veřejné dobíjecí infrastruktury více subjekty s</w:t>
            </w:r>
            <w:r w:rsidR="005A1247">
              <w:rPr>
                <w:rFonts w:cs="Arial"/>
                <w:sz w:val="22"/>
                <w:szCs w:val="22"/>
              </w:rPr>
              <w:t> </w:t>
            </w:r>
            <w:r w:rsidRPr="00AE0635">
              <w:rPr>
                <w:rFonts w:cs="Arial"/>
                <w:sz w:val="22"/>
                <w:szCs w:val="22"/>
              </w:rPr>
              <w:t>sebou nese problematiku zajištění interoperability a</w:t>
            </w:r>
            <w:r w:rsidR="005A1247">
              <w:rPr>
                <w:rFonts w:cs="Arial"/>
                <w:sz w:val="22"/>
                <w:szCs w:val="22"/>
              </w:rPr>
              <w:t> </w:t>
            </w:r>
            <w:r w:rsidRPr="00AE0635">
              <w:rPr>
                <w:rFonts w:cs="Arial"/>
                <w:sz w:val="22"/>
                <w:szCs w:val="22"/>
              </w:rPr>
              <w:t>roamingu, tj. uživatelsky přívětivého řešení, které umožní zákazníkovi dobíjení u</w:t>
            </w:r>
            <w:r w:rsidR="005A1247">
              <w:rPr>
                <w:rFonts w:cs="Arial"/>
                <w:sz w:val="22"/>
                <w:szCs w:val="22"/>
              </w:rPr>
              <w:t> </w:t>
            </w:r>
            <w:r w:rsidRPr="00AE0635">
              <w:rPr>
                <w:rFonts w:cs="Arial"/>
                <w:sz w:val="22"/>
                <w:szCs w:val="22"/>
              </w:rPr>
              <w:t>stanic různých provozovatelů na základě nediskriminačního přístupu. Se zvyšováním dojezdu vozidel je otázka interoperability a</w:t>
            </w:r>
            <w:r w:rsidR="005A1247">
              <w:rPr>
                <w:rFonts w:cs="Arial"/>
                <w:sz w:val="22"/>
                <w:szCs w:val="22"/>
              </w:rPr>
              <w:t> </w:t>
            </w:r>
            <w:r w:rsidRPr="00AE0635">
              <w:rPr>
                <w:rFonts w:cs="Arial"/>
                <w:sz w:val="22"/>
                <w:szCs w:val="22"/>
              </w:rPr>
              <w:t>roamingu aktuální i</w:t>
            </w:r>
            <w:r w:rsidR="005A1247">
              <w:rPr>
                <w:rFonts w:cs="Arial"/>
                <w:sz w:val="22"/>
                <w:szCs w:val="22"/>
              </w:rPr>
              <w:t> </w:t>
            </w:r>
            <w:r w:rsidRPr="00AE0635">
              <w:rPr>
                <w:rFonts w:cs="Arial"/>
                <w:sz w:val="22"/>
                <w:szCs w:val="22"/>
              </w:rPr>
              <w:t>v EU a</w:t>
            </w:r>
            <w:r w:rsidR="005A1247">
              <w:rPr>
                <w:rFonts w:cs="Arial"/>
                <w:sz w:val="22"/>
                <w:szCs w:val="22"/>
              </w:rPr>
              <w:t> </w:t>
            </w:r>
            <w:r w:rsidRPr="00AE0635">
              <w:rPr>
                <w:rFonts w:cs="Arial"/>
                <w:sz w:val="22"/>
                <w:szCs w:val="22"/>
              </w:rPr>
              <w:t>mezinárodní úrovni.</w:t>
            </w:r>
          </w:p>
          <w:p w14:paraId="7D964261" w14:textId="087852DC" w:rsidR="00DD2E8A" w:rsidRPr="00AE0635" w:rsidRDefault="00DD2E8A" w:rsidP="0054245B">
            <w:pPr>
              <w:pStyle w:val="Normln10"/>
              <w:spacing w:before="60" w:line="240" w:lineRule="auto"/>
              <w:rPr>
                <w:rFonts w:cs="Arial"/>
                <w:sz w:val="22"/>
                <w:szCs w:val="22"/>
              </w:rPr>
            </w:pPr>
            <w:r w:rsidRPr="00AE0635">
              <w:rPr>
                <w:rFonts w:cs="Arial"/>
                <w:sz w:val="22"/>
                <w:szCs w:val="22"/>
              </w:rPr>
              <w:t>Již dnes existují na trhu řešení, která umožňují integraci / zastřešení sítí více provozovatelů v</w:t>
            </w:r>
            <w:r w:rsidR="005A1247">
              <w:rPr>
                <w:rFonts w:cs="Arial"/>
                <w:sz w:val="22"/>
                <w:szCs w:val="22"/>
              </w:rPr>
              <w:t> </w:t>
            </w:r>
            <w:r w:rsidRPr="00AE0635">
              <w:rPr>
                <w:rFonts w:cs="Arial"/>
                <w:sz w:val="22"/>
                <w:szCs w:val="22"/>
              </w:rPr>
              <w:t>rámci jedné platformy, lze uvažovat i</w:t>
            </w:r>
            <w:r w:rsidR="005A1247">
              <w:rPr>
                <w:rFonts w:cs="Arial"/>
                <w:sz w:val="22"/>
                <w:szCs w:val="22"/>
              </w:rPr>
              <w:t> </w:t>
            </w:r>
            <w:r w:rsidRPr="00AE0635">
              <w:rPr>
                <w:rFonts w:cs="Arial"/>
                <w:sz w:val="22"/>
                <w:szCs w:val="22"/>
              </w:rPr>
              <w:t>bilaterální dohody provozovatelů, případně se může tato oblast i</w:t>
            </w:r>
            <w:r w:rsidR="005A1247">
              <w:rPr>
                <w:rFonts w:cs="Arial"/>
                <w:sz w:val="22"/>
                <w:szCs w:val="22"/>
              </w:rPr>
              <w:t> </w:t>
            </w:r>
            <w:r w:rsidRPr="00AE0635">
              <w:rPr>
                <w:rFonts w:cs="Arial"/>
                <w:sz w:val="22"/>
                <w:szCs w:val="22"/>
              </w:rPr>
              <w:t>stát předmětem regulace na úrovni ČR / EU. Jedna z</w:t>
            </w:r>
            <w:r w:rsidR="005A1247">
              <w:rPr>
                <w:rFonts w:cs="Arial"/>
                <w:sz w:val="22"/>
                <w:szCs w:val="22"/>
              </w:rPr>
              <w:t> </w:t>
            </w:r>
            <w:r w:rsidRPr="00AE0635">
              <w:rPr>
                <w:rFonts w:cs="Arial"/>
                <w:sz w:val="22"/>
                <w:szCs w:val="22"/>
              </w:rPr>
              <w:t>klíčových otázek je, zdali má v</w:t>
            </w:r>
            <w:r w:rsidR="005A1247">
              <w:rPr>
                <w:rFonts w:cs="Arial"/>
                <w:sz w:val="22"/>
                <w:szCs w:val="22"/>
              </w:rPr>
              <w:t> </w:t>
            </w:r>
            <w:r w:rsidRPr="00AE0635">
              <w:rPr>
                <w:rFonts w:cs="Arial"/>
                <w:sz w:val="22"/>
                <w:szCs w:val="22"/>
              </w:rPr>
              <w:t>této oblasti hrát nějakou roli stát anebo má být řešení ponecháno trhu (lze očekávat, že s</w:t>
            </w:r>
            <w:r w:rsidR="005A1247">
              <w:rPr>
                <w:rFonts w:cs="Arial"/>
                <w:sz w:val="22"/>
                <w:szCs w:val="22"/>
              </w:rPr>
              <w:t> </w:t>
            </w:r>
            <w:r w:rsidRPr="00AE0635">
              <w:rPr>
                <w:rFonts w:cs="Arial"/>
                <w:sz w:val="22"/>
                <w:szCs w:val="22"/>
              </w:rPr>
              <w:t>masivnějším rozvojem elektromobility dojde i</w:t>
            </w:r>
            <w:r w:rsidR="005A1247">
              <w:rPr>
                <w:rFonts w:cs="Arial"/>
                <w:sz w:val="22"/>
                <w:szCs w:val="22"/>
              </w:rPr>
              <w:t> </w:t>
            </w:r>
            <w:r w:rsidRPr="00AE0635">
              <w:rPr>
                <w:rFonts w:cs="Arial"/>
                <w:sz w:val="22"/>
                <w:szCs w:val="22"/>
              </w:rPr>
              <w:t>k rozšíření nabídky možností / technologií / řešení).</w:t>
            </w:r>
          </w:p>
          <w:p w14:paraId="087D907B" w14:textId="7F4CD9F8" w:rsidR="00DD2E8A" w:rsidRPr="00AE0635" w:rsidRDefault="00DD2E8A" w:rsidP="0054245B">
            <w:pPr>
              <w:pStyle w:val="Normln10"/>
              <w:spacing w:before="60" w:line="240" w:lineRule="auto"/>
              <w:rPr>
                <w:rFonts w:cs="Arial"/>
                <w:sz w:val="22"/>
                <w:szCs w:val="22"/>
              </w:rPr>
            </w:pPr>
            <w:r w:rsidRPr="00AE0635">
              <w:rPr>
                <w:rFonts w:cs="Arial"/>
                <w:sz w:val="22"/>
                <w:szCs w:val="22"/>
              </w:rPr>
              <w:t>Důležitým faktorem je určité zpoždění trhu v</w:t>
            </w:r>
            <w:r w:rsidR="005A1247">
              <w:rPr>
                <w:rFonts w:cs="Arial"/>
                <w:sz w:val="22"/>
                <w:szCs w:val="22"/>
              </w:rPr>
              <w:t> </w:t>
            </w:r>
            <w:r w:rsidRPr="00AE0635">
              <w:rPr>
                <w:rFonts w:cs="Arial"/>
                <w:sz w:val="22"/>
                <w:szCs w:val="22"/>
              </w:rPr>
              <w:t>ČR a</w:t>
            </w:r>
            <w:r w:rsidR="005A1247">
              <w:rPr>
                <w:rFonts w:cs="Arial"/>
                <w:sz w:val="22"/>
                <w:szCs w:val="22"/>
              </w:rPr>
              <w:t> </w:t>
            </w:r>
            <w:r w:rsidRPr="00AE0635">
              <w:rPr>
                <w:rFonts w:cs="Arial"/>
                <w:sz w:val="22"/>
                <w:szCs w:val="22"/>
              </w:rPr>
              <w:t>jeho malá hloubka (malý počet elektromobilistů, omezený počet dobíjecích stanic, teprve vznikající tarifní struktura a</w:t>
            </w:r>
            <w:r w:rsidR="005A1247">
              <w:rPr>
                <w:rFonts w:cs="Arial"/>
                <w:sz w:val="22"/>
                <w:szCs w:val="22"/>
              </w:rPr>
              <w:t> </w:t>
            </w:r>
            <w:r w:rsidRPr="00AE0635">
              <w:rPr>
                <w:rFonts w:cs="Arial"/>
                <w:sz w:val="22"/>
                <w:szCs w:val="22"/>
              </w:rPr>
              <w:t>struktura platebních a</w:t>
            </w:r>
            <w:r w:rsidR="005A1247">
              <w:rPr>
                <w:rFonts w:cs="Arial"/>
                <w:sz w:val="22"/>
                <w:szCs w:val="22"/>
              </w:rPr>
              <w:t> </w:t>
            </w:r>
            <w:r w:rsidRPr="00AE0635">
              <w:rPr>
                <w:rFonts w:cs="Arial"/>
                <w:sz w:val="22"/>
                <w:szCs w:val="22"/>
              </w:rPr>
              <w:t>identifikačních systémů), kdy lze očekávat, že s</w:t>
            </w:r>
            <w:r w:rsidR="005A1247">
              <w:rPr>
                <w:rFonts w:cs="Arial"/>
                <w:sz w:val="22"/>
                <w:szCs w:val="22"/>
              </w:rPr>
              <w:t> </w:t>
            </w:r>
            <w:r w:rsidRPr="00AE0635">
              <w:rPr>
                <w:rFonts w:cs="Arial"/>
                <w:sz w:val="22"/>
                <w:szCs w:val="22"/>
              </w:rPr>
              <w:t>rozvojem trhu dojde k</w:t>
            </w:r>
            <w:r w:rsidR="005A1247">
              <w:rPr>
                <w:rFonts w:cs="Arial"/>
                <w:sz w:val="22"/>
                <w:szCs w:val="22"/>
              </w:rPr>
              <w:t> </w:t>
            </w:r>
            <w:r w:rsidRPr="00AE0635">
              <w:rPr>
                <w:rFonts w:cs="Arial"/>
                <w:sz w:val="22"/>
                <w:szCs w:val="22"/>
              </w:rPr>
              <w:t>přirozenému rozvoji interoperability a</w:t>
            </w:r>
            <w:r w:rsidR="005A1247">
              <w:rPr>
                <w:rFonts w:cs="Arial"/>
                <w:sz w:val="22"/>
                <w:szCs w:val="22"/>
              </w:rPr>
              <w:t> </w:t>
            </w:r>
            <w:r w:rsidRPr="00AE0635">
              <w:rPr>
                <w:rFonts w:cs="Arial"/>
                <w:sz w:val="22"/>
                <w:szCs w:val="22"/>
              </w:rPr>
              <w:t>roamingu v</w:t>
            </w:r>
            <w:r w:rsidR="005A1247">
              <w:rPr>
                <w:rFonts w:cs="Arial"/>
                <w:sz w:val="22"/>
                <w:szCs w:val="22"/>
              </w:rPr>
              <w:t> </w:t>
            </w:r>
            <w:r w:rsidRPr="00AE0635">
              <w:rPr>
                <w:rFonts w:cs="Arial"/>
                <w:sz w:val="22"/>
                <w:szCs w:val="22"/>
              </w:rPr>
              <w:t>návaznosti na očekávané oddělení rolí provozovatele dobíjecích stanic (CPO) a</w:t>
            </w:r>
            <w:r w:rsidR="005A1247">
              <w:rPr>
                <w:rFonts w:cs="Arial"/>
                <w:sz w:val="22"/>
                <w:szCs w:val="22"/>
              </w:rPr>
              <w:t> </w:t>
            </w:r>
            <w:r w:rsidRPr="00AE0635">
              <w:rPr>
                <w:rFonts w:cs="Arial"/>
                <w:sz w:val="22"/>
                <w:szCs w:val="22"/>
              </w:rPr>
              <w:t>poskytovatele služby dobíjení (EMP).</w:t>
            </w:r>
          </w:p>
          <w:p w14:paraId="541C814B" w14:textId="5F39467D" w:rsidR="00DD2E8A" w:rsidRPr="00AE0635" w:rsidRDefault="00DD2E8A" w:rsidP="0054245B">
            <w:pPr>
              <w:pStyle w:val="Normln10"/>
              <w:spacing w:before="60" w:line="240" w:lineRule="auto"/>
              <w:rPr>
                <w:rFonts w:cs="Arial"/>
                <w:sz w:val="22"/>
                <w:szCs w:val="22"/>
              </w:rPr>
            </w:pPr>
            <w:r w:rsidRPr="00AE0635">
              <w:rPr>
                <w:rFonts w:cs="Arial"/>
                <w:sz w:val="22"/>
                <w:szCs w:val="22"/>
              </w:rPr>
              <w:t>Téma je diskutováno v</w:t>
            </w:r>
            <w:r w:rsidR="005A1247">
              <w:rPr>
                <w:rFonts w:cs="Arial"/>
                <w:sz w:val="22"/>
                <w:szCs w:val="22"/>
              </w:rPr>
              <w:t> </w:t>
            </w:r>
            <w:r w:rsidRPr="00AE0635">
              <w:rPr>
                <w:rFonts w:cs="Arial"/>
                <w:sz w:val="22"/>
                <w:szCs w:val="22"/>
              </w:rPr>
              <w:t>rámci PS Elektromobilita a</w:t>
            </w:r>
            <w:r w:rsidR="005A1247">
              <w:rPr>
                <w:rFonts w:cs="Arial"/>
                <w:sz w:val="22"/>
                <w:szCs w:val="22"/>
              </w:rPr>
              <w:t> </w:t>
            </w:r>
            <w:r w:rsidRPr="00AE0635">
              <w:rPr>
                <w:rFonts w:cs="Arial"/>
                <w:sz w:val="22"/>
                <w:szCs w:val="22"/>
              </w:rPr>
              <w:t>dílčí aspekty jsou průběžně řešeny a</w:t>
            </w:r>
            <w:r w:rsidR="005A1247">
              <w:rPr>
                <w:rFonts w:cs="Arial"/>
                <w:sz w:val="22"/>
                <w:szCs w:val="22"/>
              </w:rPr>
              <w:t> </w:t>
            </w:r>
            <w:r w:rsidRPr="00AE0635">
              <w:rPr>
                <w:rFonts w:cs="Arial"/>
                <w:sz w:val="22"/>
                <w:szCs w:val="22"/>
              </w:rPr>
              <w:t>to buď samostatně anebo v</w:t>
            </w:r>
            <w:r w:rsidR="005A1247">
              <w:rPr>
                <w:rFonts w:cs="Arial"/>
                <w:sz w:val="22"/>
                <w:szCs w:val="22"/>
              </w:rPr>
              <w:t> </w:t>
            </w:r>
            <w:r w:rsidRPr="00AE0635">
              <w:rPr>
                <w:rFonts w:cs="Arial"/>
                <w:sz w:val="22"/>
                <w:szCs w:val="22"/>
              </w:rPr>
              <w:t>rámci samostatných karet opatření.</w:t>
            </w:r>
          </w:p>
          <w:p w14:paraId="64990671" w14:textId="1F232C40" w:rsidR="00DD2E8A" w:rsidRPr="00AE0635" w:rsidRDefault="00DD2E8A" w:rsidP="0054245B">
            <w:pPr>
              <w:pStyle w:val="Normln10"/>
              <w:spacing w:before="60" w:line="240" w:lineRule="auto"/>
              <w:rPr>
                <w:rFonts w:cs="Arial"/>
                <w:sz w:val="22"/>
                <w:szCs w:val="22"/>
              </w:rPr>
            </w:pPr>
            <w:r w:rsidRPr="00AE0635">
              <w:rPr>
                <w:rFonts w:cs="Arial"/>
                <w:sz w:val="22"/>
                <w:szCs w:val="22"/>
              </w:rPr>
              <w:t>Další aktivity budou též ovlivněny vývojem na úrovni EK (připravovaná veřejná konzultace k</w:t>
            </w:r>
            <w:r w:rsidR="005A1247">
              <w:rPr>
                <w:rFonts w:cs="Arial"/>
                <w:sz w:val="22"/>
                <w:szCs w:val="22"/>
              </w:rPr>
              <w:t> </w:t>
            </w:r>
            <w:r w:rsidRPr="00AE0635">
              <w:rPr>
                <w:rFonts w:cs="Arial"/>
                <w:sz w:val="22"/>
                <w:szCs w:val="22"/>
              </w:rPr>
              <w:t>problematice interoperability a</w:t>
            </w:r>
            <w:r w:rsidR="005A1247">
              <w:rPr>
                <w:rFonts w:cs="Arial"/>
                <w:sz w:val="22"/>
                <w:szCs w:val="22"/>
              </w:rPr>
              <w:t> </w:t>
            </w:r>
            <w:r w:rsidRPr="00AE0635">
              <w:rPr>
                <w:rFonts w:cs="Arial"/>
                <w:sz w:val="22"/>
                <w:szCs w:val="22"/>
              </w:rPr>
              <w:t>roamingu, účast ČR prostřednictvím MD na mezinárodním projektu financovaném z</w:t>
            </w:r>
            <w:r w:rsidR="005A1247">
              <w:rPr>
                <w:rFonts w:cs="Arial"/>
                <w:sz w:val="22"/>
                <w:szCs w:val="22"/>
              </w:rPr>
              <w:t> </w:t>
            </w:r>
            <w:r w:rsidRPr="00AE0635">
              <w:rPr>
                <w:rFonts w:cs="Arial"/>
                <w:sz w:val="22"/>
                <w:szCs w:val="22"/>
              </w:rPr>
              <w:t>technické pomoci CEF).</w:t>
            </w:r>
          </w:p>
          <w:p w14:paraId="5D9901FA" w14:textId="095C0344" w:rsidR="00DD2E8A" w:rsidRPr="00AE0635" w:rsidRDefault="00DD2E8A" w:rsidP="005A1247">
            <w:pPr>
              <w:pStyle w:val="Normln10"/>
              <w:spacing w:before="60" w:line="240" w:lineRule="auto"/>
              <w:rPr>
                <w:rFonts w:cs="Arial"/>
                <w:sz w:val="22"/>
                <w:szCs w:val="22"/>
              </w:rPr>
            </w:pPr>
            <w:r w:rsidRPr="00AE0635">
              <w:rPr>
                <w:rFonts w:cs="Arial"/>
                <w:sz w:val="22"/>
                <w:szCs w:val="22"/>
              </w:rPr>
              <w:lastRenderedPageBreak/>
              <w:t>Doporučení dalších kroků – monitorovat vývoj trhu a</w:t>
            </w:r>
            <w:r w:rsidR="005A1247">
              <w:rPr>
                <w:rFonts w:cs="Arial"/>
                <w:sz w:val="22"/>
                <w:szCs w:val="22"/>
              </w:rPr>
              <w:t> </w:t>
            </w:r>
            <w:r w:rsidRPr="00AE0635">
              <w:rPr>
                <w:rFonts w:cs="Arial"/>
                <w:sz w:val="22"/>
                <w:szCs w:val="22"/>
              </w:rPr>
              <w:t>v případě potřeby iniciovat vznik opatření, které by řešilo jeho selhání (revize opatření v</w:t>
            </w:r>
            <w:r w:rsidR="005A1247">
              <w:rPr>
                <w:rFonts w:cs="Arial"/>
                <w:sz w:val="22"/>
                <w:szCs w:val="22"/>
              </w:rPr>
              <w:t> </w:t>
            </w:r>
            <w:r w:rsidRPr="00AE0635">
              <w:rPr>
                <w:rFonts w:cs="Arial"/>
                <w:sz w:val="22"/>
                <w:szCs w:val="22"/>
              </w:rPr>
              <w:t>roce 2020) na úrovni pracovní skupiny.</w:t>
            </w:r>
          </w:p>
        </w:tc>
      </w:tr>
      <w:tr w:rsidR="00DD2E8A" w14:paraId="19081D74"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2A05F1B6" w14:textId="77777777" w:rsidR="00DD2E8A" w:rsidRPr="00AE0635" w:rsidRDefault="00DD2E8A" w:rsidP="0054245B">
            <w:pPr>
              <w:pStyle w:val="Normln10"/>
              <w:jc w:val="left"/>
              <w:rPr>
                <w:rFonts w:cs="Arial"/>
                <w:sz w:val="22"/>
                <w:szCs w:val="22"/>
              </w:rPr>
            </w:pPr>
            <w:r w:rsidRPr="00AE0635">
              <w:rPr>
                <w:rFonts w:cs="Arial"/>
                <w:sz w:val="22"/>
                <w:szCs w:val="22"/>
              </w:rPr>
              <w:lastRenderedPageBreak/>
              <w:t>Vazba na další opatření</w:t>
            </w:r>
          </w:p>
        </w:tc>
        <w:tc>
          <w:tcPr>
            <w:tcW w:w="7087" w:type="dxa"/>
            <w:tcBorders>
              <w:top w:val="single" w:sz="4" w:space="0" w:color="auto"/>
              <w:left w:val="single" w:sz="12" w:space="0" w:color="auto"/>
              <w:bottom w:val="single" w:sz="4" w:space="0" w:color="auto"/>
              <w:right w:val="single" w:sz="12" w:space="0" w:color="auto"/>
            </w:tcBorders>
            <w:hideMark/>
          </w:tcPr>
          <w:p w14:paraId="41168C10" w14:textId="371AA62C" w:rsidR="00DD2E8A" w:rsidRPr="00AE0635" w:rsidRDefault="00DD2E8A" w:rsidP="005A1247">
            <w:pPr>
              <w:pStyle w:val="Normln10"/>
              <w:spacing w:line="240" w:lineRule="auto"/>
              <w:rPr>
                <w:rFonts w:cs="Arial"/>
                <w:sz w:val="22"/>
                <w:szCs w:val="22"/>
              </w:rPr>
            </w:pPr>
            <w:r w:rsidRPr="00AE0635">
              <w:rPr>
                <w:rFonts w:cs="Arial"/>
                <w:sz w:val="22"/>
                <w:szCs w:val="22"/>
              </w:rPr>
              <w:t>Dílčí části agendy popsané výše jsou řešeny samostatnými kartami (sběr dat, dynamická data, ITS, ID). Karta navazuje a</w:t>
            </w:r>
            <w:r w:rsidR="005A1247">
              <w:rPr>
                <w:rFonts w:cs="Arial"/>
                <w:sz w:val="22"/>
                <w:szCs w:val="22"/>
              </w:rPr>
              <w:t> </w:t>
            </w:r>
            <w:r w:rsidRPr="00AE0635">
              <w:rPr>
                <w:rFonts w:cs="Arial"/>
                <w:sz w:val="22"/>
                <w:szCs w:val="22"/>
              </w:rPr>
              <w:t>je do určité míry pokračováním karty, která toto téma řešila v</w:t>
            </w:r>
            <w:r w:rsidR="005A1247">
              <w:rPr>
                <w:rFonts w:cs="Arial"/>
                <w:sz w:val="22"/>
                <w:szCs w:val="22"/>
              </w:rPr>
              <w:t> </w:t>
            </w:r>
            <w:r w:rsidRPr="00AE0635">
              <w:rPr>
                <w:rFonts w:cs="Arial"/>
                <w:sz w:val="22"/>
                <w:szCs w:val="22"/>
              </w:rPr>
              <w:t>předchozí fázi plnění NAP CM.</w:t>
            </w:r>
          </w:p>
        </w:tc>
      </w:tr>
      <w:tr w:rsidR="00DD2E8A" w14:paraId="16BCC2BB"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675EA43C" w14:textId="77777777" w:rsidR="00DD2E8A" w:rsidRPr="00AE0635" w:rsidRDefault="00DD2E8A" w:rsidP="0054245B">
            <w:pPr>
              <w:pStyle w:val="Normln10"/>
              <w:jc w:val="left"/>
              <w:rPr>
                <w:rFonts w:cs="Arial"/>
                <w:sz w:val="22"/>
                <w:szCs w:val="22"/>
              </w:rPr>
            </w:pPr>
            <w:r w:rsidRPr="00AE0635">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34CF7B5F" w14:textId="77777777" w:rsidR="00DD2E8A" w:rsidRPr="00AE0635" w:rsidRDefault="00DD2E8A" w:rsidP="0054245B">
            <w:pPr>
              <w:pStyle w:val="Normln10"/>
              <w:spacing w:before="60" w:line="240" w:lineRule="auto"/>
              <w:jc w:val="left"/>
              <w:rPr>
                <w:rFonts w:cs="Arial"/>
                <w:sz w:val="22"/>
                <w:szCs w:val="22"/>
              </w:rPr>
            </w:pPr>
            <w:r w:rsidRPr="00AE0635">
              <w:rPr>
                <w:rFonts w:cs="Arial"/>
                <w:sz w:val="22"/>
                <w:szCs w:val="22"/>
              </w:rPr>
              <w:t>Nulový</w:t>
            </w:r>
          </w:p>
        </w:tc>
      </w:tr>
      <w:tr w:rsidR="00DD2E8A" w14:paraId="2FCA6F43"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628743E4" w14:textId="77777777" w:rsidR="00DD2E8A" w:rsidRPr="00AE0635" w:rsidRDefault="00DD2E8A" w:rsidP="0054245B">
            <w:pPr>
              <w:pStyle w:val="Normln10"/>
              <w:jc w:val="left"/>
              <w:rPr>
                <w:rFonts w:cs="Arial"/>
                <w:sz w:val="22"/>
                <w:szCs w:val="22"/>
              </w:rPr>
            </w:pPr>
            <w:r w:rsidRPr="00AE0635">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7A44785D" w14:textId="77777777" w:rsidR="00DD2E8A" w:rsidRPr="00AE0635" w:rsidRDefault="00DD2E8A" w:rsidP="0054245B">
            <w:pPr>
              <w:pStyle w:val="Normln10"/>
              <w:spacing w:before="60" w:line="240" w:lineRule="auto"/>
              <w:jc w:val="left"/>
              <w:rPr>
                <w:rFonts w:cs="Arial"/>
                <w:sz w:val="22"/>
                <w:szCs w:val="22"/>
              </w:rPr>
            </w:pPr>
            <w:r w:rsidRPr="00AE0635">
              <w:rPr>
                <w:rFonts w:cs="Arial"/>
                <w:sz w:val="22"/>
                <w:szCs w:val="22"/>
              </w:rPr>
              <w:t>MPO</w:t>
            </w:r>
          </w:p>
        </w:tc>
      </w:tr>
      <w:tr w:rsidR="00DD2E8A" w14:paraId="1ECD9286"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041B3157" w14:textId="77777777" w:rsidR="00DD2E8A" w:rsidRPr="00AE0635" w:rsidRDefault="00DD2E8A" w:rsidP="0054245B">
            <w:pPr>
              <w:pStyle w:val="Normln10"/>
              <w:jc w:val="left"/>
              <w:rPr>
                <w:rFonts w:cs="Arial"/>
                <w:sz w:val="22"/>
                <w:szCs w:val="22"/>
              </w:rPr>
            </w:pPr>
            <w:r w:rsidRPr="00AE0635">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hideMark/>
          </w:tcPr>
          <w:p w14:paraId="22407B79" w14:textId="77777777" w:rsidR="00DD2E8A" w:rsidRPr="00AE0635" w:rsidRDefault="00DD2E8A" w:rsidP="0054245B">
            <w:pPr>
              <w:pStyle w:val="Normln10"/>
              <w:spacing w:before="60" w:line="240" w:lineRule="auto"/>
              <w:rPr>
                <w:rFonts w:cs="Arial"/>
                <w:sz w:val="22"/>
                <w:szCs w:val="22"/>
              </w:rPr>
            </w:pPr>
            <w:r w:rsidRPr="00AE0635">
              <w:rPr>
                <w:rFonts w:cs="Arial"/>
                <w:sz w:val="22"/>
                <w:szCs w:val="22"/>
              </w:rPr>
              <w:t>MD, OTE, Energetické společnosti, provozovatelé dobíjecí infrastruktury</w:t>
            </w:r>
          </w:p>
        </w:tc>
      </w:tr>
      <w:tr w:rsidR="00DD2E8A" w14:paraId="472F6FE3" w14:textId="77777777" w:rsidTr="0054245B">
        <w:tc>
          <w:tcPr>
            <w:tcW w:w="1984" w:type="dxa"/>
            <w:tcBorders>
              <w:top w:val="single" w:sz="4" w:space="0" w:color="auto"/>
              <w:left w:val="single" w:sz="12" w:space="0" w:color="auto"/>
              <w:bottom w:val="single" w:sz="12" w:space="0" w:color="auto"/>
              <w:right w:val="single" w:sz="12" w:space="0" w:color="auto"/>
            </w:tcBorders>
            <w:vAlign w:val="center"/>
            <w:hideMark/>
          </w:tcPr>
          <w:p w14:paraId="4F7ACFAF" w14:textId="77777777" w:rsidR="00DD2E8A" w:rsidRPr="00AE0635" w:rsidRDefault="00DD2E8A" w:rsidP="0054245B">
            <w:pPr>
              <w:pStyle w:val="Normln10"/>
              <w:jc w:val="left"/>
              <w:rPr>
                <w:rFonts w:cs="Arial"/>
                <w:sz w:val="22"/>
                <w:szCs w:val="22"/>
              </w:rPr>
            </w:pPr>
            <w:r w:rsidRPr="00AE0635">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357E3E79" w14:textId="1E1DF798" w:rsidR="00DD2E8A" w:rsidRPr="00AE0635" w:rsidRDefault="00DD2E8A" w:rsidP="005A1247">
            <w:pPr>
              <w:pStyle w:val="Normln10"/>
              <w:spacing w:before="60" w:line="240" w:lineRule="auto"/>
              <w:rPr>
                <w:rFonts w:cs="Arial"/>
                <w:sz w:val="22"/>
                <w:szCs w:val="22"/>
              </w:rPr>
            </w:pPr>
            <w:r w:rsidRPr="00AE0635">
              <w:rPr>
                <w:rFonts w:cs="Arial"/>
                <w:sz w:val="22"/>
                <w:szCs w:val="22"/>
              </w:rPr>
              <w:t>Monitoring trhu a</w:t>
            </w:r>
            <w:r w:rsidR="005A1247">
              <w:rPr>
                <w:rFonts w:cs="Arial"/>
                <w:sz w:val="22"/>
                <w:szCs w:val="22"/>
              </w:rPr>
              <w:t> </w:t>
            </w:r>
            <w:r w:rsidRPr="00AE0635">
              <w:rPr>
                <w:rFonts w:cs="Arial"/>
                <w:sz w:val="22"/>
                <w:szCs w:val="22"/>
              </w:rPr>
              <w:t>v případě potřeby návrh opatření 12/2020</w:t>
            </w:r>
          </w:p>
        </w:tc>
      </w:tr>
    </w:tbl>
    <w:p w14:paraId="01E43FB2" w14:textId="77777777" w:rsidR="00DD2E8A" w:rsidRDefault="00DD2E8A" w:rsidP="00DD2E8A">
      <w:pPr>
        <w:spacing w:before="0" w:after="0"/>
        <w:jc w:val="both"/>
      </w:pPr>
      <w:r>
        <w:br w:type="page"/>
      </w:r>
    </w:p>
    <w:p w14:paraId="2A051899" w14:textId="4C197C08" w:rsidR="00D31F63" w:rsidRDefault="00DD2E8A" w:rsidP="00DD2E8A">
      <w:pPr>
        <w:pStyle w:val="Nadpis3"/>
        <w:jc w:val="both"/>
      </w:pPr>
      <w:r>
        <w:lastRenderedPageBreak/>
        <w:t xml:space="preserve">E2 </w:t>
      </w:r>
      <w:r w:rsidR="00D31F63" w:rsidRPr="005C650D">
        <w:t>Vytvoření funkčního mechanismu pro vydávání identifikačních kódů (ID) pro dobíjecí stanice a</w:t>
      </w:r>
      <w:r w:rsidR="005A1247">
        <w:t> </w:t>
      </w:r>
      <w:r w:rsidR="00D31F63" w:rsidRPr="005C650D">
        <w:t>poskytovatele služeb dobíjení</w:t>
      </w:r>
    </w:p>
    <w:p w14:paraId="3450DAEC" w14:textId="25207A9D" w:rsidR="00D31F63" w:rsidRDefault="00D31F63" w:rsidP="00D31F63">
      <w:pPr>
        <w:pStyle w:val="Nadpis3"/>
        <w:numPr>
          <w:ilvl w:val="0"/>
          <w:numId w:val="0"/>
        </w:numPr>
        <w:ind w:left="284"/>
        <w:jc w:val="both"/>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31F63" w14:paraId="0D46C933"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1CEB6322" w14:textId="17ABBF4E" w:rsidR="00D31F63" w:rsidRDefault="00D31F63" w:rsidP="005A1247">
            <w:pPr>
              <w:spacing w:before="60" w:after="60"/>
              <w:jc w:val="both"/>
              <w:rPr>
                <w:rFonts w:cs="Arial"/>
                <w:b/>
                <w:color w:val="FFFFFF" w:themeColor="background1"/>
              </w:rPr>
            </w:pPr>
            <w:r>
              <w:rPr>
                <w:rFonts w:cs="Arial"/>
                <w:b/>
                <w:color w:val="FFFFFF" w:themeColor="background1"/>
              </w:rPr>
              <w:t>E2 Vytvoření funkčního mechanismu pro vydávání identifikačních kódů (ID) pro dobíjecí stanice a</w:t>
            </w:r>
            <w:r w:rsidR="005A1247">
              <w:rPr>
                <w:rFonts w:cs="Arial"/>
                <w:b/>
                <w:color w:val="FFFFFF" w:themeColor="background1"/>
              </w:rPr>
              <w:t> </w:t>
            </w:r>
            <w:r>
              <w:rPr>
                <w:rFonts w:cs="Arial"/>
                <w:b/>
                <w:color w:val="FFFFFF" w:themeColor="background1"/>
              </w:rPr>
              <w:t>poskytovatele služeb dobíjení</w:t>
            </w:r>
          </w:p>
        </w:tc>
      </w:tr>
      <w:tr w:rsidR="00D31F63" w14:paraId="7DD74B1F" w14:textId="77777777" w:rsidTr="005A1247">
        <w:tc>
          <w:tcPr>
            <w:tcW w:w="1984" w:type="dxa"/>
            <w:tcBorders>
              <w:top w:val="single" w:sz="12" w:space="0" w:color="auto"/>
              <w:left w:val="single" w:sz="12" w:space="0" w:color="auto"/>
              <w:bottom w:val="single" w:sz="4" w:space="0" w:color="auto"/>
              <w:right w:val="single" w:sz="12" w:space="0" w:color="auto"/>
            </w:tcBorders>
            <w:hideMark/>
          </w:tcPr>
          <w:p w14:paraId="6FA165B1" w14:textId="77777777" w:rsidR="00D31F63" w:rsidRDefault="00D31F63" w:rsidP="005A1247">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1DC73209" w14:textId="77777777" w:rsidR="00D31F63" w:rsidRDefault="00D31F63" w:rsidP="005A1247">
            <w:pPr>
              <w:pStyle w:val="Normln10"/>
              <w:spacing w:before="60" w:line="240" w:lineRule="auto"/>
              <w:rPr>
                <w:rFonts w:cs="Arial"/>
                <w:sz w:val="22"/>
                <w:szCs w:val="22"/>
              </w:rPr>
            </w:pPr>
            <w:r>
              <w:rPr>
                <w:rFonts w:cs="Arial"/>
                <w:sz w:val="22"/>
                <w:szCs w:val="22"/>
              </w:rPr>
              <w:t>Zajištění stabilního regulatorního rámce pro rozvoj elektromobility (kap. 2.4.3.)</w:t>
            </w:r>
          </w:p>
        </w:tc>
      </w:tr>
      <w:tr w:rsidR="00D31F63" w14:paraId="02AE7C3A"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4769EBE2" w14:textId="77777777" w:rsidR="00D31F63" w:rsidRDefault="00D31F63" w:rsidP="005A1247">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458B0E40" w14:textId="541F2768" w:rsidR="00D31F63" w:rsidRDefault="00D31F63" w:rsidP="005A1247">
            <w:pPr>
              <w:pStyle w:val="Normln10"/>
              <w:spacing w:before="60" w:line="240" w:lineRule="auto"/>
              <w:rPr>
                <w:rFonts w:cs="Arial"/>
                <w:sz w:val="22"/>
                <w:szCs w:val="22"/>
              </w:rPr>
            </w:pPr>
            <w:r>
              <w:rPr>
                <w:rFonts w:cs="Arial"/>
                <w:sz w:val="22"/>
                <w:szCs w:val="22"/>
              </w:rPr>
              <w:t>Cílem opatření je vytvořit základní předpoklad pro budoucí zavedení plné interoperability provozovatelů dobíjecích stanic (nejen v</w:t>
            </w:r>
            <w:r w:rsidR="005A1247">
              <w:rPr>
                <w:rFonts w:cs="Arial"/>
                <w:sz w:val="22"/>
                <w:szCs w:val="22"/>
              </w:rPr>
              <w:t> </w:t>
            </w:r>
            <w:r>
              <w:rPr>
                <w:rFonts w:cs="Arial"/>
                <w:sz w:val="22"/>
                <w:szCs w:val="22"/>
              </w:rPr>
              <w:t>rámci ČR ale do budoucna i</w:t>
            </w:r>
            <w:r w:rsidR="005A1247">
              <w:rPr>
                <w:rFonts w:cs="Arial"/>
                <w:sz w:val="22"/>
                <w:szCs w:val="22"/>
              </w:rPr>
              <w:t> </w:t>
            </w:r>
            <w:r>
              <w:rPr>
                <w:rFonts w:cs="Arial"/>
                <w:sz w:val="22"/>
                <w:szCs w:val="22"/>
              </w:rPr>
              <w:t>celé EU). Zároveň tak budou plněny i</w:t>
            </w:r>
            <w:r w:rsidR="005A1247">
              <w:rPr>
                <w:rFonts w:cs="Arial"/>
                <w:sz w:val="22"/>
                <w:szCs w:val="22"/>
              </w:rPr>
              <w:t> </w:t>
            </w:r>
            <w:r>
              <w:rPr>
                <w:rFonts w:cs="Arial"/>
                <w:sz w:val="22"/>
                <w:szCs w:val="22"/>
              </w:rPr>
              <w:t>požadavky projektu zaměřeného na elektromobilitu v</w:t>
            </w:r>
            <w:r w:rsidR="005A1247">
              <w:rPr>
                <w:rFonts w:cs="Arial"/>
                <w:sz w:val="22"/>
                <w:szCs w:val="22"/>
              </w:rPr>
              <w:t> </w:t>
            </w:r>
            <w:r>
              <w:rPr>
                <w:rFonts w:cs="Arial"/>
                <w:sz w:val="22"/>
                <w:szCs w:val="22"/>
              </w:rPr>
              <w:t>rámci tzv. technické pomoci CEF (PSA CEF), do něhož se ČR zapojila.</w:t>
            </w:r>
          </w:p>
        </w:tc>
      </w:tr>
      <w:tr w:rsidR="00D31F63" w14:paraId="4ADB80BA" w14:textId="77777777" w:rsidTr="005A1247">
        <w:tc>
          <w:tcPr>
            <w:tcW w:w="1984" w:type="dxa"/>
            <w:tcBorders>
              <w:top w:val="single" w:sz="4" w:space="0" w:color="auto"/>
              <w:left w:val="single" w:sz="12" w:space="0" w:color="auto"/>
              <w:bottom w:val="single" w:sz="4" w:space="0" w:color="auto"/>
              <w:right w:val="single" w:sz="12" w:space="0" w:color="auto"/>
            </w:tcBorders>
          </w:tcPr>
          <w:p w14:paraId="7AE081C7" w14:textId="77777777" w:rsidR="00D31F63" w:rsidRDefault="00D31F63" w:rsidP="005A1247">
            <w:pPr>
              <w:pStyle w:val="Normln10"/>
              <w:rPr>
                <w:rFonts w:cs="Arial"/>
                <w:sz w:val="22"/>
                <w:szCs w:val="22"/>
              </w:rPr>
            </w:pPr>
            <w:r>
              <w:rPr>
                <w:rFonts w:cs="Arial"/>
                <w:sz w:val="22"/>
                <w:szCs w:val="22"/>
              </w:rPr>
              <w:t>Popis opatření</w:t>
            </w:r>
          </w:p>
        </w:tc>
        <w:tc>
          <w:tcPr>
            <w:tcW w:w="7087" w:type="dxa"/>
            <w:tcBorders>
              <w:top w:val="single" w:sz="4" w:space="0" w:color="auto"/>
              <w:left w:val="single" w:sz="12" w:space="0" w:color="auto"/>
              <w:bottom w:val="single" w:sz="4" w:space="0" w:color="auto"/>
              <w:right w:val="single" w:sz="12" w:space="0" w:color="auto"/>
            </w:tcBorders>
          </w:tcPr>
          <w:p w14:paraId="11DF9ECB" w14:textId="32F7034B" w:rsidR="00D31F63" w:rsidRDefault="00D31F63" w:rsidP="005A1247">
            <w:pPr>
              <w:pStyle w:val="Normln10"/>
              <w:spacing w:before="60" w:line="240" w:lineRule="auto"/>
              <w:rPr>
                <w:rFonts w:cs="Arial"/>
                <w:sz w:val="22"/>
                <w:szCs w:val="22"/>
              </w:rPr>
            </w:pPr>
            <w:r w:rsidRPr="00822853">
              <w:rPr>
                <w:rFonts w:cs="Arial"/>
                <w:sz w:val="22"/>
                <w:szCs w:val="22"/>
              </w:rPr>
              <w:t>Identifikační kód bude vydáván buď přímo ze strany MD nebo ŘSD</w:t>
            </w:r>
            <w:r>
              <w:rPr>
                <w:rFonts w:cs="Arial"/>
                <w:sz w:val="22"/>
                <w:szCs w:val="22"/>
              </w:rPr>
              <w:t xml:space="preserve"> v</w:t>
            </w:r>
            <w:r w:rsidR="005A1247">
              <w:rPr>
                <w:rFonts w:cs="Arial"/>
                <w:sz w:val="22"/>
                <w:szCs w:val="22"/>
              </w:rPr>
              <w:t> </w:t>
            </w:r>
            <w:r w:rsidRPr="00822853">
              <w:rPr>
                <w:rFonts w:cs="Arial"/>
                <w:sz w:val="22"/>
                <w:szCs w:val="22"/>
              </w:rPr>
              <w:t>souvislosti s</w:t>
            </w:r>
            <w:r w:rsidR="005A1247">
              <w:rPr>
                <w:rFonts w:cs="Arial"/>
                <w:sz w:val="22"/>
                <w:szCs w:val="22"/>
              </w:rPr>
              <w:t> </w:t>
            </w:r>
            <w:r w:rsidRPr="00822853">
              <w:rPr>
                <w:rFonts w:cs="Arial"/>
                <w:sz w:val="22"/>
                <w:szCs w:val="22"/>
              </w:rPr>
              <w:t>jeho aktivitou v</w:t>
            </w:r>
            <w:r w:rsidR="005A1247">
              <w:rPr>
                <w:rFonts w:cs="Arial"/>
                <w:sz w:val="22"/>
                <w:szCs w:val="22"/>
              </w:rPr>
              <w:t> </w:t>
            </w:r>
            <w:r w:rsidRPr="00822853">
              <w:rPr>
                <w:rFonts w:cs="Arial"/>
                <w:sz w:val="22"/>
                <w:szCs w:val="22"/>
              </w:rPr>
              <w:t>rámci NDIC oblasti zveřejňování dat o</w:t>
            </w:r>
            <w:r w:rsidR="005A1247">
              <w:rPr>
                <w:rFonts w:cs="Arial"/>
                <w:sz w:val="22"/>
                <w:szCs w:val="22"/>
              </w:rPr>
              <w:t> </w:t>
            </w:r>
            <w:r w:rsidRPr="00822853">
              <w:rPr>
                <w:rFonts w:cs="Arial"/>
                <w:sz w:val="22"/>
                <w:szCs w:val="22"/>
              </w:rPr>
              <w:t>dobíjecích stanicích. Režim (včetně systematiky ID) musí být nastaven tak, aby odpovídal dohodě mezi členskými státy EU zapojenými do výše uvedeného projektu PSA CEF, který byl zahájen v</w:t>
            </w:r>
            <w:r w:rsidR="005A1247">
              <w:rPr>
                <w:rFonts w:cs="Arial"/>
                <w:sz w:val="22"/>
                <w:szCs w:val="22"/>
              </w:rPr>
              <w:t> </w:t>
            </w:r>
            <w:r w:rsidRPr="00822853">
              <w:rPr>
                <w:rFonts w:cs="Arial"/>
                <w:sz w:val="22"/>
                <w:szCs w:val="22"/>
              </w:rPr>
              <w:t>lednu letošního roku a</w:t>
            </w:r>
            <w:r w:rsidR="005A1247">
              <w:rPr>
                <w:rFonts w:cs="Arial"/>
                <w:sz w:val="22"/>
                <w:szCs w:val="22"/>
              </w:rPr>
              <w:t> </w:t>
            </w:r>
            <w:r w:rsidRPr="00822853">
              <w:rPr>
                <w:rFonts w:cs="Arial"/>
                <w:sz w:val="22"/>
                <w:szCs w:val="22"/>
              </w:rPr>
              <w:t>bude trvat do konce roku 2020.</w:t>
            </w:r>
          </w:p>
        </w:tc>
      </w:tr>
      <w:tr w:rsidR="00D31F63" w14:paraId="00A3918D"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61E63523" w14:textId="216BF5CF" w:rsidR="00D31F63" w:rsidRDefault="00D31F63" w:rsidP="005A1247">
            <w:pPr>
              <w:pStyle w:val="Normln10"/>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hideMark/>
          </w:tcPr>
          <w:p w14:paraId="57916A30" w14:textId="2DC06B96" w:rsidR="00D31F63" w:rsidRDefault="00D31F63" w:rsidP="005A1247">
            <w:pPr>
              <w:pStyle w:val="Normln10"/>
              <w:spacing w:before="60" w:line="240" w:lineRule="auto"/>
              <w:rPr>
                <w:rFonts w:cs="Arial"/>
                <w:sz w:val="22"/>
                <w:szCs w:val="22"/>
              </w:rPr>
            </w:pPr>
            <w:r>
              <w:rPr>
                <w:rFonts w:cs="Arial"/>
                <w:sz w:val="22"/>
                <w:szCs w:val="22"/>
              </w:rPr>
              <w:t>V některých zemích západní Evropy (Francie, Německo, Rakousko a</w:t>
            </w:r>
            <w:r w:rsidR="005A1247">
              <w:rPr>
                <w:rFonts w:cs="Arial"/>
                <w:sz w:val="22"/>
                <w:szCs w:val="22"/>
              </w:rPr>
              <w:t> </w:t>
            </w:r>
            <w:r>
              <w:rPr>
                <w:rFonts w:cs="Arial"/>
                <w:sz w:val="22"/>
                <w:szCs w:val="22"/>
              </w:rPr>
              <w:t>Nizozemsko) už IDRO existuje, další státy mají zavedení IDRO v</w:t>
            </w:r>
            <w:r w:rsidR="005A1247">
              <w:rPr>
                <w:rFonts w:cs="Arial"/>
                <w:sz w:val="22"/>
                <w:szCs w:val="22"/>
              </w:rPr>
              <w:t> </w:t>
            </w:r>
            <w:r>
              <w:rPr>
                <w:rFonts w:cs="Arial"/>
                <w:sz w:val="22"/>
                <w:szCs w:val="22"/>
              </w:rPr>
              <w:t>plánu v</w:t>
            </w:r>
            <w:r w:rsidR="005A1247">
              <w:rPr>
                <w:rFonts w:cs="Arial"/>
                <w:sz w:val="22"/>
                <w:szCs w:val="22"/>
              </w:rPr>
              <w:t> </w:t>
            </w:r>
            <w:r>
              <w:rPr>
                <w:rFonts w:cs="Arial"/>
                <w:sz w:val="22"/>
                <w:szCs w:val="22"/>
              </w:rPr>
              <w:t>rámci zmiňovaného projektu PSA CEF do konce roku 2020.</w:t>
            </w:r>
          </w:p>
        </w:tc>
      </w:tr>
      <w:tr w:rsidR="00D31F63" w14:paraId="21415D0C"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1E138718" w14:textId="77777777" w:rsidR="00D31F63" w:rsidRDefault="00D31F63" w:rsidP="005A1247">
            <w:pPr>
              <w:pStyle w:val="Normln10"/>
              <w:spacing w:before="60" w:line="240" w:lineRule="auto"/>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hideMark/>
          </w:tcPr>
          <w:p w14:paraId="6E327863" w14:textId="7A98BA23" w:rsidR="00D31F63" w:rsidRDefault="00D31F63" w:rsidP="005A1247">
            <w:pPr>
              <w:pStyle w:val="Normln10"/>
              <w:spacing w:before="60" w:line="240" w:lineRule="auto"/>
              <w:rPr>
                <w:rFonts w:cs="Arial"/>
                <w:sz w:val="22"/>
                <w:szCs w:val="22"/>
              </w:rPr>
            </w:pPr>
            <w:r>
              <w:rPr>
                <w:rFonts w:cs="Arial"/>
                <w:sz w:val="22"/>
                <w:szCs w:val="22"/>
              </w:rPr>
              <w:t>Počáteční jednorázové náklady by se dle odhadů měly pohybovat v</w:t>
            </w:r>
            <w:r w:rsidR="005A1247">
              <w:rPr>
                <w:rFonts w:cs="Arial"/>
                <w:sz w:val="22"/>
                <w:szCs w:val="22"/>
              </w:rPr>
              <w:t> </w:t>
            </w:r>
            <w:r>
              <w:rPr>
                <w:rFonts w:cs="Arial"/>
                <w:sz w:val="22"/>
                <w:szCs w:val="22"/>
              </w:rPr>
              <w:t>přibližné výši 60 000 Kč, provozní náklady by pak neměly přesáhnout 73 000 Kč za rok v</w:t>
            </w:r>
            <w:r w:rsidR="005A1247">
              <w:rPr>
                <w:rFonts w:cs="Arial"/>
                <w:sz w:val="22"/>
                <w:szCs w:val="22"/>
              </w:rPr>
              <w:t> </w:t>
            </w:r>
            <w:r>
              <w:rPr>
                <w:rFonts w:cs="Arial"/>
                <w:sz w:val="22"/>
                <w:szCs w:val="22"/>
              </w:rPr>
              <w:t>případě, že počet nově přidělených ID bude maximálně 400 ročně.</w:t>
            </w:r>
          </w:p>
        </w:tc>
      </w:tr>
      <w:tr w:rsidR="00D31F63" w14:paraId="5FC302F1"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639B66F4" w14:textId="77777777" w:rsidR="00D31F63" w:rsidRDefault="00D31F63" w:rsidP="005A1247">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hideMark/>
          </w:tcPr>
          <w:p w14:paraId="5BC9976C" w14:textId="77777777" w:rsidR="00D31F63" w:rsidRDefault="00D31F63" w:rsidP="005A1247">
            <w:pPr>
              <w:pStyle w:val="Normln10"/>
              <w:spacing w:before="60" w:line="240" w:lineRule="auto"/>
              <w:rPr>
                <w:rFonts w:cs="Arial"/>
                <w:sz w:val="22"/>
                <w:szCs w:val="22"/>
              </w:rPr>
            </w:pPr>
            <w:r>
              <w:rPr>
                <w:rFonts w:cs="Arial"/>
                <w:sz w:val="22"/>
                <w:szCs w:val="22"/>
              </w:rPr>
              <w:t>MD/ŘSD</w:t>
            </w:r>
          </w:p>
        </w:tc>
      </w:tr>
      <w:tr w:rsidR="00D31F63" w14:paraId="25A49B83"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5754C94A" w14:textId="77777777" w:rsidR="00D31F63" w:rsidRDefault="00D31F63" w:rsidP="005A1247">
            <w:pPr>
              <w:pStyle w:val="Normln10"/>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hideMark/>
          </w:tcPr>
          <w:p w14:paraId="6ABB11BE" w14:textId="77777777" w:rsidR="00D31F63" w:rsidRDefault="00D31F63" w:rsidP="005A1247">
            <w:pPr>
              <w:pStyle w:val="Normln10"/>
              <w:spacing w:before="60" w:line="240" w:lineRule="auto"/>
              <w:rPr>
                <w:rFonts w:cs="Arial"/>
                <w:sz w:val="22"/>
                <w:szCs w:val="22"/>
              </w:rPr>
            </w:pPr>
            <w:r>
              <w:rPr>
                <w:rFonts w:cs="Arial"/>
                <w:sz w:val="22"/>
                <w:szCs w:val="22"/>
              </w:rPr>
              <w:t>MPO/Provozovatelé dobíjecích stanic</w:t>
            </w:r>
          </w:p>
        </w:tc>
      </w:tr>
      <w:tr w:rsidR="00D31F63" w14:paraId="166EFDBD" w14:textId="77777777" w:rsidTr="005A1247">
        <w:tc>
          <w:tcPr>
            <w:tcW w:w="1984" w:type="dxa"/>
            <w:tcBorders>
              <w:top w:val="single" w:sz="4" w:space="0" w:color="auto"/>
              <w:left w:val="single" w:sz="12" w:space="0" w:color="auto"/>
              <w:bottom w:val="single" w:sz="12" w:space="0" w:color="auto"/>
              <w:right w:val="single" w:sz="12" w:space="0" w:color="auto"/>
            </w:tcBorders>
            <w:hideMark/>
          </w:tcPr>
          <w:p w14:paraId="36EEC33D" w14:textId="77777777" w:rsidR="00D31F63" w:rsidRDefault="00D31F63" w:rsidP="005A1247">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00C4BC0D" w14:textId="77777777" w:rsidR="00D31F63" w:rsidRDefault="00D31F63" w:rsidP="005A1247">
            <w:pPr>
              <w:pStyle w:val="Normln10"/>
              <w:spacing w:before="60" w:line="240" w:lineRule="auto"/>
              <w:rPr>
                <w:rFonts w:cs="Arial"/>
                <w:sz w:val="22"/>
                <w:szCs w:val="22"/>
              </w:rPr>
            </w:pPr>
            <w:r>
              <w:rPr>
                <w:rFonts w:cs="Arial"/>
                <w:sz w:val="22"/>
                <w:szCs w:val="22"/>
              </w:rPr>
              <w:t>Mechanismus vydávání ID je funkční</w:t>
            </w:r>
            <w:r>
              <w:rPr>
                <w:rFonts w:cs="Arial"/>
                <w:sz w:val="22"/>
                <w:szCs w:val="22"/>
              </w:rPr>
              <w:tab/>
              <w:t>12/2020</w:t>
            </w:r>
          </w:p>
        </w:tc>
      </w:tr>
    </w:tbl>
    <w:p w14:paraId="3B090C49" w14:textId="77777777" w:rsidR="00D31F63" w:rsidRDefault="00D31F63" w:rsidP="00D31F63">
      <w:pPr>
        <w:jc w:val="both"/>
      </w:pPr>
    </w:p>
    <w:p w14:paraId="4E3DCF91" w14:textId="65291C94" w:rsidR="00D31F63" w:rsidRPr="00D31F63" w:rsidRDefault="00D31F63" w:rsidP="00D31F63">
      <w:r>
        <w:br w:type="page"/>
      </w:r>
    </w:p>
    <w:p w14:paraId="2C6C362E" w14:textId="6F157AFB" w:rsidR="00DD2E8A" w:rsidRDefault="00D31F63" w:rsidP="00D31F63">
      <w:pPr>
        <w:pStyle w:val="Nadpis3"/>
        <w:tabs>
          <w:tab w:val="clear" w:pos="2411"/>
          <w:tab w:val="num" w:pos="1276"/>
        </w:tabs>
        <w:jc w:val="both"/>
      </w:pPr>
      <w:r>
        <w:lastRenderedPageBreak/>
        <w:t xml:space="preserve">E3 </w:t>
      </w:r>
      <w:r w:rsidR="00DD2E8A" w:rsidRPr="00015356">
        <w:t>Specifikace požadavků na elektrotechnickou kvalifikaci pracovníků u</w:t>
      </w:r>
      <w:r w:rsidR="005A1247">
        <w:t> </w:t>
      </w:r>
      <w:r w:rsidR="00DD2E8A" w:rsidRPr="00015356">
        <w:t>elektrických vozidel</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rsidRPr="003A7A2B" w14:paraId="6AAD600E"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cPr>
          <w:p w14:paraId="4E674420" w14:textId="166E354D" w:rsidR="00DD2E8A" w:rsidRPr="003A7A2B" w:rsidRDefault="00D31F63" w:rsidP="005A1247">
            <w:pPr>
              <w:spacing w:before="60" w:after="60"/>
              <w:jc w:val="both"/>
              <w:rPr>
                <w:rFonts w:cs="Arial"/>
                <w:b/>
                <w:color w:val="FFFFFF" w:themeColor="background1"/>
              </w:rPr>
            </w:pPr>
            <w:r>
              <w:rPr>
                <w:rFonts w:cs="Arial"/>
                <w:b/>
                <w:color w:val="FFFFFF" w:themeColor="background1"/>
              </w:rPr>
              <w:t>E3</w:t>
            </w:r>
            <w:r w:rsidR="00DD2E8A" w:rsidRPr="003A7A2B">
              <w:rPr>
                <w:rFonts w:cs="Arial"/>
                <w:b/>
                <w:color w:val="FFFFFF" w:themeColor="background1"/>
              </w:rPr>
              <w:t xml:space="preserve"> Specifikace požadavků na elektrotechnickou kvalifikaci pracovníků u</w:t>
            </w:r>
            <w:r w:rsidR="005A1247">
              <w:rPr>
                <w:rFonts w:cs="Arial"/>
                <w:b/>
                <w:color w:val="FFFFFF" w:themeColor="background1"/>
              </w:rPr>
              <w:t> </w:t>
            </w:r>
            <w:r w:rsidR="00DD2E8A" w:rsidRPr="003A7A2B">
              <w:rPr>
                <w:rFonts w:cs="Arial"/>
                <w:b/>
                <w:color w:val="FFFFFF" w:themeColor="background1"/>
              </w:rPr>
              <w:t>elektrických vozidel</w:t>
            </w:r>
          </w:p>
        </w:tc>
      </w:tr>
      <w:tr w:rsidR="00DD2E8A" w:rsidRPr="003A7A2B" w14:paraId="56942BF0" w14:textId="77777777" w:rsidTr="0054245B">
        <w:tc>
          <w:tcPr>
            <w:tcW w:w="1984" w:type="dxa"/>
            <w:tcBorders>
              <w:top w:val="single" w:sz="12" w:space="0" w:color="auto"/>
              <w:left w:val="single" w:sz="12" w:space="0" w:color="auto"/>
              <w:right w:val="single" w:sz="12" w:space="0" w:color="auto"/>
            </w:tcBorders>
            <w:vAlign w:val="center"/>
          </w:tcPr>
          <w:p w14:paraId="184AF086" w14:textId="77777777" w:rsidR="00DD2E8A" w:rsidRPr="003A7A2B" w:rsidRDefault="00DD2E8A" w:rsidP="0054245B">
            <w:pPr>
              <w:spacing w:before="60" w:after="60"/>
              <w:rPr>
                <w:rFonts w:cs="Arial"/>
                <w:szCs w:val="22"/>
              </w:rPr>
            </w:pPr>
            <w:r w:rsidRPr="003A7A2B">
              <w:rPr>
                <w:rFonts w:cs="Arial"/>
                <w:szCs w:val="22"/>
              </w:rPr>
              <w:t>Návaznost na strategický cíl</w:t>
            </w:r>
          </w:p>
        </w:tc>
        <w:tc>
          <w:tcPr>
            <w:tcW w:w="7087" w:type="dxa"/>
            <w:tcBorders>
              <w:top w:val="single" w:sz="12" w:space="0" w:color="auto"/>
              <w:left w:val="single" w:sz="12" w:space="0" w:color="auto"/>
              <w:right w:val="single" w:sz="12" w:space="0" w:color="auto"/>
            </w:tcBorders>
          </w:tcPr>
          <w:p w14:paraId="0DFA0CB0" w14:textId="77777777" w:rsidR="00DD2E8A" w:rsidRDefault="00DD2E8A" w:rsidP="0054245B">
            <w:pPr>
              <w:pStyle w:val="TableText"/>
              <w:spacing w:before="60" w:after="0" w:line="240" w:lineRule="auto"/>
              <w:jc w:val="both"/>
              <w:rPr>
                <w:rFonts w:cs="Arial"/>
                <w:sz w:val="22"/>
                <w:szCs w:val="22"/>
              </w:rPr>
            </w:pPr>
            <w:r>
              <w:rPr>
                <w:rFonts w:cs="Arial"/>
                <w:sz w:val="22"/>
                <w:szCs w:val="22"/>
              </w:rPr>
              <w:t>Rozvoj trhu elektrických vozidel</w:t>
            </w:r>
            <w:r w:rsidR="003D46EF">
              <w:rPr>
                <w:rFonts w:cs="Arial"/>
                <w:sz w:val="22"/>
                <w:szCs w:val="22"/>
              </w:rPr>
              <w:t xml:space="preserve"> (kap. 2.4.1.)</w:t>
            </w:r>
          </w:p>
          <w:p w14:paraId="4CC584C4" w14:textId="77777777" w:rsidR="00DD2E8A" w:rsidRDefault="00DD2E8A" w:rsidP="0054245B">
            <w:pPr>
              <w:pStyle w:val="TableText"/>
              <w:spacing w:before="60" w:after="0" w:line="240" w:lineRule="auto"/>
              <w:jc w:val="both"/>
              <w:rPr>
                <w:rFonts w:cs="Arial"/>
                <w:sz w:val="22"/>
                <w:szCs w:val="22"/>
              </w:rPr>
            </w:pPr>
            <w:r>
              <w:rPr>
                <w:rFonts w:cs="Arial"/>
                <w:sz w:val="22"/>
                <w:szCs w:val="22"/>
              </w:rPr>
              <w:t>Rozvoj infrastruktury dobíjecích stanic</w:t>
            </w:r>
            <w:r w:rsidR="003D46EF">
              <w:rPr>
                <w:rFonts w:cs="Arial"/>
                <w:sz w:val="22"/>
                <w:szCs w:val="22"/>
              </w:rPr>
              <w:t xml:space="preserve"> (kap. 2.4.2.)</w:t>
            </w:r>
          </w:p>
          <w:p w14:paraId="50834252" w14:textId="77777777" w:rsidR="00DD2E8A" w:rsidRPr="003A7A2B" w:rsidRDefault="00DD2E8A" w:rsidP="0054245B">
            <w:pPr>
              <w:pStyle w:val="TableText"/>
              <w:spacing w:before="60" w:after="0" w:line="240" w:lineRule="auto"/>
              <w:jc w:val="both"/>
              <w:rPr>
                <w:rFonts w:cs="Arial"/>
                <w:sz w:val="22"/>
                <w:szCs w:val="22"/>
              </w:rPr>
            </w:pPr>
            <w:r>
              <w:rPr>
                <w:rFonts w:cs="Arial"/>
                <w:sz w:val="22"/>
                <w:szCs w:val="22"/>
              </w:rPr>
              <w:t>Zajištění stabilního regulatorního rámce pro rozvoj elektromobility</w:t>
            </w:r>
            <w:r w:rsidR="003D46EF">
              <w:rPr>
                <w:rFonts w:cs="Arial"/>
                <w:sz w:val="22"/>
                <w:szCs w:val="22"/>
              </w:rPr>
              <w:t xml:space="preserve"> (kap. 2.4.3.)</w:t>
            </w:r>
          </w:p>
        </w:tc>
      </w:tr>
      <w:tr w:rsidR="00DD2E8A" w:rsidRPr="003A7A2B" w14:paraId="2BDA6E7A" w14:textId="77777777" w:rsidTr="0054245B">
        <w:tc>
          <w:tcPr>
            <w:tcW w:w="1984" w:type="dxa"/>
            <w:tcBorders>
              <w:top w:val="single" w:sz="4" w:space="0" w:color="auto"/>
              <w:left w:val="single" w:sz="12" w:space="0" w:color="auto"/>
              <w:right w:val="single" w:sz="12" w:space="0" w:color="auto"/>
            </w:tcBorders>
            <w:vAlign w:val="center"/>
          </w:tcPr>
          <w:p w14:paraId="0D668276" w14:textId="77777777" w:rsidR="00DD2E8A" w:rsidRPr="003A7A2B" w:rsidRDefault="00DD2E8A" w:rsidP="0054245B">
            <w:pPr>
              <w:spacing w:before="60" w:after="60"/>
              <w:rPr>
                <w:rFonts w:cs="Arial"/>
                <w:szCs w:val="22"/>
              </w:rPr>
            </w:pPr>
            <w:r w:rsidRPr="003A7A2B">
              <w:rPr>
                <w:rFonts w:cs="Arial"/>
                <w:szCs w:val="22"/>
              </w:rPr>
              <w:t>Cíl opatření</w:t>
            </w:r>
          </w:p>
        </w:tc>
        <w:tc>
          <w:tcPr>
            <w:tcW w:w="7087" w:type="dxa"/>
            <w:tcBorders>
              <w:top w:val="single" w:sz="4" w:space="0" w:color="auto"/>
              <w:left w:val="single" w:sz="12" w:space="0" w:color="auto"/>
              <w:right w:val="single" w:sz="12" w:space="0" w:color="auto"/>
            </w:tcBorders>
          </w:tcPr>
          <w:p w14:paraId="30A7AE67" w14:textId="12C7DAC0" w:rsidR="00DD2E8A" w:rsidRPr="003A7A2B" w:rsidRDefault="00DD2E8A" w:rsidP="005A1247">
            <w:pPr>
              <w:pStyle w:val="TableText"/>
              <w:spacing w:before="60" w:after="0" w:line="240" w:lineRule="auto"/>
              <w:jc w:val="both"/>
              <w:rPr>
                <w:rFonts w:cs="Arial"/>
                <w:sz w:val="22"/>
                <w:szCs w:val="22"/>
              </w:rPr>
            </w:pPr>
            <w:r w:rsidRPr="003A7A2B">
              <w:rPr>
                <w:rFonts w:cs="Arial"/>
                <w:sz w:val="22"/>
                <w:szCs w:val="22"/>
              </w:rPr>
              <w:t>Cílem opatření je specifikovat a</w:t>
            </w:r>
            <w:r w:rsidR="005A1247">
              <w:rPr>
                <w:rFonts w:cs="Arial"/>
                <w:sz w:val="22"/>
                <w:szCs w:val="22"/>
              </w:rPr>
              <w:t> </w:t>
            </w:r>
            <w:r w:rsidRPr="003A7A2B">
              <w:rPr>
                <w:rFonts w:cs="Arial"/>
                <w:sz w:val="22"/>
                <w:szCs w:val="22"/>
              </w:rPr>
              <w:t xml:space="preserve">přesně definovat činnosti, které by mohl vykonávat pracovník na elektrickém vozidle bez nutnosti elektrotechnické kvalifikace. </w:t>
            </w:r>
          </w:p>
        </w:tc>
      </w:tr>
      <w:tr w:rsidR="00DD2E8A" w:rsidRPr="003A7A2B" w14:paraId="30A622F2" w14:textId="77777777" w:rsidTr="0054245B">
        <w:tc>
          <w:tcPr>
            <w:tcW w:w="1984" w:type="dxa"/>
            <w:tcBorders>
              <w:left w:val="single" w:sz="12" w:space="0" w:color="auto"/>
              <w:right w:val="single" w:sz="12" w:space="0" w:color="auto"/>
            </w:tcBorders>
            <w:vAlign w:val="center"/>
          </w:tcPr>
          <w:p w14:paraId="75CCF59D" w14:textId="77777777" w:rsidR="00DD2E8A" w:rsidRPr="003A7A2B" w:rsidRDefault="00DD2E8A" w:rsidP="0054245B">
            <w:pPr>
              <w:spacing w:before="60" w:after="60"/>
              <w:rPr>
                <w:rFonts w:cs="Arial"/>
                <w:szCs w:val="22"/>
              </w:rPr>
            </w:pPr>
            <w:r w:rsidRPr="003A7A2B">
              <w:rPr>
                <w:rFonts w:cs="Arial"/>
                <w:szCs w:val="22"/>
              </w:rPr>
              <w:t>Popis opatření</w:t>
            </w:r>
          </w:p>
        </w:tc>
        <w:tc>
          <w:tcPr>
            <w:tcW w:w="7087" w:type="dxa"/>
            <w:tcBorders>
              <w:left w:val="single" w:sz="12" w:space="0" w:color="auto"/>
              <w:right w:val="single" w:sz="12" w:space="0" w:color="auto"/>
            </w:tcBorders>
          </w:tcPr>
          <w:p w14:paraId="52F78A2F" w14:textId="14AD6294" w:rsidR="00DD2E8A" w:rsidRPr="00364B01" w:rsidRDefault="00DD2E8A" w:rsidP="0054245B">
            <w:pPr>
              <w:autoSpaceDE w:val="0"/>
              <w:autoSpaceDN w:val="0"/>
              <w:adjustRightInd w:val="0"/>
              <w:spacing w:before="0" w:after="0"/>
              <w:jc w:val="both"/>
              <w:rPr>
                <w:rFonts w:eastAsia="MS Mincho" w:cs="Arial"/>
                <w:szCs w:val="22"/>
                <w:lang w:eastAsia="en-US"/>
              </w:rPr>
            </w:pPr>
            <w:r w:rsidRPr="00364B01">
              <w:rPr>
                <w:rFonts w:eastAsia="MS Mincho" w:cs="Arial"/>
                <w:szCs w:val="22"/>
                <w:lang w:eastAsia="en-US"/>
              </w:rPr>
              <w:t>Cílem opatření je specifikovat a</w:t>
            </w:r>
            <w:r w:rsidR="005A1247">
              <w:rPr>
                <w:rFonts w:eastAsia="MS Mincho" w:cs="Arial"/>
                <w:szCs w:val="22"/>
                <w:lang w:eastAsia="en-US"/>
              </w:rPr>
              <w:t> </w:t>
            </w:r>
            <w:r w:rsidRPr="00364B01">
              <w:rPr>
                <w:rFonts w:eastAsia="MS Mincho" w:cs="Arial"/>
                <w:szCs w:val="22"/>
                <w:lang w:eastAsia="en-US"/>
              </w:rPr>
              <w:t>přesně definovat činnosti, které by mohl vykonávat</w:t>
            </w:r>
            <w:r>
              <w:rPr>
                <w:rFonts w:eastAsia="MS Mincho" w:cs="Arial"/>
                <w:szCs w:val="22"/>
                <w:lang w:eastAsia="en-US"/>
              </w:rPr>
              <w:t xml:space="preserve"> </w:t>
            </w:r>
            <w:r w:rsidRPr="00364B01">
              <w:rPr>
                <w:rFonts w:eastAsia="MS Mincho" w:cs="Arial"/>
                <w:szCs w:val="22"/>
                <w:lang w:eastAsia="en-US"/>
              </w:rPr>
              <w:t>pracovník na elektrickém vozidle bez nutnosti elektrotechnické kvalifikace.</w:t>
            </w:r>
          </w:p>
          <w:p w14:paraId="7D7D1A8B" w14:textId="2F650581" w:rsidR="00DD2E8A" w:rsidRPr="00E115CD" w:rsidRDefault="00DD2E8A" w:rsidP="0054245B">
            <w:pPr>
              <w:pStyle w:val="Bullet1"/>
              <w:spacing w:before="0" w:after="0"/>
              <w:jc w:val="both"/>
              <w:rPr>
                <w:rFonts w:eastAsia="MS Mincho"/>
              </w:rPr>
            </w:pPr>
            <w:r w:rsidRPr="00E115CD">
              <w:rPr>
                <w:rFonts w:eastAsia="MS Mincho"/>
              </w:rPr>
              <w:t>Vyhláška č. 50/1978 Sb. o</w:t>
            </w:r>
            <w:r w:rsidR="005A1247">
              <w:rPr>
                <w:rFonts w:eastAsia="MS Mincho"/>
              </w:rPr>
              <w:t> </w:t>
            </w:r>
            <w:r w:rsidRPr="00E115CD">
              <w:rPr>
                <w:rFonts w:eastAsia="MS Mincho"/>
              </w:rPr>
              <w:t>odborné způsobilosti v</w:t>
            </w:r>
            <w:r w:rsidR="005A1247">
              <w:rPr>
                <w:rFonts w:eastAsia="MS Mincho"/>
              </w:rPr>
              <w:t> </w:t>
            </w:r>
            <w:r w:rsidRPr="00E115CD">
              <w:rPr>
                <w:rFonts w:eastAsia="MS Mincho"/>
              </w:rPr>
              <w:t>elektrotechnice v</w:t>
            </w:r>
            <w:r w:rsidR="005A1247">
              <w:rPr>
                <w:rFonts w:eastAsia="MS Mincho"/>
              </w:rPr>
              <w:t> </w:t>
            </w:r>
            <w:r w:rsidRPr="00E115CD">
              <w:rPr>
                <w:rFonts w:eastAsia="MS Mincho"/>
              </w:rPr>
              <w:t>současné podobě stanoví všem pracovníkům vykonávajícím samostatně činnosti na zařízení s</w:t>
            </w:r>
            <w:r w:rsidR="005A1247">
              <w:rPr>
                <w:rFonts w:eastAsia="MS Mincho"/>
              </w:rPr>
              <w:t> </w:t>
            </w:r>
            <w:r w:rsidRPr="00E115CD">
              <w:rPr>
                <w:rFonts w:eastAsia="MS Mincho"/>
              </w:rPr>
              <w:t>napětím vyšším než bezpečným</w:t>
            </w:r>
            <w:r>
              <w:rPr>
                <w:rFonts w:eastAsia="MS Mincho"/>
              </w:rPr>
              <w:t>,</w:t>
            </w:r>
            <w:r w:rsidRPr="00E115CD">
              <w:rPr>
                <w:rFonts w:eastAsia="MS Mincho"/>
              </w:rPr>
              <w:t xml:space="preserve"> povinnost </w:t>
            </w:r>
            <w:r>
              <w:rPr>
                <w:rFonts w:eastAsia="MS Mincho"/>
              </w:rPr>
              <w:t>e</w:t>
            </w:r>
            <w:r w:rsidRPr="00E115CD">
              <w:rPr>
                <w:rFonts w:eastAsia="MS Mincho"/>
              </w:rPr>
              <w:t>lektrotechnické kvalifikace podle příslušného paragrafu této vyhlášky.</w:t>
            </w:r>
          </w:p>
          <w:p w14:paraId="43702ECC" w14:textId="4DB701BA" w:rsidR="00DD2E8A" w:rsidRPr="00E115CD" w:rsidRDefault="00DD2E8A" w:rsidP="0054245B">
            <w:pPr>
              <w:pStyle w:val="Bullet1"/>
              <w:spacing w:before="0" w:after="0"/>
              <w:jc w:val="both"/>
              <w:rPr>
                <w:rFonts w:eastAsia="MS Mincho"/>
              </w:rPr>
            </w:pPr>
            <w:r w:rsidRPr="00E115CD">
              <w:rPr>
                <w:rFonts w:eastAsia="MS Mincho"/>
              </w:rPr>
              <w:t>V rámci nového Nařízení vlády, které nahradí vyhlášku č.</w:t>
            </w:r>
            <w:r>
              <w:rPr>
                <w:rFonts w:eastAsia="MS Mincho"/>
              </w:rPr>
              <w:t> </w:t>
            </w:r>
            <w:r w:rsidRPr="00E115CD">
              <w:rPr>
                <w:rFonts w:eastAsia="MS Mincho"/>
              </w:rPr>
              <w:t>50/1978 Sb., by se měly specifikovat činnosti, k</w:t>
            </w:r>
            <w:r w:rsidR="005A1247">
              <w:rPr>
                <w:rFonts w:eastAsia="MS Mincho"/>
              </w:rPr>
              <w:t> </w:t>
            </w:r>
            <w:r w:rsidRPr="00E115CD">
              <w:rPr>
                <w:rFonts w:eastAsia="MS Mincho"/>
              </w:rPr>
              <w:t>jejichž výkonu by mělo příslušnému pracovníkovi stačit školení a</w:t>
            </w:r>
            <w:r w:rsidR="005A1247">
              <w:rPr>
                <w:rFonts w:eastAsia="MS Mincho"/>
              </w:rPr>
              <w:t> </w:t>
            </w:r>
            <w:r w:rsidRPr="00E115CD">
              <w:rPr>
                <w:rFonts w:eastAsia="MS Mincho"/>
              </w:rPr>
              <w:t xml:space="preserve">následné přezkoušení. </w:t>
            </w:r>
            <w:r>
              <w:rPr>
                <w:rFonts w:eastAsia="MS Mincho"/>
              </w:rPr>
              <w:t xml:space="preserve">Kvalifikační požadavek by měl odpovídat § 4 (pracovníci poučení). </w:t>
            </w:r>
            <w:r w:rsidRPr="00E115CD">
              <w:rPr>
                <w:rFonts w:eastAsia="MS Mincho"/>
              </w:rPr>
              <w:t>Rozsah činností se navrhuje vymezit následovně:</w:t>
            </w:r>
          </w:p>
          <w:p w14:paraId="41C01BF4" w14:textId="662070EA" w:rsidR="00DD2E8A" w:rsidRPr="00E115CD" w:rsidRDefault="00DD2E8A" w:rsidP="0054245B">
            <w:pPr>
              <w:pStyle w:val="Odstavecseseznamem"/>
              <w:numPr>
                <w:ilvl w:val="0"/>
                <w:numId w:val="57"/>
              </w:numPr>
              <w:autoSpaceDE w:val="0"/>
              <w:autoSpaceDN w:val="0"/>
              <w:adjustRightInd w:val="0"/>
              <w:spacing w:before="0"/>
              <w:jc w:val="both"/>
              <w:rPr>
                <w:rFonts w:ascii="Arial" w:eastAsia="MS Mincho" w:hAnsi="Arial" w:cs="Arial"/>
                <w:sz w:val="22"/>
                <w:szCs w:val="22"/>
              </w:rPr>
            </w:pPr>
            <w:r>
              <w:rPr>
                <w:rFonts w:ascii="Arial" w:eastAsia="MS Mincho" w:hAnsi="Arial" w:cs="Arial"/>
                <w:sz w:val="22"/>
                <w:szCs w:val="22"/>
              </w:rPr>
              <w:t>o</w:t>
            </w:r>
            <w:r w:rsidRPr="00E115CD">
              <w:rPr>
                <w:rFonts w:ascii="Arial" w:eastAsia="MS Mincho" w:hAnsi="Arial" w:cs="Arial"/>
                <w:sz w:val="22"/>
                <w:szCs w:val="22"/>
              </w:rPr>
              <w:t>dpojení elektrického vozidla od trakční baterie a</w:t>
            </w:r>
            <w:r w:rsidR="005A1247">
              <w:rPr>
                <w:rFonts w:ascii="Arial" w:eastAsia="MS Mincho" w:hAnsi="Arial" w:cs="Arial"/>
                <w:sz w:val="22"/>
                <w:szCs w:val="22"/>
              </w:rPr>
              <w:t> </w:t>
            </w:r>
            <w:r w:rsidRPr="00E115CD">
              <w:rPr>
                <w:rFonts w:ascii="Arial" w:eastAsia="MS Mincho" w:hAnsi="Arial" w:cs="Arial"/>
                <w:sz w:val="22"/>
                <w:szCs w:val="22"/>
              </w:rPr>
              <w:t>zajištění elektrické bezpečnosti pro následné mechanické práce,</w:t>
            </w:r>
          </w:p>
          <w:p w14:paraId="01FD434D" w14:textId="77777777" w:rsidR="00DD2E8A" w:rsidRPr="00E115CD" w:rsidRDefault="00DD2E8A" w:rsidP="0054245B">
            <w:pPr>
              <w:pStyle w:val="Odstavecseseznamem"/>
              <w:numPr>
                <w:ilvl w:val="0"/>
                <w:numId w:val="57"/>
              </w:numPr>
              <w:autoSpaceDE w:val="0"/>
              <w:autoSpaceDN w:val="0"/>
              <w:adjustRightInd w:val="0"/>
              <w:spacing w:before="0"/>
              <w:jc w:val="both"/>
              <w:rPr>
                <w:rFonts w:ascii="Arial" w:eastAsia="MS Mincho" w:hAnsi="Arial" w:cs="Arial"/>
                <w:sz w:val="22"/>
                <w:szCs w:val="22"/>
              </w:rPr>
            </w:pPr>
            <w:r>
              <w:rPr>
                <w:rFonts w:ascii="Arial" w:eastAsia="MS Mincho" w:hAnsi="Arial" w:cs="Arial"/>
                <w:sz w:val="22"/>
                <w:szCs w:val="22"/>
              </w:rPr>
              <w:t>o</w:t>
            </w:r>
            <w:r w:rsidRPr="00E115CD">
              <w:rPr>
                <w:rFonts w:ascii="Arial" w:eastAsia="MS Mincho" w:hAnsi="Arial" w:cs="Arial"/>
                <w:sz w:val="22"/>
                <w:szCs w:val="22"/>
              </w:rPr>
              <w:t>věření beznapěťového stavu vozidla</w:t>
            </w:r>
            <w:r>
              <w:rPr>
                <w:rFonts w:ascii="Arial" w:eastAsia="MS Mincho" w:hAnsi="Arial" w:cs="Arial"/>
                <w:sz w:val="22"/>
                <w:szCs w:val="22"/>
              </w:rPr>
              <w:t>,</w:t>
            </w:r>
            <w:r w:rsidRPr="00E115CD">
              <w:rPr>
                <w:rFonts w:ascii="Arial" w:eastAsia="MS Mincho" w:hAnsi="Arial" w:cs="Arial"/>
                <w:sz w:val="22"/>
                <w:szCs w:val="22"/>
              </w:rPr>
              <w:t xml:space="preserve"> </w:t>
            </w:r>
          </w:p>
          <w:p w14:paraId="6C0B8469" w14:textId="4E2DE94A" w:rsidR="00DD2E8A" w:rsidRPr="00E115CD" w:rsidRDefault="00DD2E8A" w:rsidP="0054245B">
            <w:pPr>
              <w:pStyle w:val="Odstavecseseznamem"/>
              <w:numPr>
                <w:ilvl w:val="0"/>
                <w:numId w:val="57"/>
              </w:numPr>
              <w:autoSpaceDE w:val="0"/>
              <w:autoSpaceDN w:val="0"/>
              <w:adjustRightInd w:val="0"/>
              <w:spacing w:before="0"/>
              <w:jc w:val="both"/>
              <w:rPr>
                <w:rFonts w:ascii="Arial" w:eastAsia="MS Mincho" w:hAnsi="Arial" w:cs="Arial"/>
                <w:sz w:val="22"/>
                <w:szCs w:val="22"/>
              </w:rPr>
            </w:pPr>
            <w:r>
              <w:rPr>
                <w:rFonts w:ascii="Arial" w:eastAsia="MS Mincho" w:hAnsi="Arial" w:cs="Arial"/>
                <w:sz w:val="22"/>
                <w:szCs w:val="22"/>
              </w:rPr>
              <w:t>opětovné připojení</w:t>
            </w:r>
            <w:r w:rsidRPr="00E115CD">
              <w:rPr>
                <w:rFonts w:ascii="Arial" w:eastAsia="MS Mincho" w:hAnsi="Arial" w:cs="Arial"/>
                <w:sz w:val="22"/>
                <w:szCs w:val="22"/>
              </w:rPr>
              <w:t xml:space="preserve"> elektrického vozidla a</w:t>
            </w:r>
            <w:r w:rsidR="005A1247">
              <w:rPr>
                <w:rFonts w:ascii="Arial" w:eastAsia="MS Mincho" w:hAnsi="Arial" w:cs="Arial"/>
                <w:sz w:val="22"/>
                <w:szCs w:val="22"/>
              </w:rPr>
              <w:t> </w:t>
            </w:r>
            <w:r w:rsidRPr="00E115CD">
              <w:rPr>
                <w:rFonts w:ascii="Arial" w:eastAsia="MS Mincho" w:hAnsi="Arial" w:cs="Arial"/>
                <w:sz w:val="22"/>
                <w:szCs w:val="22"/>
              </w:rPr>
              <w:t>zajištění elektrické bezpečnosti</w:t>
            </w:r>
            <w:r>
              <w:rPr>
                <w:rFonts w:ascii="Arial" w:eastAsia="MS Mincho" w:hAnsi="Arial" w:cs="Arial"/>
                <w:sz w:val="22"/>
                <w:szCs w:val="22"/>
              </w:rPr>
              <w:t>,</w:t>
            </w:r>
          </w:p>
          <w:p w14:paraId="10E3AD21" w14:textId="20717606" w:rsidR="00DD2E8A" w:rsidRDefault="00DD2E8A" w:rsidP="0054245B">
            <w:pPr>
              <w:pStyle w:val="TableText"/>
              <w:numPr>
                <w:ilvl w:val="0"/>
                <w:numId w:val="57"/>
              </w:numPr>
              <w:spacing w:before="0" w:after="0" w:line="240" w:lineRule="auto"/>
              <w:ind w:left="714" w:hanging="357"/>
              <w:jc w:val="both"/>
              <w:rPr>
                <w:rFonts w:cs="Arial"/>
                <w:sz w:val="22"/>
                <w:szCs w:val="22"/>
              </w:rPr>
            </w:pPr>
            <w:r>
              <w:rPr>
                <w:rFonts w:cs="Arial"/>
                <w:sz w:val="22"/>
                <w:szCs w:val="22"/>
              </w:rPr>
              <w:t>v</w:t>
            </w:r>
            <w:r w:rsidRPr="00E115CD">
              <w:rPr>
                <w:rFonts w:cs="Arial"/>
                <w:sz w:val="22"/>
                <w:szCs w:val="22"/>
              </w:rPr>
              <w:t>ystavení protokolu o</w:t>
            </w:r>
            <w:r w:rsidR="005A1247">
              <w:rPr>
                <w:rFonts w:cs="Arial"/>
                <w:sz w:val="22"/>
                <w:szCs w:val="22"/>
              </w:rPr>
              <w:t> </w:t>
            </w:r>
            <w:r w:rsidRPr="00E115CD">
              <w:rPr>
                <w:rFonts w:cs="Arial"/>
                <w:sz w:val="22"/>
                <w:szCs w:val="22"/>
              </w:rPr>
              <w:t>elektrickém zprovoznění vozu</w:t>
            </w:r>
            <w:r>
              <w:rPr>
                <w:rFonts w:cs="Arial"/>
                <w:sz w:val="22"/>
                <w:szCs w:val="22"/>
              </w:rPr>
              <w:t>.</w:t>
            </w:r>
          </w:p>
          <w:p w14:paraId="097594A5" w14:textId="66599876" w:rsidR="00DD2E8A" w:rsidRDefault="00DD2E8A" w:rsidP="0054245B">
            <w:pPr>
              <w:pStyle w:val="Bullet1"/>
              <w:spacing w:before="0" w:after="0"/>
              <w:jc w:val="both"/>
            </w:pPr>
            <w:r>
              <w:t xml:space="preserve">Do nového </w:t>
            </w:r>
            <w:r w:rsidRPr="00E115CD">
              <w:t>Nařízení vl</w:t>
            </w:r>
            <w:r>
              <w:t>ády by měla být nově začleněna i</w:t>
            </w:r>
            <w:r w:rsidR="005A1247">
              <w:t> </w:t>
            </w:r>
            <w:r>
              <w:t>možnost nahrazení kompletního elektrotechnického vzdělání,</w:t>
            </w:r>
            <w:r w:rsidRPr="00436F14">
              <w:t xml:space="preserve"> pojmem profesní kvalifikace získané podle </w:t>
            </w:r>
            <w:r w:rsidRPr="006B0145">
              <w:t xml:space="preserve">zákona </w:t>
            </w:r>
            <w:r w:rsidRPr="00436F14">
              <w:t>č. 179/2006 Sb., o</w:t>
            </w:r>
            <w:r w:rsidR="005A1247">
              <w:t> </w:t>
            </w:r>
            <w:r w:rsidRPr="00436F14">
              <w:t>uznáv</w:t>
            </w:r>
            <w:r>
              <w:t>ání výsledků dalšího vzdělávání.</w:t>
            </w:r>
          </w:p>
          <w:p w14:paraId="7ED4469E" w14:textId="0B41D6FE" w:rsidR="00DD2E8A" w:rsidRPr="003A7A2B" w:rsidRDefault="00DD2E8A" w:rsidP="005A1247">
            <w:pPr>
              <w:pStyle w:val="Bullet1"/>
              <w:spacing w:before="0" w:after="0"/>
              <w:jc w:val="both"/>
            </w:pPr>
            <w:r>
              <w:t>Vytvořit p</w:t>
            </w:r>
            <w:r w:rsidRPr="006B0145">
              <w:t>rofesní kvalifikaci Mechanik silničních vozidel s</w:t>
            </w:r>
            <w:r w:rsidR="005A1247">
              <w:t> </w:t>
            </w:r>
            <w:r w:rsidRPr="006B0145">
              <w:t>elektrickým a</w:t>
            </w:r>
            <w:r w:rsidR="005A1247">
              <w:t> </w:t>
            </w:r>
            <w:r w:rsidRPr="006B0145">
              <w:t>hybridním pohonem a</w:t>
            </w:r>
            <w:r w:rsidR="005A1247">
              <w:t> </w:t>
            </w:r>
            <w:r w:rsidRPr="006B0145">
              <w:t>začlenit ji do systému Národní soustavy kvalifikací.</w:t>
            </w:r>
          </w:p>
        </w:tc>
      </w:tr>
      <w:tr w:rsidR="00DD2E8A" w:rsidRPr="003A7A2B" w14:paraId="3867335F" w14:textId="77777777" w:rsidTr="0054245B">
        <w:tc>
          <w:tcPr>
            <w:tcW w:w="1984" w:type="dxa"/>
            <w:tcBorders>
              <w:left w:val="single" w:sz="12" w:space="0" w:color="auto"/>
              <w:right w:val="single" w:sz="12" w:space="0" w:color="auto"/>
            </w:tcBorders>
            <w:vAlign w:val="center"/>
          </w:tcPr>
          <w:p w14:paraId="70976804" w14:textId="2243E887" w:rsidR="00DD2E8A" w:rsidRPr="003A7A2B" w:rsidRDefault="00DD2E8A" w:rsidP="005A1247">
            <w:pPr>
              <w:spacing w:before="20" w:after="20"/>
              <w:rPr>
                <w:rFonts w:cs="Arial"/>
                <w:szCs w:val="22"/>
              </w:rPr>
            </w:pPr>
            <w:r w:rsidRPr="003A7A2B">
              <w:rPr>
                <w:rFonts w:cs="Arial"/>
                <w:szCs w:val="22"/>
              </w:rPr>
              <w:t>Využití opatření v</w:t>
            </w:r>
            <w:r w:rsidR="005A1247">
              <w:rPr>
                <w:rFonts w:cs="Arial"/>
                <w:szCs w:val="22"/>
              </w:rPr>
              <w:t> </w:t>
            </w:r>
            <w:r w:rsidRPr="003A7A2B">
              <w:rPr>
                <w:rFonts w:cs="Arial"/>
                <w:szCs w:val="22"/>
              </w:rPr>
              <w:t>Evropě/ ve světě</w:t>
            </w:r>
          </w:p>
        </w:tc>
        <w:tc>
          <w:tcPr>
            <w:tcW w:w="7087" w:type="dxa"/>
            <w:tcBorders>
              <w:left w:val="single" w:sz="12" w:space="0" w:color="auto"/>
              <w:right w:val="single" w:sz="12" w:space="0" w:color="auto"/>
            </w:tcBorders>
          </w:tcPr>
          <w:p w14:paraId="7B7E53F1" w14:textId="5F2F26C9" w:rsidR="00DD2E8A" w:rsidRPr="003A7A2B" w:rsidRDefault="00DD2E8A" w:rsidP="005A1247">
            <w:pPr>
              <w:pStyle w:val="TableText"/>
              <w:spacing w:before="60" w:after="0" w:line="240" w:lineRule="auto"/>
              <w:jc w:val="both"/>
              <w:rPr>
                <w:rFonts w:cs="Arial"/>
                <w:sz w:val="22"/>
                <w:szCs w:val="22"/>
              </w:rPr>
            </w:pPr>
            <w:r w:rsidRPr="003A7A2B">
              <w:rPr>
                <w:rFonts w:cs="Arial"/>
                <w:sz w:val="22"/>
                <w:szCs w:val="22"/>
              </w:rPr>
              <w:t>Německo - Rozlišování potřebných kvalifikací do 3 úrovní - nepracující s</w:t>
            </w:r>
            <w:r w:rsidR="005A1247">
              <w:rPr>
                <w:rFonts w:cs="Arial"/>
                <w:sz w:val="22"/>
                <w:szCs w:val="22"/>
              </w:rPr>
              <w:t> </w:t>
            </w:r>
            <w:r w:rsidRPr="003A7A2B">
              <w:rPr>
                <w:rFonts w:cs="Arial"/>
                <w:sz w:val="22"/>
                <w:szCs w:val="22"/>
              </w:rPr>
              <w:t>elektrotechnikou - pracující s</w:t>
            </w:r>
            <w:r w:rsidR="005A1247">
              <w:rPr>
                <w:rFonts w:cs="Arial"/>
                <w:sz w:val="22"/>
                <w:szCs w:val="22"/>
              </w:rPr>
              <w:t> </w:t>
            </w:r>
            <w:r w:rsidRPr="003A7A2B">
              <w:rPr>
                <w:rFonts w:cs="Arial"/>
                <w:sz w:val="22"/>
                <w:szCs w:val="22"/>
              </w:rPr>
              <w:t>elektrotechnikou bez napětí - pracující</w:t>
            </w:r>
            <w:r>
              <w:rPr>
                <w:rFonts w:cs="Arial"/>
                <w:sz w:val="22"/>
                <w:szCs w:val="22"/>
              </w:rPr>
              <w:t xml:space="preserve"> s</w:t>
            </w:r>
            <w:r w:rsidR="005A1247">
              <w:rPr>
                <w:rFonts w:cs="Arial"/>
                <w:sz w:val="22"/>
                <w:szCs w:val="22"/>
              </w:rPr>
              <w:t> </w:t>
            </w:r>
            <w:r>
              <w:rPr>
                <w:rFonts w:cs="Arial"/>
                <w:sz w:val="22"/>
                <w:szCs w:val="22"/>
              </w:rPr>
              <w:t>elektrotechnikou pod napětím, …</w:t>
            </w:r>
            <w:r w:rsidRPr="003A7A2B">
              <w:rPr>
                <w:rFonts w:cs="Arial"/>
                <w:sz w:val="22"/>
                <w:szCs w:val="22"/>
              </w:rPr>
              <w:t xml:space="preserve">  </w:t>
            </w:r>
          </w:p>
        </w:tc>
      </w:tr>
      <w:tr w:rsidR="00DD2E8A" w:rsidRPr="003A7A2B" w14:paraId="4B7639EF" w14:textId="77777777" w:rsidTr="0054245B">
        <w:tc>
          <w:tcPr>
            <w:tcW w:w="1984" w:type="dxa"/>
            <w:tcBorders>
              <w:left w:val="single" w:sz="12" w:space="0" w:color="auto"/>
              <w:right w:val="single" w:sz="12" w:space="0" w:color="auto"/>
            </w:tcBorders>
            <w:vAlign w:val="center"/>
          </w:tcPr>
          <w:p w14:paraId="6A2A8FDD" w14:textId="77777777" w:rsidR="00DD2E8A" w:rsidRPr="003A7A2B" w:rsidRDefault="00DD2E8A" w:rsidP="0054245B">
            <w:pPr>
              <w:spacing w:before="20" w:after="20"/>
              <w:rPr>
                <w:rFonts w:cs="Arial"/>
                <w:szCs w:val="22"/>
              </w:rPr>
            </w:pPr>
            <w:r w:rsidRPr="003A7A2B">
              <w:rPr>
                <w:rFonts w:cs="Arial"/>
                <w:szCs w:val="22"/>
              </w:rPr>
              <w:t>Rozpočtový dopad / financování</w:t>
            </w:r>
            <w:r w:rsidRPr="003A7A2B">
              <w:rPr>
                <w:rFonts w:cs="Arial"/>
                <w:szCs w:val="22"/>
              </w:rPr>
              <w:tab/>
              <w:t xml:space="preserve"> </w:t>
            </w:r>
          </w:p>
        </w:tc>
        <w:tc>
          <w:tcPr>
            <w:tcW w:w="7087" w:type="dxa"/>
            <w:tcBorders>
              <w:left w:val="single" w:sz="12" w:space="0" w:color="auto"/>
              <w:right w:val="single" w:sz="12" w:space="0" w:color="auto"/>
            </w:tcBorders>
          </w:tcPr>
          <w:p w14:paraId="7DDDEEA4" w14:textId="77777777" w:rsidR="00DD2E8A" w:rsidRPr="003A7A2B" w:rsidRDefault="00DD2E8A" w:rsidP="0054245B">
            <w:pPr>
              <w:pStyle w:val="Zpat"/>
              <w:spacing w:before="60" w:after="0"/>
              <w:jc w:val="both"/>
              <w:rPr>
                <w:rFonts w:cs="Arial"/>
                <w:szCs w:val="22"/>
              </w:rPr>
            </w:pPr>
            <w:r w:rsidRPr="003A7A2B">
              <w:rPr>
                <w:rFonts w:cs="Arial"/>
                <w:szCs w:val="22"/>
              </w:rPr>
              <w:t>Bez přímých rozpočtových dopadů.</w:t>
            </w:r>
          </w:p>
          <w:p w14:paraId="46191638" w14:textId="77777777" w:rsidR="00DD2E8A" w:rsidRPr="003A7A2B" w:rsidRDefault="00DD2E8A" w:rsidP="0054245B">
            <w:pPr>
              <w:pStyle w:val="Zpat"/>
              <w:spacing w:before="60" w:after="0"/>
              <w:jc w:val="both"/>
              <w:rPr>
                <w:rFonts w:cs="Arial"/>
                <w:szCs w:val="22"/>
              </w:rPr>
            </w:pPr>
            <w:r w:rsidRPr="003A7A2B">
              <w:rPr>
                <w:rFonts w:cs="Arial"/>
                <w:szCs w:val="22"/>
              </w:rPr>
              <w:t xml:space="preserve">Snížení nákladů provozovatelům autoservisů. </w:t>
            </w:r>
          </w:p>
        </w:tc>
      </w:tr>
      <w:tr w:rsidR="00DD2E8A" w:rsidRPr="003A7A2B" w14:paraId="1A4CBA70" w14:textId="77777777" w:rsidTr="0054245B">
        <w:tc>
          <w:tcPr>
            <w:tcW w:w="1984" w:type="dxa"/>
            <w:tcBorders>
              <w:top w:val="single" w:sz="8" w:space="0" w:color="auto"/>
              <w:left w:val="single" w:sz="12" w:space="0" w:color="auto"/>
              <w:bottom w:val="single" w:sz="8" w:space="0" w:color="auto"/>
              <w:right w:val="single" w:sz="12" w:space="0" w:color="auto"/>
            </w:tcBorders>
            <w:vAlign w:val="center"/>
          </w:tcPr>
          <w:p w14:paraId="11996CA1" w14:textId="77777777" w:rsidR="00DD2E8A" w:rsidRPr="003A7A2B" w:rsidRDefault="00DD2E8A" w:rsidP="0054245B">
            <w:pPr>
              <w:spacing w:before="20" w:after="20"/>
              <w:rPr>
                <w:rFonts w:cs="Arial"/>
                <w:szCs w:val="22"/>
              </w:rPr>
            </w:pPr>
            <w:r w:rsidRPr="003A7A2B">
              <w:rPr>
                <w:rFonts w:cs="Arial"/>
                <w:szCs w:val="22"/>
              </w:rPr>
              <w:t>Odpovědnost</w:t>
            </w:r>
          </w:p>
        </w:tc>
        <w:tc>
          <w:tcPr>
            <w:tcW w:w="7087" w:type="dxa"/>
            <w:tcBorders>
              <w:top w:val="single" w:sz="8" w:space="0" w:color="auto"/>
              <w:left w:val="single" w:sz="12" w:space="0" w:color="auto"/>
              <w:bottom w:val="single" w:sz="8" w:space="0" w:color="auto"/>
              <w:right w:val="single" w:sz="12" w:space="0" w:color="auto"/>
            </w:tcBorders>
          </w:tcPr>
          <w:p w14:paraId="45E9180E" w14:textId="77777777" w:rsidR="00DD2E8A" w:rsidRPr="003A7A2B" w:rsidRDefault="00DD2E8A" w:rsidP="0054245B">
            <w:pPr>
              <w:pStyle w:val="Zpat"/>
              <w:spacing w:before="0" w:after="0"/>
              <w:jc w:val="both"/>
              <w:rPr>
                <w:rFonts w:cs="Arial"/>
                <w:szCs w:val="22"/>
              </w:rPr>
            </w:pPr>
            <w:r w:rsidRPr="003A7A2B">
              <w:rPr>
                <w:rFonts w:cs="Arial"/>
                <w:szCs w:val="22"/>
              </w:rPr>
              <w:t>MPSV</w:t>
            </w:r>
          </w:p>
        </w:tc>
      </w:tr>
      <w:tr w:rsidR="00DD2E8A" w:rsidRPr="003A7A2B" w14:paraId="67419433" w14:textId="77777777" w:rsidTr="0054245B">
        <w:tc>
          <w:tcPr>
            <w:tcW w:w="1984" w:type="dxa"/>
            <w:tcBorders>
              <w:top w:val="single" w:sz="8" w:space="0" w:color="auto"/>
              <w:left w:val="single" w:sz="12" w:space="0" w:color="auto"/>
              <w:bottom w:val="single" w:sz="8" w:space="0" w:color="auto"/>
              <w:right w:val="single" w:sz="12" w:space="0" w:color="auto"/>
            </w:tcBorders>
            <w:vAlign w:val="center"/>
          </w:tcPr>
          <w:p w14:paraId="0C991D01" w14:textId="77777777" w:rsidR="00DD2E8A" w:rsidRPr="003A7A2B" w:rsidRDefault="00DD2E8A" w:rsidP="0054245B">
            <w:pPr>
              <w:spacing w:before="20" w:after="20"/>
              <w:rPr>
                <w:rFonts w:cs="Arial"/>
                <w:szCs w:val="22"/>
              </w:rPr>
            </w:pPr>
            <w:r w:rsidRPr="003A7A2B">
              <w:rPr>
                <w:rFonts w:cs="Arial"/>
                <w:szCs w:val="22"/>
              </w:rPr>
              <w:t>Spolupráce</w:t>
            </w:r>
          </w:p>
        </w:tc>
        <w:tc>
          <w:tcPr>
            <w:tcW w:w="7087" w:type="dxa"/>
            <w:tcBorders>
              <w:top w:val="single" w:sz="8" w:space="0" w:color="auto"/>
              <w:left w:val="single" w:sz="12" w:space="0" w:color="auto"/>
              <w:bottom w:val="single" w:sz="8" w:space="0" w:color="auto"/>
              <w:right w:val="single" w:sz="12" w:space="0" w:color="auto"/>
            </w:tcBorders>
          </w:tcPr>
          <w:p w14:paraId="68FA5952" w14:textId="77777777" w:rsidR="00DD2E8A" w:rsidRPr="003A7A2B" w:rsidRDefault="00DD2E8A" w:rsidP="0054245B">
            <w:pPr>
              <w:pStyle w:val="Zpat"/>
              <w:spacing w:before="0" w:after="0"/>
              <w:jc w:val="both"/>
              <w:rPr>
                <w:rFonts w:cs="Arial"/>
                <w:szCs w:val="22"/>
              </w:rPr>
            </w:pPr>
            <w:r w:rsidRPr="003A7A2B">
              <w:rPr>
                <w:rFonts w:cs="Arial"/>
                <w:szCs w:val="22"/>
              </w:rPr>
              <w:t>AutoSAP, SDA</w:t>
            </w:r>
            <w:r>
              <w:rPr>
                <w:rFonts w:cs="Arial"/>
                <w:szCs w:val="22"/>
              </w:rPr>
              <w:t>, TIČR</w:t>
            </w:r>
          </w:p>
        </w:tc>
      </w:tr>
      <w:tr w:rsidR="00DD2E8A" w:rsidRPr="003A7A2B" w14:paraId="3718A95D" w14:textId="77777777" w:rsidTr="0054245B">
        <w:tc>
          <w:tcPr>
            <w:tcW w:w="1984" w:type="dxa"/>
            <w:tcBorders>
              <w:top w:val="single" w:sz="8" w:space="0" w:color="auto"/>
              <w:left w:val="single" w:sz="12" w:space="0" w:color="auto"/>
              <w:bottom w:val="single" w:sz="12" w:space="0" w:color="auto"/>
              <w:right w:val="single" w:sz="12" w:space="0" w:color="auto"/>
            </w:tcBorders>
            <w:vAlign w:val="center"/>
          </w:tcPr>
          <w:p w14:paraId="59DF5A91" w14:textId="77777777" w:rsidR="00DD2E8A" w:rsidRPr="003A7A2B" w:rsidRDefault="00DD2E8A" w:rsidP="0054245B">
            <w:pPr>
              <w:spacing w:before="20" w:after="20"/>
              <w:rPr>
                <w:rFonts w:cs="Arial"/>
                <w:szCs w:val="22"/>
              </w:rPr>
            </w:pPr>
            <w:r w:rsidRPr="003A7A2B">
              <w:rPr>
                <w:rFonts w:cs="Arial"/>
                <w:szCs w:val="22"/>
              </w:rPr>
              <w:t>Termín</w:t>
            </w:r>
          </w:p>
        </w:tc>
        <w:tc>
          <w:tcPr>
            <w:tcW w:w="7087" w:type="dxa"/>
            <w:tcBorders>
              <w:top w:val="single" w:sz="8" w:space="0" w:color="auto"/>
              <w:left w:val="single" w:sz="12" w:space="0" w:color="auto"/>
              <w:bottom w:val="single" w:sz="12" w:space="0" w:color="auto"/>
              <w:right w:val="single" w:sz="12" w:space="0" w:color="auto"/>
            </w:tcBorders>
          </w:tcPr>
          <w:p w14:paraId="68A2580C" w14:textId="77777777" w:rsidR="00DD2E8A" w:rsidRPr="003A7A2B" w:rsidRDefault="00DD2E8A" w:rsidP="0054245B">
            <w:pPr>
              <w:spacing w:before="0" w:after="0"/>
              <w:jc w:val="both"/>
              <w:rPr>
                <w:rFonts w:cs="Arial"/>
                <w:szCs w:val="22"/>
              </w:rPr>
            </w:pPr>
            <w:r>
              <w:rPr>
                <w:rFonts w:cs="Arial"/>
                <w:szCs w:val="22"/>
              </w:rPr>
              <w:t>2020</w:t>
            </w:r>
          </w:p>
        </w:tc>
      </w:tr>
    </w:tbl>
    <w:p w14:paraId="482628EE" w14:textId="77777777" w:rsidR="00DD2E8A" w:rsidRDefault="00DD2E8A" w:rsidP="00DD2E8A">
      <w:pPr>
        <w:spacing w:before="0" w:after="0"/>
        <w:jc w:val="both"/>
      </w:pPr>
      <w:r>
        <w:br w:type="page"/>
      </w:r>
    </w:p>
    <w:p w14:paraId="6B277AB5" w14:textId="31C974EB" w:rsidR="00D31F63" w:rsidRDefault="007332DF" w:rsidP="00C77546">
      <w:pPr>
        <w:pStyle w:val="Nadpis3"/>
        <w:tabs>
          <w:tab w:val="clear" w:pos="2411"/>
          <w:tab w:val="num" w:pos="1276"/>
        </w:tabs>
        <w:jc w:val="both"/>
      </w:pPr>
      <w:r>
        <w:lastRenderedPageBreak/>
        <w:t>E4</w:t>
      </w:r>
      <w:r w:rsidR="00DD2E8A">
        <w:t xml:space="preserve"> </w:t>
      </w:r>
      <w:r>
        <w:t>B</w:t>
      </w:r>
      <w:r w:rsidRPr="001C3A2F">
        <w:t>ezpečnost servisování elektromobilů</w:t>
      </w:r>
    </w:p>
    <w:p w14:paraId="7B7BB455" w14:textId="791240F7" w:rsidR="007332DF" w:rsidRDefault="007332DF" w:rsidP="007332DF">
      <w:pPr>
        <w:pStyle w:val="Nadpis3"/>
        <w:numPr>
          <w:ilvl w:val="0"/>
          <w:numId w:val="0"/>
        </w:numPr>
        <w:ind w:left="284"/>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7332DF" w14:paraId="55EF9D3E"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53C20967" w14:textId="77DEF875" w:rsidR="007332DF" w:rsidRPr="004F3155" w:rsidRDefault="007332DF" w:rsidP="005A1247">
            <w:pPr>
              <w:spacing w:before="60" w:after="60"/>
              <w:jc w:val="both"/>
              <w:rPr>
                <w:rFonts w:cs="Arial"/>
                <w:b/>
                <w:color w:val="FFFFFF" w:themeColor="background1"/>
              </w:rPr>
            </w:pPr>
            <w:r>
              <w:rPr>
                <w:b/>
                <w:color w:val="FFFFFF" w:themeColor="background1"/>
              </w:rPr>
              <w:t>E4 Bezpečnost servisování elektromobilů</w:t>
            </w:r>
          </w:p>
        </w:tc>
      </w:tr>
      <w:tr w:rsidR="007332DF" w14:paraId="17033B72" w14:textId="77777777" w:rsidTr="005A1247">
        <w:tc>
          <w:tcPr>
            <w:tcW w:w="1984" w:type="dxa"/>
            <w:tcBorders>
              <w:top w:val="single" w:sz="12" w:space="0" w:color="auto"/>
              <w:left w:val="single" w:sz="12" w:space="0" w:color="auto"/>
              <w:bottom w:val="single" w:sz="4" w:space="0" w:color="auto"/>
              <w:right w:val="single" w:sz="12" w:space="0" w:color="auto"/>
            </w:tcBorders>
          </w:tcPr>
          <w:p w14:paraId="647031C8" w14:textId="77777777" w:rsidR="007332DF" w:rsidRDefault="007332DF" w:rsidP="005A1247">
            <w:pPr>
              <w:pStyle w:val="Normln10"/>
              <w:spacing w:before="60" w:line="240" w:lineRule="auto"/>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tcPr>
          <w:p w14:paraId="3F32B2D4" w14:textId="77777777" w:rsidR="007332DF" w:rsidRPr="00934D5C" w:rsidDel="003E5EAC" w:rsidRDefault="007332DF" w:rsidP="005A1247">
            <w:pPr>
              <w:spacing w:before="60" w:after="0"/>
              <w:jc w:val="both"/>
              <w:rPr>
                <w:rFonts w:cs="Arial"/>
                <w:szCs w:val="20"/>
              </w:rPr>
            </w:pPr>
            <w:r w:rsidRPr="003E5EAC">
              <w:rPr>
                <w:rFonts w:cs="Arial"/>
                <w:szCs w:val="20"/>
              </w:rPr>
              <w:t>Zajištění stabilního regulatorního rámce pro rozvoj elektromobility</w:t>
            </w:r>
            <w:r>
              <w:rPr>
                <w:rFonts w:cs="Arial"/>
                <w:szCs w:val="20"/>
              </w:rPr>
              <w:t xml:space="preserve"> (kap. 2.4.3.)</w:t>
            </w:r>
          </w:p>
        </w:tc>
      </w:tr>
      <w:tr w:rsidR="007332DF" w14:paraId="5C4DABBB"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720C4261" w14:textId="77777777" w:rsidR="007332DF" w:rsidRDefault="007332DF" w:rsidP="005A1247">
            <w:pPr>
              <w:pStyle w:val="Normln10"/>
              <w:spacing w:before="60" w:line="240" w:lineRule="auto"/>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tcPr>
          <w:p w14:paraId="5B5B6565" w14:textId="0601B394" w:rsidR="007332DF" w:rsidRDefault="007332DF" w:rsidP="005A1247">
            <w:pPr>
              <w:pStyle w:val="Normln10"/>
              <w:spacing w:before="60" w:line="240" w:lineRule="auto"/>
              <w:rPr>
                <w:rFonts w:cs="Arial"/>
                <w:sz w:val="22"/>
                <w:szCs w:val="22"/>
              </w:rPr>
            </w:pPr>
            <w:r>
              <w:rPr>
                <w:rFonts w:cs="Arial"/>
                <w:sz w:val="22"/>
                <w:szCs w:val="22"/>
              </w:rPr>
              <w:t xml:space="preserve">Záměrem je zajistit bezpečné podmínky pro servisování </w:t>
            </w:r>
            <w:r w:rsidRPr="00B200DF">
              <w:rPr>
                <w:rFonts w:cs="Arial"/>
                <w:sz w:val="22"/>
                <w:szCs w:val="22"/>
              </w:rPr>
              <w:t>vozidel s</w:t>
            </w:r>
            <w:r w:rsidR="005A1247">
              <w:rPr>
                <w:rFonts w:cs="Arial"/>
                <w:sz w:val="22"/>
                <w:szCs w:val="22"/>
              </w:rPr>
              <w:t> </w:t>
            </w:r>
            <w:r w:rsidRPr="00B200DF">
              <w:rPr>
                <w:rFonts w:cs="Arial"/>
                <w:sz w:val="22"/>
                <w:szCs w:val="22"/>
              </w:rPr>
              <w:t>trakčním bateriovým systémem</w:t>
            </w:r>
            <w:r>
              <w:rPr>
                <w:rFonts w:cs="Arial"/>
                <w:sz w:val="22"/>
                <w:szCs w:val="22"/>
              </w:rPr>
              <w:t xml:space="preserve"> a</w:t>
            </w:r>
            <w:r w:rsidR="005A1247">
              <w:rPr>
                <w:rFonts w:cs="Arial"/>
                <w:sz w:val="22"/>
                <w:szCs w:val="22"/>
              </w:rPr>
              <w:t> </w:t>
            </w:r>
            <w:r>
              <w:rPr>
                <w:rFonts w:cs="Arial"/>
                <w:sz w:val="22"/>
                <w:szCs w:val="22"/>
              </w:rPr>
              <w:t>to jak z</w:t>
            </w:r>
            <w:r w:rsidR="005A1247">
              <w:rPr>
                <w:rFonts w:cs="Arial"/>
                <w:sz w:val="22"/>
                <w:szCs w:val="22"/>
              </w:rPr>
              <w:t> </w:t>
            </w:r>
            <w:r>
              <w:rPr>
                <w:rFonts w:cs="Arial"/>
                <w:sz w:val="22"/>
                <w:szCs w:val="22"/>
              </w:rPr>
              <w:t>pohledu servisů, tak z</w:t>
            </w:r>
            <w:r w:rsidR="005A1247">
              <w:rPr>
                <w:rFonts w:cs="Arial"/>
                <w:sz w:val="22"/>
                <w:szCs w:val="22"/>
              </w:rPr>
              <w:t> </w:t>
            </w:r>
            <w:r>
              <w:rPr>
                <w:rFonts w:cs="Arial"/>
                <w:sz w:val="22"/>
                <w:szCs w:val="22"/>
              </w:rPr>
              <w:t xml:space="preserve">pohledu koncových zákazníků. </w:t>
            </w:r>
          </w:p>
        </w:tc>
      </w:tr>
      <w:tr w:rsidR="007332DF" w14:paraId="4A2056B1"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2AC20F2F" w14:textId="77777777" w:rsidR="007332DF" w:rsidRDefault="007332DF" w:rsidP="005A1247">
            <w:pPr>
              <w:pStyle w:val="Normln10"/>
              <w:spacing w:before="60" w:line="240" w:lineRule="auto"/>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tcPr>
          <w:p w14:paraId="71CD4747" w14:textId="1DF61737" w:rsidR="007332DF" w:rsidRDefault="007332DF" w:rsidP="005A1247">
            <w:pPr>
              <w:pStyle w:val="Normln10"/>
              <w:spacing w:before="60" w:line="240" w:lineRule="auto"/>
              <w:rPr>
                <w:rFonts w:cs="Arial"/>
                <w:sz w:val="22"/>
                <w:szCs w:val="22"/>
              </w:rPr>
            </w:pPr>
            <w:r w:rsidRPr="007C42BB">
              <w:rPr>
                <w:rFonts w:cs="Arial"/>
                <w:sz w:val="22"/>
                <w:szCs w:val="22"/>
              </w:rPr>
              <w:t>Vzhledem k</w:t>
            </w:r>
            <w:r w:rsidR="005A1247">
              <w:rPr>
                <w:rFonts w:cs="Arial"/>
                <w:sz w:val="22"/>
                <w:szCs w:val="22"/>
              </w:rPr>
              <w:t> </w:t>
            </w:r>
            <w:r w:rsidRPr="007C42BB">
              <w:rPr>
                <w:rFonts w:cs="Arial"/>
                <w:sz w:val="22"/>
                <w:szCs w:val="22"/>
              </w:rPr>
              <w:t xml:space="preserve">očekávanému rozvoji </w:t>
            </w:r>
            <w:r>
              <w:rPr>
                <w:rFonts w:cs="Arial"/>
                <w:sz w:val="22"/>
                <w:szCs w:val="22"/>
              </w:rPr>
              <w:t xml:space="preserve">vozidel </w:t>
            </w:r>
            <w:r w:rsidRPr="002834C2">
              <w:rPr>
                <w:rFonts w:cs="Arial"/>
                <w:sz w:val="22"/>
                <w:szCs w:val="22"/>
              </w:rPr>
              <w:t>s</w:t>
            </w:r>
            <w:r w:rsidR="005A1247">
              <w:rPr>
                <w:rFonts w:cs="Arial"/>
                <w:sz w:val="22"/>
                <w:szCs w:val="22"/>
              </w:rPr>
              <w:t> </w:t>
            </w:r>
            <w:r w:rsidRPr="002834C2">
              <w:rPr>
                <w:rFonts w:cs="Arial"/>
                <w:sz w:val="22"/>
                <w:szCs w:val="22"/>
              </w:rPr>
              <w:t>pohonem na</w:t>
            </w:r>
            <w:r>
              <w:rPr>
                <w:rFonts w:cs="Arial"/>
                <w:sz w:val="22"/>
                <w:szCs w:val="22"/>
              </w:rPr>
              <w:t> </w:t>
            </w:r>
            <w:r w:rsidRPr="002834C2">
              <w:rPr>
                <w:rFonts w:cs="Arial"/>
                <w:sz w:val="22"/>
                <w:szCs w:val="22"/>
              </w:rPr>
              <w:t>akumulovanou elektrickou energii</w:t>
            </w:r>
            <w:r>
              <w:rPr>
                <w:rFonts w:cs="Arial"/>
                <w:szCs w:val="22"/>
              </w:rPr>
              <w:t xml:space="preserve"> </w:t>
            </w:r>
            <w:r w:rsidRPr="007C42BB">
              <w:rPr>
                <w:rFonts w:cs="Arial"/>
                <w:sz w:val="22"/>
                <w:szCs w:val="22"/>
              </w:rPr>
              <w:t>v</w:t>
            </w:r>
            <w:r w:rsidR="005A1247">
              <w:rPr>
                <w:rFonts w:cs="Arial"/>
                <w:sz w:val="22"/>
                <w:szCs w:val="22"/>
              </w:rPr>
              <w:t> </w:t>
            </w:r>
            <w:r w:rsidRPr="007C42BB">
              <w:rPr>
                <w:rFonts w:cs="Arial"/>
                <w:sz w:val="22"/>
                <w:szCs w:val="22"/>
              </w:rPr>
              <w:t>ČR a</w:t>
            </w:r>
            <w:r w:rsidR="005A1247">
              <w:rPr>
                <w:rFonts w:cs="Arial"/>
                <w:sz w:val="22"/>
                <w:szCs w:val="22"/>
              </w:rPr>
              <w:t> </w:t>
            </w:r>
            <w:r w:rsidRPr="007C42BB">
              <w:rPr>
                <w:rFonts w:cs="Arial"/>
                <w:sz w:val="22"/>
                <w:szCs w:val="22"/>
              </w:rPr>
              <w:t>EU lze očekávat potřebu zajištění</w:t>
            </w:r>
            <w:r>
              <w:rPr>
                <w:rFonts w:cs="Arial"/>
                <w:sz w:val="22"/>
                <w:szCs w:val="22"/>
              </w:rPr>
              <w:t xml:space="preserve"> adekvátního servisního zázemí zajišťujícího bezproblémový provoz těchto vozidel. V</w:t>
            </w:r>
            <w:r w:rsidR="005A1247">
              <w:rPr>
                <w:rFonts w:cs="Arial"/>
                <w:sz w:val="22"/>
                <w:szCs w:val="22"/>
              </w:rPr>
              <w:t> </w:t>
            </w:r>
            <w:r>
              <w:rPr>
                <w:rFonts w:cs="Arial"/>
                <w:sz w:val="22"/>
                <w:szCs w:val="22"/>
              </w:rPr>
              <w:t xml:space="preserve">důsledku absence jakýchkoliv bezpečnostních opatření reflektujících nová rizika, která vozidla </w:t>
            </w:r>
            <w:r w:rsidRPr="000B2DE4">
              <w:rPr>
                <w:rFonts w:cs="Arial"/>
                <w:sz w:val="22"/>
                <w:szCs w:val="22"/>
              </w:rPr>
              <w:t>s</w:t>
            </w:r>
            <w:r w:rsidR="005A1247">
              <w:rPr>
                <w:rFonts w:cs="Arial"/>
                <w:sz w:val="22"/>
                <w:szCs w:val="22"/>
              </w:rPr>
              <w:t> </w:t>
            </w:r>
            <w:r w:rsidRPr="000B2DE4">
              <w:rPr>
                <w:rFonts w:cs="Arial"/>
                <w:sz w:val="22"/>
                <w:szCs w:val="22"/>
              </w:rPr>
              <w:t>pohonem na akumulovanou elektrickou energii</w:t>
            </w:r>
            <w:r>
              <w:rPr>
                <w:rFonts w:cs="Arial"/>
                <w:sz w:val="22"/>
                <w:szCs w:val="22"/>
              </w:rPr>
              <w:t xml:space="preserve"> přinášejí, je nezbytný jejich návrh. V</w:t>
            </w:r>
            <w:r w:rsidR="005A1247">
              <w:rPr>
                <w:rFonts w:cs="Arial"/>
                <w:sz w:val="22"/>
                <w:szCs w:val="22"/>
              </w:rPr>
              <w:t> </w:t>
            </w:r>
            <w:r>
              <w:rPr>
                <w:rFonts w:cs="Arial"/>
                <w:sz w:val="22"/>
                <w:szCs w:val="22"/>
              </w:rPr>
              <w:t>rámci servisních úkonů lze předpokládat zvýšení rizik vzniku požáru a</w:t>
            </w:r>
            <w:r w:rsidR="005A1247">
              <w:rPr>
                <w:rFonts w:cs="Arial"/>
                <w:sz w:val="22"/>
                <w:szCs w:val="22"/>
              </w:rPr>
              <w:t> </w:t>
            </w:r>
            <w:r>
              <w:rPr>
                <w:rFonts w:cs="Arial"/>
                <w:sz w:val="22"/>
                <w:szCs w:val="22"/>
              </w:rPr>
              <w:t>úrazu elektrickým proudem.</w:t>
            </w:r>
          </w:p>
          <w:p w14:paraId="6B345A63" w14:textId="4E21417B" w:rsidR="007332DF" w:rsidRDefault="007332DF" w:rsidP="005A1247">
            <w:pPr>
              <w:pStyle w:val="Normln10"/>
              <w:spacing w:before="60" w:line="240" w:lineRule="auto"/>
              <w:rPr>
                <w:rFonts w:cs="Arial"/>
                <w:sz w:val="22"/>
                <w:szCs w:val="22"/>
              </w:rPr>
            </w:pPr>
            <w:r>
              <w:rPr>
                <w:rFonts w:cs="Arial"/>
                <w:sz w:val="22"/>
                <w:szCs w:val="22"/>
              </w:rPr>
              <w:t>V současné době lze identifikovat zásadní nedostatky jak z</w:t>
            </w:r>
            <w:r w:rsidR="005A1247">
              <w:rPr>
                <w:rFonts w:cs="Arial"/>
                <w:sz w:val="22"/>
                <w:szCs w:val="22"/>
              </w:rPr>
              <w:t> </w:t>
            </w:r>
            <w:r>
              <w:rPr>
                <w:rFonts w:cs="Arial"/>
                <w:sz w:val="22"/>
                <w:szCs w:val="22"/>
              </w:rPr>
              <w:t>pohledu preventivních opatření, tak z</w:t>
            </w:r>
            <w:r w:rsidR="005A1247">
              <w:rPr>
                <w:rFonts w:cs="Arial"/>
                <w:sz w:val="22"/>
                <w:szCs w:val="22"/>
              </w:rPr>
              <w:t> </w:t>
            </w:r>
            <w:r>
              <w:rPr>
                <w:rFonts w:cs="Arial"/>
                <w:sz w:val="22"/>
                <w:szCs w:val="22"/>
              </w:rPr>
              <w:t>pohledu provedení hasebního zásahu jednotkami požární ochrany. Doposud je hašení bateriových systémů realizováno konvenčními metodami a</w:t>
            </w:r>
            <w:r w:rsidR="005A1247">
              <w:rPr>
                <w:rFonts w:cs="Arial"/>
                <w:sz w:val="22"/>
                <w:szCs w:val="22"/>
              </w:rPr>
              <w:t> </w:t>
            </w:r>
            <w:r>
              <w:rPr>
                <w:rFonts w:cs="Arial"/>
                <w:sz w:val="22"/>
                <w:szCs w:val="22"/>
              </w:rPr>
              <w:t xml:space="preserve">hasivy, přičemž nelze tyto zavedené postupy považovat za dostatečně efektivní. </w:t>
            </w:r>
          </w:p>
          <w:p w14:paraId="527C81DF" w14:textId="27163E0C" w:rsidR="007332DF" w:rsidRDefault="007332DF" w:rsidP="005A1247">
            <w:pPr>
              <w:pStyle w:val="Normln10"/>
              <w:spacing w:before="60" w:line="240" w:lineRule="auto"/>
              <w:rPr>
                <w:rFonts w:cs="Arial"/>
                <w:sz w:val="22"/>
                <w:szCs w:val="22"/>
              </w:rPr>
            </w:pPr>
            <w:r>
              <w:rPr>
                <w:rFonts w:cs="Arial"/>
                <w:sz w:val="22"/>
                <w:szCs w:val="22"/>
              </w:rPr>
              <w:t>Stejně tak absentují doporučení metodického a</w:t>
            </w:r>
            <w:r w:rsidR="005A1247">
              <w:rPr>
                <w:rFonts w:cs="Arial"/>
                <w:sz w:val="22"/>
                <w:szCs w:val="22"/>
              </w:rPr>
              <w:t> </w:t>
            </w:r>
            <w:r>
              <w:rPr>
                <w:rFonts w:cs="Arial"/>
                <w:sz w:val="22"/>
                <w:szCs w:val="22"/>
              </w:rPr>
              <w:t>normového charakteru, která by kodifikovala postupy v</w:t>
            </w:r>
            <w:r w:rsidR="005A1247">
              <w:rPr>
                <w:rFonts w:cs="Arial"/>
                <w:sz w:val="22"/>
                <w:szCs w:val="22"/>
              </w:rPr>
              <w:t> </w:t>
            </w:r>
            <w:r>
              <w:rPr>
                <w:rFonts w:cs="Arial"/>
                <w:sz w:val="22"/>
                <w:szCs w:val="22"/>
              </w:rPr>
              <w:t xml:space="preserve">případě servisu rizikových </w:t>
            </w:r>
            <w:r w:rsidRPr="00B200DF">
              <w:rPr>
                <w:rFonts w:cs="Arial"/>
                <w:sz w:val="22"/>
                <w:szCs w:val="22"/>
              </w:rPr>
              <w:t>vozidel s</w:t>
            </w:r>
            <w:r w:rsidR="005A1247">
              <w:rPr>
                <w:rFonts w:cs="Arial"/>
                <w:sz w:val="22"/>
                <w:szCs w:val="22"/>
              </w:rPr>
              <w:t> </w:t>
            </w:r>
            <w:r w:rsidRPr="00B200DF">
              <w:rPr>
                <w:rFonts w:cs="Arial"/>
                <w:sz w:val="22"/>
                <w:szCs w:val="22"/>
              </w:rPr>
              <w:t>trakčním bateriovým systémem</w:t>
            </w:r>
            <w:r>
              <w:rPr>
                <w:rFonts w:cs="Arial"/>
                <w:sz w:val="22"/>
                <w:szCs w:val="22"/>
              </w:rPr>
              <w:t xml:space="preserve"> (</w:t>
            </w:r>
            <w:r w:rsidRPr="00E22870">
              <w:rPr>
                <w:rFonts w:cs="Arial"/>
                <w:sz w:val="22"/>
                <w:szCs w:val="22"/>
              </w:rPr>
              <w:t>před provedením prvotní diagnostiky, kdy lze na takové vozidlo pohlížet jako na potenciálně nebezpečné</w:t>
            </w:r>
            <w:r>
              <w:rPr>
                <w:rFonts w:cs="Arial"/>
                <w:sz w:val="22"/>
                <w:szCs w:val="22"/>
              </w:rPr>
              <w:t xml:space="preserve"> - např. jsou zaznamenány případy, kdy k</w:t>
            </w:r>
            <w:r w:rsidR="005A1247">
              <w:rPr>
                <w:rFonts w:cs="Arial"/>
                <w:sz w:val="22"/>
                <w:szCs w:val="22"/>
              </w:rPr>
              <w:t> </w:t>
            </w:r>
            <w:r>
              <w:rPr>
                <w:rFonts w:cs="Arial"/>
                <w:sz w:val="22"/>
                <w:szCs w:val="22"/>
              </w:rPr>
              <w:t>požáru dochází až s</w:t>
            </w:r>
            <w:r w:rsidR="005A1247">
              <w:rPr>
                <w:rFonts w:cs="Arial"/>
                <w:sz w:val="22"/>
                <w:szCs w:val="22"/>
              </w:rPr>
              <w:t> </w:t>
            </w:r>
            <w:r>
              <w:rPr>
                <w:rFonts w:cs="Arial"/>
                <w:sz w:val="22"/>
                <w:szCs w:val="22"/>
              </w:rPr>
              <w:t xml:space="preserve">48 hodinovou prodlevou od poškození trakční baterie). </w:t>
            </w:r>
          </w:p>
          <w:p w14:paraId="0D8F363C" w14:textId="799DD9D4" w:rsidR="007332DF" w:rsidRDefault="007332DF" w:rsidP="005A1247">
            <w:pPr>
              <w:pStyle w:val="Normln10"/>
              <w:spacing w:before="60" w:line="240" w:lineRule="auto"/>
              <w:rPr>
                <w:rFonts w:cs="Arial"/>
                <w:sz w:val="22"/>
                <w:szCs w:val="22"/>
              </w:rPr>
            </w:pPr>
            <w:r>
              <w:rPr>
                <w:rFonts w:cs="Arial"/>
                <w:sz w:val="22"/>
                <w:szCs w:val="22"/>
              </w:rPr>
              <w:t>Implementace opatření bude řešena v</w:t>
            </w:r>
            <w:r w:rsidR="005A1247">
              <w:rPr>
                <w:rFonts w:cs="Arial"/>
                <w:sz w:val="22"/>
                <w:szCs w:val="22"/>
              </w:rPr>
              <w:t> </w:t>
            </w:r>
            <w:r>
              <w:rPr>
                <w:rFonts w:cs="Arial"/>
                <w:sz w:val="22"/>
                <w:szCs w:val="22"/>
              </w:rPr>
              <w:t>rámci metodické činnosti odpovědných resortů.</w:t>
            </w:r>
          </w:p>
        </w:tc>
      </w:tr>
      <w:tr w:rsidR="007332DF" w14:paraId="6BF27C0A"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55AA954C" w14:textId="77777777" w:rsidR="007332DF" w:rsidRDefault="007332DF" w:rsidP="005A1247">
            <w:pPr>
              <w:pStyle w:val="Normln10"/>
              <w:spacing w:before="60" w:line="240" w:lineRule="auto"/>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tcPr>
          <w:p w14:paraId="0C2E6C04" w14:textId="08DB74C9" w:rsidR="007332DF" w:rsidRDefault="007332DF" w:rsidP="005A1247">
            <w:pPr>
              <w:pStyle w:val="Normln10"/>
              <w:spacing w:before="60" w:line="240" w:lineRule="auto"/>
              <w:rPr>
                <w:rFonts w:cs="Arial"/>
                <w:sz w:val="22"/>
                <w:szCs w:val="22"/>
              </w:rPr>
            </w:pPr>
            <w:r>
              <w:rPr>
                <w:rFonts w:cs="Arial"/>
                <w:sz w:val="22"/>
                <w:szCs w:val="22"/>
              </w:rPr>
              <w:t>Z rozpočtových kapitol MD a</w:t>
            </w:r>
            <w:r w:rsidR="005A1247">
              <w:rPr>
                <w:rFonts w:cs="Arial"/>
                <w:sz w:val="22"/>
                <w:szCs w:val="22"/>
              </w:rPr>
              <w:t> </w:t>
            </w:r>
            <w:r>
              <w:rPr>
                <w:rFonts w:cs="Arial"/>
                <w:sz w:val="22"/>
                <w:szCs w:val="22"/>
              </w:rPr>
              <w:t>MPSV</w:t>
            </w:r>
          </w:p>
        </w:tc>
      </w:tr>
      <w:tr w:rsidR="007332DF" w14:paraId="23A9FB52"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508D7A60" w14:textId="77777777" w:rsidR="007332DF" w:rsidRDefault="007332DF" w:rsidP="005A1247">
            <w:pPr>
              <w:pStyle w:val="Normln10"/>
              <w:spacing w:before="60" w:line="240" w:lineRule="auto"/>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tcPr>
          <w:p w14:paraId="5E9CA0B2" w14:textId="77777777" w:rsidR="007332DF" w:rsidRDefault="007332DF" w:rsidP="005A1247">
            <w:pPr>
              <w:pStyle w:val="Normln10"/>
              <w:spacing w:before="60" w:line="240" w:lineRule="auto"/>
              <w:rPr>
                <w:rFonts w:cs="Arial"/>
                <w:sz w:val="22"/>
                <w:szCs w:val="22"/>
              </w:rPr>
            </w:pPr>
            <w:r>
              <w:rPr>
                <w:rFonts w:cs="Arial"/>
                <w:sz w:val="22"/>
                <w:szCs w:val="22"/>
              </w:rPr>
              <w:t>Pro oblast technických doporučení: MD</w:t>
            </w:r>
          </w:p>
          <w:p w14:paraId="39CDB51D" w14:textId="77777777" w:rsidR="007332DF" w:rsidRDefault="007332DF" w:rsidP="005A1247">
            <w:pPr>
              <w:pStyle w:val="Normln10"/>
              <w:spacing w:before="60" w:line="240" w:lineRule="auto"/>
              <w:rPr>
                <w:rFonts w:cs="Arial"/>
                <w:sz w:val="22"/>
                <w:szCs w:val="22"/>
              </w:rPr>
            </w:pPr>
            <w:r>
              <w:rPr>
                <w:rFonts w:cs="Arial"/>
                <w:sz w:val="22"/>
                <w:szCs w:val="22"/>
              </w:rPr>
              <w:t>Pro oblast odborné způsobilosti pracovníků servisů: MPSV</w:t>
            </w:r>
          </w:p>
        </w:tc>
      </w:tr>
      <w:tr w:rsidR="007332DF" w14:paraId="445B31F8"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4B1B2DD7" w14:textId="77777777" w:rsidR="007332DF" w:rsidRDefault="007332DF" w:rsidP="005A1247">
            <w:pPr>
              <w:pStyle w:val="Normln10"/>
              <w:spacing w:before="60" w:line="240" w:lineRule="auto"/>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6CBA5BA8" w14:textId="77777777" w:rsidR="007332DF" w:rsidRDefault="007332DF" w:rsidP="005A1247">
            <w:pPr>
              <w:pStyle w:val="Normln10"/>
              <w:spacing w:before="60" w:line="240" w:lineRule="auto"/>
              <w:rPr>
                <w:rFonts w:cs="Arial"/>
                <w:sz w:val="22"/>
                <w:szCs w:val="22"/>
              </w:rPr>
            </w:pPr>
            <w:r>
              <w:rPr>
                <w:rFonts w:cs="Arial"/>
                <w:sz w:val="22"/>
                <w:szCs w:val="22"/>
              </w:rPr>
              <w:t>MD, MPSV, MPO, Výzkumný ústav bezpečnosti práce, MV-GŘ HZS ČR, HZS krajů</w:t>
            </w:r>
          </w:p>
        </w:tc>
      </w:tr>
      <w:tr w:rsidR="007332DF" w14:paraId="012E30EE" w14:textId="77777777" w:rsidTr="005A1247">
        <w:tc>
          <w:tcPr>
            <w:tcW w:w="1984" w:type="dxa"/>
            <w:tcBorders>
              <w:top w:val="single" w:sz="4" w:space="0" w:color="auto"/>
              <w:left w:val="single" w:sz="12" w:space="0" w:color="auto"/>
              <w:bottom w:val="single" w:sz="12" w:space="0" w:color="auto"/>
              <w:right w:val="single" w:sz="12" w:space="0" w:color="auto"/>
            </w:tcBorders>
            <w:hideMark/>
          </w:tcPr>
          <w:p w14:paraId="7998CD55" w14:textId="77777777" w:rsidR="007332DF" w:rsidRDefault="007332DF" w:rsidP="005A1247">
            <w:pPr>
              <w:pStyle w:val="Normln10"/>
              <w:spacing w:before="60" w:line="240" w:lineRule="auto"/>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tcPr>
          <w:p w14:paraId="760A38B3" w14:textId="77777777" w:rsidR="007332DF" w:rsidRDefault="007332DF" w:rsidP="005A1247">
            <w:pPr>
              <w:pStyle w:val="Normln10"/>
              <w:spacing w:before="60" w:line="240" w:lineRule="auto"/>
              <w:rPr>
                <w:rFonts w:cs="Arial"/>
                <w:sz w:val="22"/>
                <w:szCs w:val="22"/>
              </w:rPr>
            </w:pPr>
            <w:r>
              <w:rPr>
                <w:rFonts w:cs="Arial"/>
                <w:sz w:val="22"/>
                <w:szCs w:val="22"/>
              </w:rPr>
              <w:t>2023</w:t>
            </w:r>
          </w:p>
        </w:tc>
      </w:tr>
    </w:tbl>
    <w:p w14:paraId="6417BE5A" w14:textId="77777777" w:rsidR="007332DF" w:rsidRDefault="007332DF" w:rsidP="007332DF"/>
    <w:p w14:paraId="7E180B70" w14:textId="77777777" w:rsidR="007332DF" w:rsidRPr="007332DF" w:rsidRDefault="007332DF" w:rsidP="007332DF"/>
    <w:p w14:paraId="1407D1C8" w14:textId="06110009" w:rsidR="007332DF" w:rsidRDefault="007332DF" w:rsidP="00C77546">
      <w:pPr>
        <w:pStyle w:val="Nadpis3"/>
        <w:tabs>
          <w:tab w:val="clear" w:pos="2411"/>
          <w:tab w:val="num" w:pos="1276"/>
        </w:tabs>
        <w:jc w:val="both"/>
      </w:pPr>
      <w:r>
        <w:lastRenderedPageBreak/>
        <w:t xml:space="preserve">E5 </w:t>
      </w:r>
      <w:r w:rsidR="00DD2E8A" w:rsidRPr="0034487A">
        <w:t xml:space="preserve">Bezpečnost </w:t>
      </w:r>
      <w:r w:rsidRPr="005650FB">
        <w:t>dobíjecí infrastruktury elektromobilů</w:t>
      </w:r>
    </w:p>
    <w:p w14:paraId="168CD111" w14:textId="09CA809D" w:rsidR="007332DF" w:rsidRPr="009E2ECF" w:rsidRDefault="007332DF" w:rsidP="007332DF">
      <w:pPr>
        <w:pStyle w:val="Nadpis3"/>
        <w:numPr>
          <w:ilvl w:val="0"/>
          <w:numId w:val="0"/>
        </w:numPr>
        <w:ind w:left="284"/>
        <w:jc w:val="both"/>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7332DF" w14:paraId="4F53B868"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333D3CD6" w14:textId="56AF5E2F" w:rsidR="007332DF" w:rsidRDefault="007332DF" w:rsidP="005A1247">
            <w:pPr>
              <w:jc w:val="both"/>
              <w:rPr>
                <w:rFonts w:cs="Arial"/>
                <w:b/>
                <w:color w:val="FFFFFF" w:themeColor="background1"/>
              </w:rPr>
            </w:pPr>
            <w:r>
              <w:rPr>
                <w:rFonts w:cs="Arial"/>
                <w:b/>
                <w:color w:val="FFFFFF" w:themeColor="background1"/>
              </w:rPr>
              <w:t>E5 Bezpečnost dobíjecí infrastruktury elektromobilů</w:t>
            </w:r>
          </w:p>
        </w:tc>
      </w:tr>
      <w:tr w:rsidR="007332DF" w14:paraId="10936368" w14:textId="77777777" w:rsidTr="005A1247">
        <w:tc>
          <w:tcPr>
            <w:tcW w:w="1984" w:type="dxa"/>
            <w:tcBorders>
              <w:top w:val="single" w:sz="12" w:space="0" w:color="auto"/>
              <w:left w:val="single" w:sz="12" w:space="0" w:color="auto"/>
              <w:bottom w:val="single" w:sz="4" w:space="0" w:color="auto"/>
              <w:right w:val="single" w:sz="12" w:space="0" w:color="auto"/>
            </w:tcBorders>
            <w:hideMark/>
          </w:tcPr>
          <w:p w14:paraId="59D63F60" w14:textId="77777777" w:rsidR="007332DF" w:rsidRDefault="007332DF" w:rsidP="005A1247">
            <w:pPr>
              <w:pStyle w:val="Normln10"/>
              <w:spacing w:before="20" w:after="20" w:line="240" w:lineRule="auto"/>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0B4A3EAA" w14:textId="77777777" w:rsidR="007332DF" w:rsidRDefault="007332DF" w:rsidP="005A1247">
            <w:pPr>
              <w:spacing w:before="60" w:after="0"/>
              <w:jc w:val="both"/>
              <w:rPr>
                <w:rFonts w:cs="Arial"/>
                <w:szCs w:val="20"/>
              </w:rPr>
            </w:pPr>
            <w:r w:rsidRPr="003E5EAC">
              <w:rPr>
                <w:rFonts w:cs="Arial"/>
                <w:szCs w:val="20"/>
              </w:rPr>
              <w:t>Zajištění stabilního regulatorního rámce pro rozvoj elektromobility</w:t>
            </w:r>
            <w:r>
              <w:rPr>
                <w:rFonts w:cs="Arial"/>
                <w:szCs w:val="20"/>
              </w:rPr>
              <w:t xml:space="preserve"> (kap. 2.4.3.)</w:t>
            </w:r>
          </w:p>
          <w:p w14:paraId="3A52ABBE" w14:textId="77777777" w:rsidR="007332DF" w:rsidRPr="00D120A5" w:rsidRDefault="007332DF" w:rsidP="005A1247">
            <w:pPr>
              <w:pStyle w:val="Normln10"/>
              <w:spacing w:before="60" w:line="240" w:lineRule="auto"/>
              <w:rPr>
                <w:sz w:val="22"/>
                <w:szCs w:val="22"/>
              </w:rPr>
            </w:pPr>
            <w:r>
              <w:rPr>
                <w:rFonts w:cs="Arial"/>
                <w:sz w:val="22"/>
                <w:szCs w:val="22"/>
              </w:rPr>
              <w:t>Rozvoj infrastruktury dobíjecích stanic (kap. 2.4.2.)</w:t>
            </w:r>
          </w:p>
        </w:tc>
      </w:tr>
      <w:tr w:rsidR="007332DF" w14:paraId="12A1A5C9"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15935EC" w14:textId="77777777" w:rsidR="007332DF" w:rsidRDefault="007332DF" w:rsidP="005A1247">
            <w:pPr>
              <w:pStyle w:val="Normln10"/>
              <w:spacing w:before="20" w:after="20" w:line="240" w:lineRule="auto"/>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tcPr>
          <w:p w14:paraId="5676477F" w14:textId="03DF5EDE" w:rsidR="007332DF" w:rsidRDefault="007332DF" w:rsidP="005A1247">
            <w:pPr>
              <w:pStyle w:val="Normln10"/>
              <w:spacing w:before="60" w:line="240" w:lineRule="auto"/>
              <w:rPr>
                <w:rFonts w:cs="Arial"/>
                <w:sz w:val="22"/>
                <w:szCs w:val="22"/>
              </w:rPr>
            </w:pPr>
            <w:r>
              <w:rPr>
                <w:rFonts w:cs="Arial"/>
                <w:sz w:val="22"/>
                <w:szCs w:val="22"/>
              </w:rPr>
              <w:t>Záměrem je zajistit bezpečné dobíjení vozidel s</w:t>
            </w:r>
            <w:r w:rsidR="005A1247">
              <w:rPr>
                <w:rFonts w:cs="Arial"/>
                <w:sz w:val="22"/>
                <w:szCs w:val="22"/>
              </w:rPr>
              <w:t> </w:t>
            </w:r>
            <w:r>
              <w:rPr>
                <w:rFonts w:cs="Arial"/>
                <w:sz w:val="22"/>
                <w:szCs w:val="22"/>
              </w:rPr>
              <w:t>trakčním bateriovým systémem ve vnitřních prostorech objektů, ale i</w:t>
            </w:r>
            <w:r w:rsidR="005A1247">
              <w:rPr>
                <w:rFonts w:cs="Arial"/>
                <w:sz w:val="22"/>
                <w:szCs w:val="22"/>
              </w:rPr>
              <w:t> </w:t>
            </w:r>
            <w:r>
              <w:rPr>
                <w:rFonts w:cs="Arial"/>
                <w:sz w:val="22"/>
                <w:szCs w:val="22"/>
              </w:rPr>
              <w:t>ve venkovních prostorech mimo objekty.</w:t>
            </w:r>
          </w:p>
        </w:tc>
      </w:tr>
      <w:tr w:rsidR="007332DF" w14:paraId="7BA9445A"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5E61DC5F" w14:textId="77777777" w:rsidR="007332DF" w:rsidRDefault="007332DF" w:rsidP="005A1247">
            <w:pPr>
              <w:pStyle w:val="Normln10"/>
              <w:spacing w:before="20" w:after="20" w:line="240" w:lineRule="auto"/>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tcPr>
          <w:p w14:paraId="6B5005DF" w14:textId="517D8CB7" w:rsidR="007332DF" w:rsidRPr="00F37F37" w:rsidRDefault="007332DF" w:rsidP="005A1247">
            <w:pPr>
              <w:pStyle w:val="Normln10"/>
              <w:spacing w:before="60" w:line="240" w:lineRule="auto"/>
              <w:rPr>
                <w:rFonts w:cs="Arial"/>
                <w:sz w:val="21"/>
                <w:szCs w:val="21"/>
              </w:rPr>
            </w:pPr>
            <w:r w:rsidRPr="00F37F37">
              <w:rPr>
                <w:rFonts w:cs="Arial"/>
                <w:sz w:val="21"/>
                <w:szCs w:val="21"/>
              </w:rPr>
              <w:t>Se zvyšujícím se počtem vozidel s</w:t>
            </w:r>
            <w:r w:rsidR="005A1247">
              <w:rPr>
                <w:rFonts w:cs="Arial"/>
                <w:sz w:val="21"/>
                <w:szCs w:val="21"/>
              </w:rPr>
              <w:t> </w:t>
            </w:r>
            <w:r w:rsidRPr="00F37F37">
              <w:rPr>
                <w:rFonts w:cs="Arial"/>
                <w:sz w:val="21"/>
                <w:szCs w:val="21"/>
              </w:rPr>
              <w:t>pohonem na akumulovanou elektrickou energii na území ČR a</w:t>
            </w:r>
            <w:r w:rsidR="005A1247">
              <w:rPr>
                <w:rFonts w:cs="Arial"/>
                <w:sz w:val="21"/>
                <w:szCs w:val="21"/>
              </w:rPr>
              <w:t> </w:t>
            </w:r>
            <w:r w:rsidRPr="00F37F37">
              <w:rPr>
                <w:rFonts w:cs="Arial"/>
                <w:sz w:val="21"/>
                <w:szCs w:val="21"/>
              </w:rPr>
              <w:t>EU lze očekávat významnou potřebu budovat adekvátní množství související dobíjecí infrastruktury.</w:t>
            </w:r>
            <w:r>
              <w:rPr>
                <w:rFonts w:cs="Arial"/>
                <w:sz w:val="21"/>
                <w:szCs w:val="21"/>
              </w:rPr>
              <w:t xml:space="preserve"> </w:t>
            </w:r>
            <w:r>
              <w:t xml:space="preserve">  Je nutné analyzovat, zvážit a</w:t>
            </w:r>
            <w:r w:rsidR="005A1247">
              <w:t> </w:t>
            </w:r>
            <w:r>
              <w:t>v případě potřeby nastavit dodatečné bezpečnostní požadavky na dobíjecí místa a</w:t>
            </w:r>
            <w:r w:rsidR="005A1247">
              <w:t> </w:t>
            </w:r>
            <w:r>
              <w:t>dobíjecí stojany</w:t>
            </w:r>
            <w:r w:rsidRPr="00543445">
              <w:rPr>
                <w:rFonts w:cs="Arial"/>
                <w:sz w:val="21"/>
                <w:szCs w:val="21"/>
              </w:rPr>
              <w:t xml:space="preserve"> </w:t>
            </w:r>
            <w:r w:rsidRPr="00F37F37">
              <w:rPr>
                <w:rFonts w:cs="Arial"/>
                <w:sz w:val="21"/>
                <w:szCs w:val="21"/>
              </w:rPr>
              <w:t xml:space="preserve"> </w:t>
            </w:r>
          </w:p>
          <w:p w14:paraId="77FE2249" w14:textId="4F748D64" w:rsidR="007332DF" w:rsidRPr="00F37F37" w:rsidRDefault="007332DF" w:rsidP="005A1247">
            <w:pPr>
              <w:pStyle w:val="Normln10"/>
              <w:spacing w:before="60" w:line="240" w:lineRule="auto"/>
              <w:rPr>
                <w:rFonts w:cs="Arial"/>
                <w:sz w:val="21"/>
                <w:szCs w:val="21"/>
              </w:rPr>
            </w:pPr>
            <w:r>
              <w:rPr>
                <w:rFonts w:cs="Arial"/>
                <w:sz w:val="21"/>
                <w:szCs w:val="21"/>
              </w:rPr>
              <w:t xml:space="preserve">Důležitá </w:t>
            </w:r>
            <w:r w:rsidRPr="00F37F37">
              <w:rPr>
                <w:rFonts w:cs="Arial"/>
                <w:sz w:val="21"/>
                <w:szCs w:val="21"/>
              </w:rPr>
              <w:t>je rovněž rozmanitost umisťování dobíjecích míst, které mohou být umisťovány v</w:t>
            </w:r>
            <w:r w:rsidR="005A1247">
              <w:rPr>
                <w:rFonts w:cs="Arial"/>
                <w:sz w:val="21"/>
                <w:szCs w:val="21"/>
              </w:rPr>
              <w:t> </w:t>
            </w:r>
            <w:r w:rsidRPr="00F37F37">
              <w:rPr>
                <w:rFonts w:cs="Arial"/>
                <w:sz w:val="21"/>
                <w:szCs w:val="21"/>
              </w:rPr>
              <w:t>hromadných garážích, podzemních prostorech v</w:t>
            </w:r>
            <w:r w:rsidR="005A1247">
              <w:rPr>
                <w:rFonts w:cs="Arial"/>
                <w:sz w:val="21"/>
                <w:szCs w:val="21"/>
              </w:rPr>
              <w:t> </w:t>
            </w:r>
            <w:r w:rsidRPr="00F37F37">
              <w:rPr>
                <w:rFonts w:cs="Arial"/>
                <w:sz w:val="21"/>
                <w:szCs w:val="21"/>
              </w:rPr>
              <w:t xml:space="preserve">blízkosti čerpacích stanic apod. Je tedy </w:t>
            </w:r>
            <w:r>
              <w:rPr>
                <w:rFonts w:cs="Arial"/>
                <w:sz w:val="21"/>
                <w:szCs w:val="21"/>
              </w:rPr>
              <w:t>důležité</w:t>
            </w:r>
            <w:r w:rsidRPr="00F37F37">
              <w:rPr>
                <w:rFonts w:cs="Arial"/>
                <w:sz w:val="21"/>
                <w:szCs w:val="21"/>
              </w:rPr>
              <w:t xml:space="preserve"> stanovit potřebná bezpečnostní opatření, kterými bude zajištěna nejen bezpečnost dobíjecích míst, avšak i</w:t>
            </w:r>
            <w:r w:rsidR="005A1247">
              <w:rPr>
                <w:rFonts w:cs="Arial"/>
                <w:sz w:val="21"/>
                <w:szCs w:val="21"/>
              </w:rPr>
              <w:t> </w:t>
            </w:r>
            <w:r w:rsidRPr="00F37F37">
              <w:rPr>
                <w:rFonts w:cs="Arial"/>
                <w:sz w:val="21"/>
                <w:szCs w:val="21"/>
              </w:rPr>
              <w:t>ochrana jejich bezprostředního okolí, a</w:t>
            </w:r>
            <w:r w:rsidR="005A1247">
              <w:rPr>
                <w:rFonts w:cs="Arial"/>
                <w:sz w:val="21"/>
                <w:szCs w:val="21"/>
              </w:rPr>
              <w:t> </w:t>
            </w:r>
            <w:r w:rsidRPr="00F37F37">
              <w:rPr>
                <w:rFonts w:cs="Arial"/>
                <w:sz w:val="21"/>
                <w:szCs w:val="21"/>
              </w:rPr>
              <w:t>to ve všech prostorech jejich možného výskytu, přičemž bude vždy umožněn bezpečný a</w:t>
            </w:r>
            <w:r w:rsidR="005A1247">
              <w:rPr>
                <w:rFonts w:cs="Arial"/>
                <w:sz w:val="21"/>
                <w:szCs w:val="21"/>
              </w:rPr>
              <w:t> </w:t>
            </w:r>
            <w:r w:rsidRPr="00F37F37">
              <w:rPr>
                <w:rFonts w:cs="Arial"/>
                <w:sz w:val="21"/>
                <w:szCs w:val="21"/>
              </w:rPr>
              <w:t xml:space="preserve">efektivní zásah jednotek požární ochrany, včetně stanovení způsobu zachycení kontaminované vody použité pro hašení. </w:t>
            </w:r>
          </w:p>
          <w:p w14:paraId="6B764879" w14:textId="1242CD65" w:rsidR="007332DF" w:rsidRPr="00F37F37" w:rsidRDefault="007332DF" w:rsidP="005A1247">
            <w:pPr>
              <w:pStyle w:val="Normln10"/>
              <w:spacing w:before="60" w:line="240" w:lineRule="auto"/>
              <w:rPr>
                <w:rFonts w:cs="Arial"/>
                <w:sz w:val="21"/>
                <w:szCs w:val="21"/>
              </w:rPr>
            </w:pPr>
            <w:r w:rsidRPr="00F37F37">
              <w:rPr>
                <w:rFonts w:cs="Arial"/>
                <w:sz w:val="21"/>
                <w:szCs w:val="21"/>
              </w:rPr>
              <w:t>S ohledem na naprostou absenci tuzemských i</w:t>
            </w:r>
            <w:r w:rsidR="005A1247">
              <w:rPr>
                <w:rFonts w:cs="Arial"/>
                <w:sz w:val="21"/>
                <w:szCs w:val="21"/>
              </w:rPr>
              <w:t> </w:t>
            </w:r>
            <w:r w:rsidRPr="00F37F37">
              <w:rPr>
                <w:rFonts w:cs="Arial"/>
                <w:sz w:val="21"/>
                <w:szCs w:val="21"/>
              </w:rPr>
              <w:t>zahraničních metodik a</w:t>
            </w:r>
            <w:r w:rsidR="005A1247">
              <w:rPr>
                <w:rFonts w:cs="Arial"/>
                <w:sz w:val="21"/>
                <w:szCs w:val="21"/>
              </w:rPr>
              <w:t> </w:t>
            </w:r>
            <w:r w:rsidRPr="00F37F37">
              <w:rPr>
                <w:rFonts w:cs="Arial"/>
                <w:sz w:val="21"/>
                <w:szCs w:val="21"/>
              </w:rPr>
              <w:t>standardů bezprostředně aplikovatelných v</w:t>
            </w:r>
            <w:r w:rsidR="005A1247">
              <w:rPr>
                <w:rFonts w:cs="Arial"/>
                <w:sz w:val="21"/>
                <w:szCs w:val="21"/>
              </w:rPr>
              <w:t> </w:t>
            </w:r>
            <w:r w:rsidRPr="00F37F37">
              <w:rPr>
                <w:rFonts w:cs="Arial"/>
                <w:sz w:val="21"/>
                <w:szCs w:val="21"/>
              </w:rPr>
              <w:t>podmínkách ČR bude toto vysoce specifické téma saturováno v</w:t>
            </w:r>
            <w:r w:rsidR="005A1247">
              <w:rPr>
                <w:rFonts w:cs="Arial"/>
                <w:sz w:val="21"/>
                <w:szCs w:val="21"/>
              </w:rPr>
              <w:t> </w:t>
            </w:r>
            <w:r w:rsidRPr="00F37F37">
              <w:rPr>
                <w:rFonts w:cs="Arial"/>
                <w:sz w:val="21"/>
                <w:szCs w:val="21"/>
              </w:rPr>
              <w:t>rámci programů podpory VVI a</w:t>
            </w:r>
            <w:r w:rsidR="005A1247">
              <w:rPr>
                <w:rFonts w:cs="Arial"/>
                <w:sz w:val="21"/>
                <w:szCs w:val="21"/>
              </w:rPr>
              <w:t> </w:t>
            </w:r>
            <w:r w:rsidRPr="00F37F37">
              <w:rPr>
                <w:rFonts w:cs="Arial"/>
                <w:sz w:val="21"/>
                <w:szCs w:val="21"/>
              </w:rPr>
              <w:t xml:space="preserve">získané poznatky následně </w:t>
            </w:r>
            <w:r>
              <w:rPr>
                <w:rFonts w:cs="Arial"/>
                <w:sz w:val="21"/>
                <w:szCs w:val="21"/>
              </w:rPr>
              <w:t xml:space="preserve">navrženy </w:t>
            </w:r>
            <w:r w:rsidRPr="00F37F37">
              <w:rPr>
                <w:rFonts w:cs="Arial"/>
                <w:sz w:val="21"/>
                <w:szCs w:val="21"/>
              </w:rPr>
              <w:t xml:space="preserve">do odpovídajících právních předpisů, případně českých technických norem. </w:t>
            </w:r>
          </w:p>
          <w:p w14:paraId="33C730D6" w14:textId="34970A11" w:rsidR="007332DF" w:rsidRPr="000203E3" w:rsidRDefault="007332DF" w:rsidP="005A1247">
            <w:pPr>
              <w:pStyle w:val="Normln10"/>
              <w:spacing w:before="60" w:line="240" w:lineRule="auto"/>
              <w:rPr>
                <w:szCs w:val="24"/>
              </w:rPr>
            </w:pPr>
            <w:r w:rsidRPr="00F37F37">
              <w:rPr>
                <w:rFonts w:cs="Arial"/>
                <w:sz w:val="21"/>
                <w:szCs w:val="21"/>
              </w:rPr>
              <w:t xml:space="preserve">Klíčovým výstupem formulovaným na základě výzkumu bude stanovení podmínek požární ochrany </w:t>
            </w:r>
            <w:r>
              <w:rPr>
                <w:rFonts w:cs="Arial"/>
                <w:sz w:val="21"/>
                <w:szCs w:val="21"/>
              </w:rPr>
              <w:t xml:space="preserve">doporučení pro provoz dobíjecích </w:t>
            </w:r>
            <w:r w:rsidRPr="00F37F37">
              <w:rPr>
                <w:rFonts w:cs="Arial"/>
                <w:sz w:val="21"/>
                <w:szCs w:val="21"/>
              </w:rPr>
              <w:t>stani</w:t>
            </w:r>
            <w:r>
              <w:rPr>
                <w:rFonts w:cs="Arial"/>
                <w:sz w:val="21"/>
                <w:szCs w:val="21"/>
              </w:rPr>
              <w:t xml:space="preserve">c </w:t>
            </w:r>
            <w:r w:rsidRPr="00F37F37">
              <w:rPr>
                <w:rFonts w:cs="Arial"/>
                <w:sz w:val="21"/>
                <w:szCs w:val="21"/>
              </w:rPr>
              <w:t xml:space="preserve">(členění dle ČSN EN 61 851-1). Dalším </w:t>
            </w:r>
            <w:r>
              <w:rPr>
                <w:rFonts w:cs="Arial"/>
                <w:sz w:val="21"/>
                <w:szCs w:val="21"/>
              </w:rPr>
              <w:t xml:space="preserve">důležitým </w:t>
            </w:r>
            <w:r w:rsidRPr="00F37F37">
              <w:rPr>
                <w:rFonts w:cs="Arial"/>
                <w:sz w:val="21"/>
                <w:szCs w:val="21"/>
              </w:rPr>
              <w:t>opatřením je stanovení pravidelných revizí přípojných a</w:t>
            </w:r>
            <w:r w:rsidR="005A1247">
              <w:rPr>
                <w:rFonts w:cs="Arial"/>
                <w:sz w:val="21"/>
                <w:szCs w:val="21"/>
              </w:rPr>
              <w:t> </w:t>
            </w:r>
            <w:r w:rsidRPr="00F37F37">
              <w:rPr>
                <w:rFonts w:cs="Arial"/>
                <w:sz w:val="21"/>
                <w:szCs w:val="21"/>
              </w:rPr>
              <w:t>připojovacích zařízení.</w:t>
            </w:r>
          </w:p>
        </w:tc>
      </w:tr>
      <w:tr w:rsidR="007332DF" w14:paraId="096E4EA8"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27B01CE5" w14:textId="777284C8" w:rsidR="007332DF" w:rsidRDefault="007332DF" w:rsidP="005A1247">
            <w:pPr>
              <w:pStyle w:val="Normln10"/>
              <w:spacing w:before="20" w:after="20" w:line="240" w:lineRule="auto"/>
              <w:jc w:val="left"/>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2A513BC2" w14:textId="76053E65" w:rsidR="007332DF" w:rsidRPr="00992D57" w:rsidRDefault="007332DF" w:rsidP="005A1247">
            <w:pPr>
              <w:spacing w:before="60" w:after="0"/>
              <w:jc w:val="both"/>
            </w:pPr>
            <w:r>
              <w:rPr>
                <w:rFonts w:cs="Arial"/>
                <w:szCs w:val="22"/>
              </w:rPr>
              <w:t xml:space="preserve">Požár MHD MSK – </w:t>
            </w:r>
            <w:r>
              <w:t>poškození dvanácti autobusů parkujících v</w:t>
            </w:r>
            <w:r w:rsidR="005A1247">
              <w:t> </w:t>
            </w:r>
            <w:r>
              <w:t>garážích na Hranečníku, Dopravní podnik Ostrava. Požár vznikl při dobíjení autobusu s</w:t>
            </w:r>
            <w:r w:rsidR="005A1247">
              <w:t> </w:t>
            </w:r>
            <w:r>
              <w:t xml:space="preserve">elektrickým pohonem (15. 6. 2019). </w:t>
            </w:r>
          </w:p>
        </w:tc>
      </w:tr>
      <w:tr w:rsidR="007332DF" w14:paraId="1F0E59EB"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67CC39F4" w14:textId="77777777" w:rsidR="007332DF" w:rsidRDefault="007332DF" w:rsidP="005A1247">
            <w:pPr>
              <w:pStyle w:val="Normln10"/>
              <w:spacing w:before="60" w:line="240" w:lineRule="auto"/>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20D824F4" w14:textId="6885EDD6" w:rsidR="007332DF" w:rsidRDefault="007332DF" w:rsidP="005A1247">
            <w:pPr>
              <w:pStyle w:val="Normln10"/>
              <w:spacing w:before="60" w:line="240" w:lineRule="auto"/>
              <w:jc w:val="left"/>
              <w:rPr>
                <w:rFonts w:cs="Arial"/>
                <w:sz w:val="22"/>
                <w:szCs w:val="22"/>
              </w:rPr>
            </w:pPr>
            <w:r>
              <w:rPr>
                <w:rFonts w:cs="Arial"/>
                <w:sz w:val="22"/>
                <w:szCs w:val="22"/>
              </w:rPr>
              <w:t>TA ČR, Program VZ a</w:t>
            </w:r>
            <w:r w:rsidR="005A1247">
              <w:rPr>
                <w:rFonts w:cs="Arial"/>
                <w:sz w:val="22"/>
                <w:szCs w:val="22"/>
              </w:rPr>
              <w:t> </w:t>
            </w:r>
            <w:r>
              <w:rPr>
                <w:rFonts w:cs="Arial"/>
                <w:sz w:val="22"/>
                <w:szCs w:val="22"/>
              </w:rPr>
              <w:t>VS Ministerstva vnitra; 10 mil. Kč</w:t>
            </w:r>
          </w:p>
        </w:tc>
      </w:tr>
      <w:tr w:rsidR="007332DF" w14:paraId="7E2DE90D"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049C4578" w14:textId="77777777" w:rsidR="007332DF" w:rsidRDefault="007332DF" w:rsidP="005A1247">
            <w:pPr>
              <w:pStyle w:val="Normln10"/>
              <w:spacing w:before="20" w:after="20" w:line="240" w:lineRule="auto"/>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tcPr>
          <w:p w14:paraId="7A21CFCD" w14:textId="77777777" w:rsidR="007332DF" w:rsidRDefault="007332DF" w:rsidP="005A1247">
            <w:pPr>
              <w:pStyle w:val="Normln10"/>
              <w:spacing w:before="60" w:line="240" w:lineRule="auto"/>
              <w:jc w:val="left"/>
              <w:rPr>
                <w:rFonts w:cs="Arial"/>
                <w:sz w:val="22"/>
                <w:szCs w:val="22"/>
              </w:rPr>
            </w:pPr>
            <w:r>
              <w:rPr>
                <w:rFonts w:cs="Arial"/>
                <w:sz w:val="22"/>
                <w:szCs w:val="22"/>
              </w:rPr>
              <w:t>MV-Ex HZS ČR; MPO, MMR</w:t>
            </w:r>
          </w:p>
        </w:tc>
      </w:tr>
      <w:tr w:rsidR="007332DF" w14:paraId="155CE6C1"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4252820C" w14:textId="77777777" w:rsidR="007332DF" w:rsidRDefault="007332DF" w:rsidP="005A1247">
            <w:pPr>
              <w:pStyle w:val="Normln10"/>
              <w:spacing w:before="20" w:after="20" w:line="240" w:lineRule="auto"/>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7253D69B" w14:textId="77777777" w:rsidR="007332DF" w:rsidRDefault="007332DF" w:rsidP="005A1247">
            <w:pPr>
              <w:pStyle w:val="Normln10"/>
              <w:spacing w:before="60" w:line="240" w:lineRule="auto"/>
              <w:jc w:val="left"/>
              <w:rPr>
                <w:rFonts w:cs="Arial"/>
                <w:sz w:val="22"/>
                <w:szCs w:val="22"/>
              </w:rPr>
            </w:pPr>
            <w:r>
              <w:rPr>
                <w:rFonts w:cs="Arial"/>
                <w:sz w:val="22"/>
                <w:szCs w:val="22"/>
              </w:rPr>
              <w:t>MD, MŽP, AutoSAP, HZS krajů, TA ČR</w:t>
            </w:r>
          </w:p>
        </w:tc>
      </w:tr>
      <w:tr w:rsidR="007332DF" w14:paraId="2A0401E3" w14:textId="77777777" w:rsidTr="005A1247">
        <w:tc>
          <w:tcPr>
            <w:tcW w:w="1984" w:type="dxa"/>
            <w:tcBorders>
              <w:top w:val="single" w:sz="4" w:space="0" w:color="auto"/>
              <w:left w:val="single" w:sz="12" w:space="0" w:color="auto"/>
              <w:bottom w:val="single" w:sz="12" w:space="0" w:color="auto"/>
              <w:right w:val="single" w:sz="12" w:space="0" w:color="auto"/>
            </w:tcBorders>
            <w:vAlign w:val="center"/>
            <w:hideMark/>
          </w:tcPr>
          <w:p w14:paraId="280D4A10" w14:textId="77777777" w:rsidR="007332DF" w:rsidRDefault="007332DF" w:rsidP="005A1247">
            <w:pPr>
              <w:pStyle w:val="Normln10"/>
              <w:spacing w:before="20" w:after="20" w:line="240" w:lineRule="auto"/>
              <w:jc w:val="left"/>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tcPr>
          <w:p w14:paraId="20DF1A63" w14:textId="77777777" w:rsidR="007332DF" w:rsidRDefault="007332DF" w:rsidP="005A1247">
            <w:pPr>
              <w:pStyle w:val="Normln10"/>
              <w:spacing w:before="60" w:line="240" w:lineRule="auto"/>
              <w:jc w:val="left"/>
              <w:rPr>
                <w:rFonts w:cs="Arial"/>
                <w:sz w:val="22"/>
                <w:szCs w:val="22"/>
              </w:rPr>
            </w:pPr>
            <w:r>
              <w:rPr>
                <w:rFonts w:cs="Arial"/>
                <w:sz w:val="22"/>
                <w:szCs w:val="22"/>
              </w:rPr>
              <w:t>2025</w:t>
            </w:r>
          </w:p>
        </w:tc>
      </w:tr>
    </w:tbl>
    <w:p w14:paraId="123BADF2" w14:textId="77777777" w:rsidR="007332DF" w:rsidRPr="007332DF" w:rsidRDefault="007332DF" w:rsidP="007332DF"/>
    <w:p w14:paraId="38B4AB00" w14:textId="6B0BE790" w:rsidR="007332DF" w:rsidRDefault="007332DF" w:rsidP="00C77546">
      <w:pPr>
        <w:pStyle w:val="Nadpis3"/>
        <w:tabs>
          <w:tab w:val="clear" w:pos="2411"/>
          <w:tab w:val="num" w:pos="1276"/>
        </w:tabs>
        <w:jc w:val="both"/>
      </w:pPr>
      <w:r>
        <w:lastRenderedPageBreak/>
        <w:t xml:space="preserve">E6 </w:t>
      </w:r>
      <w:r w:rsidRPr="005B59CB">
        <w:t>Zajištění bezpečného a</w:t>
      </w:r>
      <w:r w:rsidR="005A1247">
        <w:t> </w:t>
      </w:r>
      <w:r w:rsidRPr="005B59CB">
        <w:t>efektivního zdolávání mimořádných událostí za účasti elektromobilů</w:t>
      </w:r>
    </w:p>
    <w:p w14:paraId="1EED8863" w14:textId="16A83DA5" w:rsidR="007332DF" w:rsidRDefault="007332DF" w:rsidP="007332DF">
      <w:pPr>
        <w:pStyle w:val="Nadpis3"/>
        <w:numPr>
          <w:ilvl w:val="0"/>
          <w:numId w:val="0"/>
        </w:numPr>
        <w:tabs>
          <w:tab w:val="num" w:pos="1134"/>
        </w:tabs>
        <w:ind w:left="284"/>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7332DF" w14:paraId="2C08436F"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199609F2" w14:textId="46A5C70C" w:rsidR="007332DF" w:rsidRPr="004F3155" w:rsidRDefault="007332DF" w:rsidP="005A1247">
            <w:pPr>
              <w:spacing w:before="60" w:after="60"/>
              <w:jc w:val="both"/>
              <w:rPr>
                <w:rFonts w:cs="Arial"/>
                <w:b/>
                <w:color w:val="FFFFFF" w:themeColor="background1"/>
              </w:rPr>
            </w:pPr>
            <w:r>
              <w:rPr>
                <w:b/>
                <w:color w:val="FFFFFF" w:themeColor="background1"/>
              </w:rPr>
              <w:t xml:space="preserve">E6 </w:t>
            </w:r>
            <w:r w:rsidRPr="004F3155">
              <w:rPr>
                <w:b/>
                <w:color w:val="FFFFFF" w:themeColor="background1"/>
              </w:rPr>
              <w:t>Zajištění bezpečného a</w:t>
            </w:r>
            <w:r w:rsidR="005A1247">
              <w:rPr>
                <w:b/>
                <w:color w:val="FFFFFF" w:themeColor="background1"/>
              </w:rPr>
              <w:t> </w:t>
            </w:r>
            <w:r w:rsidRPr="004F3155">
              <w:rPr>
                <w:b/>
                <w:color w:val="FFFFFF" w:themeColor="background1"/>
              </w:rPr>
              <w:t>efektivního zdolávání mimořádných událostí za účasti elektromobilů</w:t>
            </w:r>
          </w:p>
        </w:tc>
      </w:tr>
      <w:tr w:rsidR="007332DF" w14:paraId="4DF5FC9D" w14:textId="77777777" w:rsidTr="005A1247">
        <w:tc>
          <w:tcPr>
            <w:tcW w:w="1984" w:type="dxa"/>
            <w:tcBorders>
              <w:top w:val="single" w:sz="12" w:space="0" w:color="auto"/>
              <w:left w:val="single" w:sz="12" w:space="0" w:color="auto"/>
              <w:bottom w:val="single" w:sz="4" w:space="0" w:color="auto"/>
              <w:right w:val="single" w:sz="12" w:space="0" w:color="auto"/>
            </w:tcBorders>
            <w:hideMark/>
          </w:tcPr>
          <w:p w14:paraId="540FCDD8" w14:textId="77777777" w:rsidR="007332DF" w:rsidRDefault="007332DF" w:rsidP="005A1247">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7D58AD1C" w14:textId="77777777" w:rsidR="007332DF" w:rsidRPr="008B2DDE" w:rsidRDefault="007332DF" w:rsidP="005A1247">
            <w:pPr>
              <w:spacing w:before="60" w:after="0"/>
              <w:jc w:val="both"/>
              <w:rPr>
                <w:rFonts w:cs="Arial"/>
              </w:rPr>
            </w:pPr>
            <w:r w:rsidRPr="003E5EAC">
              <w:rPr>
                <w:rFonts w:cs="Arial"/>
                <w:szCs w:val="20"/>
              </w:rPr>
              <w:t>Zajištění stabilního regulatorního rámce pro rozvoj elektromobility</w:t>
            </w:r>
            <w:r>
              <w:rPr>
                <w:rFonts w:cs="Arial"/>
                <w:szCs w:val="20"/>
              </w:rPr>
              <w:t xml:space="preserve"> )kap. 2.4.3.)</w:t>
            </w:r>
          </w:p>
        </w:tc>
      </w:tr>
      <w:tr w:rsidR="007332DF" w14:paraId="47D19076"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70E8ED2C" w14:textId="77777777" w:rsidR="007332DF" w:rsidRDefault="007332DF" w:rsidP="005A1247">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tcPr>
          <w:p w14:paraId="32DF9E88" w14:textId="582E158A" w:rsidR="007332DF" w:rsidRDefault="007332DF" w:rsidP="005A1247">
            <w:pPr>
              <w:pStyle w:val="Normln10"/>
              <w:spacing w:before="60" w:line="240" w:lineRule="auto"/>
              <w:rPr>
                <w:rFonts w:cs="Arial"/>
                <w:sz w:val="22"/>
                <w:szCs w:val="22"/>
              </w:rPr>
            </w:pPr>
            <w:r>
              <w:rPr>
                <w:rFonts w:cs="Arial"/>
                <w:sz w:val="22"/>
                <w:szCs w:val="22"/>
              </w:rPr>
              <w:t>Záměrem je zajistit bezpečný, efektivní a</w:t>
            </w:r>
            <w:r w:rsidR="005A1247">
              <w:rPr>
                <w:rFonts w:cs="Arial"/>
                <w:sz w:val="22"/>
                <w:szCs w:val="22"/>
              </w:rPr>
              <w:t> </w:t>
            </w:r>
            <w:r>
              <w:rPr>
                <w:rFonts w:cs="Arial"/>
                <w:sz w:val="22"/>
                <w:szCs w:val="22"/>
              </w:rPr>
              <w:t>metodický řízený zásah jednotek požární ochrany při mimořádných událostech s</w:t>
            </w:r>
            <w:r w:rsidR="005A1247">
              <w:rPr>
                <w:rFonts w:cs="Arial"/>
                <w:sz w:val="22"/>
                <w:szCs w:val="22"/>
              </w:rPr>
              <w:t> </w:t>
            </w:r>
            <w:r>
              <w:rPr>
                <w:rFonts w:cs="Arial"/>
                <w:sz w:val="22"/>
                <w:szCs w:val="22"/>
              </w:rPr>
              <w:t>výskytem vozidel s</w:t>
            </w:r>
            <w:r w:rsidR="005A1247">
              <w:rPr>
                <w:rFonts w:cs="Arial"/>
                <w:sz w:val="22"/>
                <w:szCs w:val="22"/>
              </w:rPr>
              <w:t> </w:t>
            </w:r>
            <w:r>
              <w:rPr>
                <w:rFonts w:cs="Arial"/>
                <w:sz w:val="22"/>
                <w:szCs w:val="22"/>
              </w:rPr>
              <w:t>trakčním bateriovým systémem.</w:t>
            </w:r>
          </w:p>
        </w:tc>
      </w:tr>
      <w:tr w:rsidR="007332DF" w14:paraId="49E4B4BF"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4D9FDC87" w14:textId="77777777" w:rsidR="007332DF" w:rsidRDefault="007332DF" w:rsidP="005A1247">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tcPr>
          <w:p w14:paraId="08DC02D5" w14:textId="617F6035" w:rsidR="007332DF" w:rsidRPr="00C77546" w:rsidRDefault="007332DF" w:rsidP="005A1247">
            <w:pPr>
              <w:pStyle w:val="Normln10"/>
              <w:spacing w:before="60" w:line="240" w:lineRule="auto"/>
              <w:rPr>
                <w:rFonts w:cs="Arial"/>
              </w:rPr>
            </w:pPr>
            <w:r w:rsidRPr="00C77546">
              <w:rPr>
                <w:rFonts w:cs="Arial"/>
              </w:rPr>
              <w:t>Již v</w:t>
            </w:r>
            <w:r w:rsidR="005A1247">
              <w:rPr>
                <w:rFonts w:cs="Arial"/>
              </w:rPr>
              <w:t> </w:t>
            </w:r>
            <w:r w:rsidRPr="00C77546">
              <w:rPr>
                <w:rFonts w:cs="Arial"/>
              </w:rPr>
              <w:t>současné době, kdy je na pozemních komunikacích jen minimum vozidel s</w:t>
            </w:r>
            <w:r w:rsidR="005A1247">
              <w:rPr>
                <w:rFonts w:cs="Arial"/>
              </w:rPr>
              <w:t> </w:t>
            </w:r>
            <w:r w:rsidRPr="00C77546">
              <w:rPr>
                <w:rFonts w:cs="Arial"/>
              </w:rPr>
              <w:t>pohonem na akumulovanou elektrickou energii, lze identifikovat ojedinělé případy jejich požárů. S</w:t>
            </w:r>
            <w:r w:rsidR="005A1247">
              <w:rPr>
                <w:rFonts w:cs="Arial"/>
              </w:rPr>
              <w:t> </w:t>
            </w:r>
            <w:r w:rsidRPr="00C77546">
              <w:rPr>
                <w:rFonts w:cs="Arial"/>
              </w:rPr>
              <w:t>předpokladem nárůstu vozů na elektrický pohon je potřebné řešit zajištění adekvátních hasebních a</w:t>
            </w:r>
            <w:r w:rsidR="005A1247">
              <w:rPr>
                <w:rFonts w:cs="Arial"/>
              </w:rPr>
              <w:t> </w:t>
            </w:r>
            <w:r w:rsidRPr="00C77546">
              <w:rPr>
                <w:rFonts w:cs="Arial"/>
              </w:rPr>
              <w:t>záchranných postupů s</w:t>
            </w:r>
            <w:r w:rsidR="005A1247">
              <w:rPr>
                <w:rFonts w:cs="Arial"/>
              </w:rPr>
              <w:t> </w:t>
            </w:r>
            <w:r w:rsidRPr="00C77546">
              <w:rPr>
                <w:rFonts w:cs="Arial"/>
              </w:rPr>
              <w:t>důrazem na bezpečnost osob a</w:t>
            </w:r>
            <w:r w:rsidR="005A1247">
              <w:rPr>
                <w:rFonts w:cs="Arial"/>
              </w:rPr>
              <w:t> </w:t>
            </w:r>
            <w:r w:rsidRPr="00C77546">
              <w:rPr>
                <w:rFonts w:cs="Arial"/>
              </w:rPr>
              <w:t xml:space="preserve">jednotek požární ochrany (např. prostřednictvím e-callu nebo specifických značek). </w:t>
            </w:r>
          </w:p>
          <w:p w14:paraId="7B656C68" w14:textId="1D2154BB" w:rsidR="007332DF" w:rsidRPr="00C77546" w:rsidRDefault="007332DF" w:rsidP="005A1247">
            <w:pPr>
              <w:pStyle w:val="Normln10"/>
              <w:spacing w:before="60" w:line="240" w:lineRule="auto"/>
              <w:rPr>
                <w:rFonts w:cs="Arial"/>
              </w:rPr>
            </w:pPr>
            <w:r w:rsidRPr="00C77546">
              <w:rPr>
                <w:rFonts w:cs="Arial"/>
              </w:rPr>
              <w:t>Současné konvenční metody hašení se jeví jako neefektivní a</w:t>
            </w:r>
            <w:r w:rsidR="005A1247">
              <w:rPr>
                <w:rFonts w:cs="Arial"/>
              </w:rPr>
              <w:t> </w:t>
            </w:r>
            <w:r w:rsidRPr="00C77546">
              <w:rPr>
                <w:rFonts w:cs="Arial"/>
              </w:rPr>
              <w:t>hašení se tak omezuje spíše na pouhé ochlazování a</w:t>
            </w:r>
            <w:r w:rsidR="005A1247">
              <w:rPr>
                <w:rFonts w:cs="Arial"/>
              </w:rPr>
              <w:t> </w:t>
            </w:r>
            <w:r w:rsidRPr="00C77546">
              <w:rPr>
                <w:rFonts w:cs="Arial"/>
              </w:rPr>
              <w:t>zabraňování rozšiřování vzniklého požáru.</w:t>
            </w:r>
          </w:p>
          <w:p w14:paraId="7CFCD979" w14:textId="3FF5317A" w:rsidR="007332DF" w:rsidRPr="00C77546" w:rsidRDefault="007332DF" w:rsidP="005A1247">
            <w:pPr>
              <w:pStyle w:val="Normln10"/>
              <w:spacing w:before="60" w:line="240" w:lineRule="auto"/>
              <w:rPr>
                <w:rFonts w:cs="Arial"/>
              </w:rPr>
            </w:pPr>
            <w:r w:rsidRPr="00C77546">
              <w:rPr>
                <w:rFonts w:cs="Arial"/>
              </w:rPr>
              <w:t>Navrhnout způsob identifikace vozidel s</w:t>
            </w:r>
            <w:r w:rsidR="005A1247">
              <w:rPr>
                <w:rFonts w:cs="Arial"/>
              </w:rPr>
              <w:t> </w:t>
            </w:r>
            <w:r w:rsidRPr="00C77546">
              <w:rPr>
                <w:rFonts w:cs="Arial"/>
              </w:rPr>
              <w:t>trakčním bateriovým systémem (katalogizace EV a</w:t>
            </w:r>
            <w:r w:rsidR="005A1247">
              <w:rPr>
                <w:rFonts w:cs="Arial"/>
              </w:rPr>
              <w:t> </w:t>
            </w:r>
            <w:r w:rsidRPr="00C77546">
              <w:rPr>
                <w:rFonts w:cs="Arial"/>
              </w:rPr>
              <w:t>HEV) a</w:t>
            </w:r>
            <w:r w:rsidR="005A1247">
              <w:rPr>
                <w:rFonts w:cs="Arial"/>
              </w:rPr>
              <w:t> </w:t>
            </w:r>
            <w:r w:rsidRPr="00C77546">
              <w:rPr>
                <w:rFonts w:cs="Arial"/>
              </w:rPr>
              <w:t>vozidel s</w:t>
            </w:r>
            <w:r w:rsidR="005A1247">
              <w:rPr>
                <w:rFonts w:cs="Arial"/>
              </w:rPr>
              <w:t> </w:t>
            </w:r>
            <w:r w:rsidRPr="00C77546">
              <w:rPr>
                <w:rFonts w:cs="Arial"/>
              </w:rPr>
              <w:t>palivovým článkem na vodík. Je nezbytné navrhnout bezpečné a</w:t>
            </w:r>
            <w:r w:rsidR="005A1247">
              <w:rPr>
                <w:rFonts w:cs="Arial"/>
              </w:rPr>
              <w:t> </w:t>
            </w:r>
            <w:r w:rsidRPr="00C77546">
              <w:rPr>
                <w:rFonts w:cs="Arial"/>
              </w:rPr>
              <w:t>efektivní postupy jednotek požární ochrany u</w:t>
            </w:r>
            <w:r w:rsidR="005A1247">
              <w:rPr>
                <w:rFonts w:cs="Arial"/>
              </w:rPr>
              <w:t> </w:t>
            </w:r>
            <w:r w:rsidRPr="00C77546">
              <w:rPr>
                <w:rFonts w:cs="Arial"/>
              </w:rPr>
              <w:t>různých konfigurací vozidel při mimořádných událostech a</w:t>
            </w:r>
            <w:r w:rsidR="005A1247">
              <w:rPr>
                <w:rFonts w:cs="Arial"/>
              </w:rPr>
              <w:t> </w:t>
            </w:r>
            <w:r w:rsidRPr="00C77546">
              <w:rPr>
                <w:rFonts w:cs="Arial"/>
              </w:rPr>
              <w:t>vybavit jednotky požární ochrany nezbytnými technickými prostředky pro provedení hasebního zásahu.</w:t>
            </w:r>
          </w:p>
          <w:p w14:paraId="0B2FF55D" w14:textId="09C97F9F" w:rsidR="007332DF" w:rsidRDefault="007332DF" w:rsidP="005A1247">
            <w:pPr>
              <w:pStyle w:val="Normln10"/>
              <w:spacing w:before="60" w:line="240" w:lineRule="auto"/>
              <w:rPr>
                <w:rFonts w:cs="Arial"/>
                <w:sz w:val="22"/>
                <w:szCs w:val="22"/>
              </w:rPr>
            </w:pPr>
            <w:r w:rsidRPr="00C77546">
              <w:rPr>
                <w:rFonts w:cs="Arial"/>
              </w:rPr>
              <w:t>Kodifikovat způsob záznamu události/nehody vozidel s</w:t>
            </w:r>
            <w:r w:rsidR="005A1247">
              <w:rPr>
                <w:rFonts w:cs="Arial"/>
              </w:rPr>
              <w:t> </w:t>
            </w:r>
            <w:r w:rsidRPr="00C77546">
              <w:rPr>
                <w:rFonts w:cs="Arial"/>
              </w:rPr>
              <w:t>trakčním bateriovým systémem. Tak, aby byla jasná klasifikace poškozeného vozidla v</w:t>
            </w:r>
            <w:r w:rsidR="005A1247">
              <w:rPr>
                <w:rFonts w:cs="Arial"/>
              </w:rPr>
              <w:t> </w:t>
            </w:r>
            <w:r w:rsidRPr="00C77546">
              <w:rPr>
                <w:rFonts w:cs="Arial"/>
              </w:rPr>
              <w:t>návaznosti na přepravu a</w:t>
            </w:r>
            <w:r w:rsidR="005A1247">
              <w:rPr>
                <w:rFonts w:cs="Arial"/>
              </w:rPr>
              <w:t> </w:t>
            </w:r>
            <w:r w:rsidRPr="00C77546">
              <w:rPr>
                <w:rFonts w:cs="Arial"/>
              </w:rPr>
              <w:t>servis. Definovat body, kdy lze klasifikaci vozidla změnit, například provedením servisní prohlídky po nehodě.</w:t>
            </w:r>
          </w:p>
        </w:tc>
      </w:tr>
      <w:tr w:rsidR="007332DF" w14:paraId="162E7394"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65F6D38F" w14:textId="15CCFE4D" w:rsidR="007332DF" w:rsidRDefault="007332DF" w:rsidP="005A1247">
            <w:pPr>
              <w:pStyle w:val="Normln10"/>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491EFC6D" w14:textId="3CDE09E6" w:rsidR="007332DF" w:rsidRDefault="007332DF" w:rsidP="005A1247">
            <w:pPr>
              <w:spacing w:before="60" w:after="0"/>
              <w:jc w:val="both"/>
            </w:pPr>
            <w:r>
              <w:rPr>
                <w:rFonts w:cs="Arial"/>
                <w:szCs w:val="22"/>
              </w:rPr>
              <w:t xml:space="preserve">Požár MHD MSK – </w:t>
            </w:r>
            <w:r>
              <w:t>poškození dvanácti autobusů parkujících v</w:t>
            </w:r>
            <w:r w:rsidR="005A1247">
              <w:t> </w:t>
            </w:r>
            <w:r>
              <w:t>garážích na Hranečníku, Dopravní podnik Ostrava. Požár vznikl při dobíjení autobusu s</w:t>
            </w:r>
            <w:r w:rsidR="005A1247">
              <w:t> </w:t>
            </w:r>
            <w:r>
              <w:t xml:space="preserve">elektrickým pohonem (15. 6. 2019). </w:t>
            </w:r>
          </w:p>
          <w:p w14:paraId="44C6B584" w14:textId="6C94D1A8" w:rsidR="007332DF" w:rsidRDefault="007332DF" w:rsidP="005A1247">
            <w:pPr>
              <w:spacing w:before="60" w:after="0"/>
              <w:jc w:val="both"/>
              <w:rPr>
                <w:rFonts w:cs="Arial"/>
                <w:szCs w:val="22"/>
              </w:rPr>
            </w:pPr>
            <w:r>
              <w:rPr>
                <w:rFonts w:cs="Arial"/>
                <w:szCs w:val="22"/>
              </w:rPr>
              <w:t>Požár autobusu s</w:t>
            </w:r>
            <w:r w:rsidR="005A1247">
              <w:rPr>
                <w:rFonts w:cs="Arial"/>
                <w:szCs w:val="22"/>
              </w:rPr>
              <w:t> </w:t>
            </w:r>
            <w:r>
              <w:rPr>
                <w:rFonts w:cs="Arial"/>
                <w:szCs w:val="22"/>
              </w:rPr>
              <w:t>elektrickým pohonem, při jízdě městem. Hranice na Moravě (10. 6. 2018).</w:t>
            </w:r>
          </w:p>
        </w:tc>
      </w:tr>
      <w:tr w:rsidR="007332DF" w14:paraId="798F1615"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F14BA74" w14:textId="77777777" w:rsidR="007332DF" w:rsidRDefault="007332DF" w:rsidP="005A1247">
            <w:pPr>
              <w:pStyle w:val="Normln10"/>
              <w:spacing w:before="60" w:line="240" w:lineRule="auto"/>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tcPr>
          <w:p w14:paraId="2941A4C5" w14:textId="30B04294" w:rsidR="007332DF" w:rsidRPr="00C77546" w:rsidRDefault="007332DF" w:rsidP="005A1247">
            <w:pPr>
              <w:pStyle w:val="Normln10"/>
              <w:spacing w:before="60" w:line="240" w:lineRule="auto"/>
              <w:rPr>
                <w:rFonts w:cs="Arial"/>
                <w:sz w:val="22"/>
                <w:szCs w:val="22"/>
              </w:rPr>
            </w:pPr>
            <w:r>
              <w:rPr>
                <w:rFonts w:cs="Arial"/>
                <w:sz w:val="22"/>
                <w:szCs w:val="22"/>
              </w:rPr>
              <w:t xml:space="preserve">TA ČR/BV MV ČR / Dovybavení HZS ČR </w:t>
            </w:r>
            <w:r w:rsidRPr="00C77546">
              <w:rPr>
                <w:rFonts w:cs="Arial"/>
                <w:sz w:val="22"/>
                <w:szCs w:val="22"/>
              </w:rPr>
              <w:t>250 ks speciální CAS, cca 3 mld. Kč bez DPH a</w:t>
            </w:r>
            <w:r w:rsidR="005A1247">
              <w:rPr>
                <w:rFonts w:cs="Arial"/>
                <w:sz w:val="22"/>
                <w:szCs w:val="22"/>
              </w:rPr>
              <w:t> </w:t>
            </w:r>
            <w:r w:rsidRPr="00C77546">
              <w:rPr>
                <w:rFonts w:cs="Arial"/>
                <w:sz w:val="22"/>
                <w:szCs w:val="22"/>
              </w:rPr>
              <w:t>100 ks kont</w:t>
            </w:r>
            <w:r>
              <w:rPr>
                <w:rFonts w:cs="Arial"/>
                <w:sz w:val="22"/>
                <w:szCs w:val="22"/>
              </w:rPr>
              <w:t xml:space="preserve">ejnerů pro hašení vozidel, cca </w:t>
            </w:r>
            <w:r w:rsidRPr="00C77546">
              <w:rPr>
                <w:rFonts w:cs="Arial"/>
                <w:sz w:val="22"/>
                <w:szCs w:val="22"/>
              </w:rPr>
              <w:t xml:space="preserve">70 mil. Kč bez DPH </w:t>
            </w:r>
          </w:p>
          <w:p w14:paraId="565AEEFC" w14:textId="4330870A" w:rsidR="007332DF" w:rsidRDefault="007332DF" w:rsidP="005A1247">
            <w:pPr>
              <w:pStyle w:val="Normln10"/>
              <w:spacing w:before="60" w:line="240" w:lineRule="auto"/>
              <w:rPr>
                <w:rFonts w:cs="Arial"/>
                <w:sz w:val="22"/>
                <w:szCs w:val="22"/>
              </w:rPr>
            </w:pPr>
            <w:r>
              <w:rPr>
                <w:rFonts w:cs="Arial"/>
                <w:sz w:val="22"/>
                <w:szCs w:val="22"/>
              </w:rPr>
              <w:t>Financování se zapojením evropských projektů a</w:t>
            </w:r>
            <w:r w:rsidR="005A1247">
              <w:rPr>
                <w:rFonts w:cs="Arial"/>
                <w:sz w:val="22"/>
                <w:szCs w:val="22"/>
              </w:rPr>
              <w:t> </w:t>
            </w:r>
            <w:r>
              <w:rPr>
                <w:rFonts w:cs="Arial"/>
                <w:sz w:val="22"/>
                <w:szCs w:val="22"/>
              </w:rPr>
              <w:t>národního spolufinancování.</w:t>
            </w:r>
          </w:p>
        </w:tc>
      </w:tr>
      <w:tr w:rsidR="007332DF" w14:paraId="1277FB94"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14F09FC" w14:textId="77777777" w:rsidR="007332DF" w:rsidRDefault="007332DF" w:rsidP="005A1247">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tcPr>
          <w:p w14:paraId="503EC0D1" w14:textId="77777777" w:rsidR="007332DF" w:rsidRDefault="007332DF" w:rsidP="005A1247">
            <w:pPr>
              <w:pStyle w:val="Normln10"/>
              <w:spacing w:before="60" w:line="240" w:lineRule="auto"/>
              <w:rPr>
                <w:rFonts w:cs="Arial"/>
                <w:sz w:val="22"/>
                <w:szCs w:val="22"/>
              </w:rPr>
            </w:pPr>
            <w:r>
              <w:rPr>
                <w:rFonts w:cs="Arial"/>
                <w:sz w:val="22"/>
                <w:szCs w:val="22"/>
              </w:rPr>
              <w:t>MV-GŘ HZS ČR</w:t>
            </w:r>
          </w:p>
        </w:tc>
      </w:tr>
      <w:tr w:rsidR="007332DF" w14:paraId="053D5A7D"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1FFB200E" w14:textId="77777777" w:rsidR="007332DF" w:rsidRDefault="007332DF" w:rsidP="005A1247">
            <w:pPr>
              <w:pStyle w:val="Normln10"/>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000970E9" w14:textId="77777777" w:rsidR="007332DF" w:rsidRDefault="007332DF" w:rsidP="005A1247">
            <w:pPr>
              <w:pStyle w:val="Normln10"/>
              <w:spacing w:before="60" w:line="240" w:lineRule="auto"/>
              <w:rPr>
                <w:rFonts w:cs="Arial"/>
                <w:sz w:val="22"/>
                <w:szCs w:val="22"/>
              </w:rPr>
            </w:pPr>
            <w:r>
              <w:rPr>
                <w:rFonts w:cs="Arial"/>
                <w:sz w:val="22"/>
                <w:szCs w:val="22"/>
              </w:rPr>
              <w:t xml:space="preserve">MD, </w:t>
            </w:r>
            <w:r w:rsidRPr="007C42BB">
              <w:rPr>
                <w:rFonts w:cs="Arial"/>
                <w:sz w:val="22"/>
                <w:szCs w:val="22"/>
              </w:rPr>
              <w:t>AutoSAP</w:t>
            </w:r>
            <w:r>
              <w:rPr>
                <w:rFonts w:cs="Arial"/>
                <w:sz w:val="22"/>
                <w:szCs w:val="22"/>
              </w:rPr>
              <w:t>, HZS krajů, VŠCHT, TA ČR</w:t>
            </w:r>
          </w:p>
        </w:tc>
      </w:tr>
      <w:tr w:rsidR="007332DF" w14:paraId="4F308C13" w14:textId="77777777" w:rsidTr="005A1247">
        <w:tc>
          <w:tcPr>
            <w:tcW w:w="1984" w:type="dxa"/>
            <w:tcBorders>
              <w:top w:val="single" w:sz="4" w:space="0" w:color="auto"/>
              <w:left w:val="single" w:sz="12" w:space="0" w:color="auto"/>
              <w:bottom w:val="single" w:sz="12" w:space="0" w:color="auto"/>
              <w:right w:val="single" w:sz="12" w:space="0" w:color="auto"/>
            </w:tcBorders>
            <w:hideMark/>
          </w:tcPr>
          <w:p w14:paraId="1DC51799" w14:textId="77777777" w:rsidR="007332DF" w:rsidRDefault="007332DF" w:rsidP="005A1247">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tcPr>
          <w:p w14:paraId="2D2713D5" w14:textId="77777777" w:rsidR="007332DF" w:rsidRDefault="007332DF" w:rsidP="005A1247">
            <w:pPr>
              <w:pStyle w:val="Normln10"/>
              <w:spacing w:before="60" w:line="240" w:lineRule="auto"/>
              <w:rPr>
                <w:rFonts w:cs="Arial"/>
                <w:sz w:val="22"/>
                <w:szCs w:val="22"/>
              </w:rPr>
            </w:pPr>
            <w:r>
              <w:rPr>
                <w:rFonts w:cs="Arial"/>
                <w:sz w:val="22"/>
                <w:szCs w:val="22"/>
              </w:rPr>
              <w:t>2020 – 2021, dokončení nejpozději do 6/2022</w:t>
            </w:r>
          </w:p>
        </w:tc>
      </w:tr>
    </w:tbl>
    <w:p w14:paraId="094E610B" w14:textId="77777777" w:rsidR="007332DF" w:rsidRPr="007332DF" w:rsidRDefault="007332DF" w:rsidP="007332DF"/>
    <w:p w14:paraId="7AFD0B9F" w14:textId="607DEE8A" w:rsidR="00DD2E8A" w:rsidRDefault="007332DF" w:rsidP="00C77546">
      <w:pPr>
        <w:pStyle w:val="Nadpis3"/>
        <w:tabs>
          <w:tab w:val="clear" w:pos="2411"/>
          <w:tab w:val="num" w:pos="1276"/>
        </w:tabs>
        <w:jc w:val="both"/>
      </w:pPr>
      <w:r>
        <w:lastRenderedPageBreak/>
        <w:t xml:space="preserve">E7 Bezpečnost </w:t>
      </w:r>
      <w:r w:rsidR="00DD2E8A" w:rsidRPr="0034487A">
        <w:t>převozu a</w:t>
      </w:r>
      <w:r w:rsidR="005A1247">
        <w:t> </w:t>
      </w:r>
      <w:r w:rsidR="00DD2E8A" w:rsidRPr="0034487A">
        <w:t>zpracování použitých baterií na bázi lithia</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14:paraId="06915565"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58B3D8CF" w14:textId="3EDA814D" w:rsidR="00DD2E8A" w:rsidRDefault="007332DF" w:rsidP="005A1247">
            <w:pPr>
              <w:jc w:val="both"/>
              <w:rPr>
                <w:rFonts w:cs="Arial"/>
                <w:b/>
                <w:color w:val="FFFFFF" w:themeColor="background1"/>
              </w:rPr>
            </w:pPr>
            <w:r>
              <w:rPr>
                <w:rFonts w:cs="Arial"/>
                <w:b/>
                <w:color w:val="FFFFFF" w:themeColor="background1"/>
              </w:rPr>
              <w:t>E7</w:t>
            </w:r>
            <w:r w:rsidR="00DD2E8A">
              <w:rPr>
                <w:rFonts w:cs="Arial"/>
                <w:b/>
                <w:color w:val="FFFFFF" w:themeColor="background1"/>
              </w:rPr>
              <w:t xml:space="preserve"> </w:t>
            </w:r>
            <w:r w:rsidR="00DD2E8A" w:rsidRPr="0034487A">
              <w:rPr>
                <w:rFonts w:cs="Arial"/>
                <w:b/>
                <w:color w:val="FFFFFF" w:themeColor="background1"/>
              </w:rPr>
              <w:t>Bezpečnost převozu a</w:t>
            </w:r>
            <w:r w:rsidR="005A1247">
              <w:rPr>
                <w:rFonts w:cs="Arial"/>
                <w:b/>
                <w:color w:val="FFFFFF" w:themeColor="background1"/>
              </w:rPr>
              <w:t> </w:t>
            </w:r>
            <w:r w:rsidR="00DD2E8A" w:rsidRPr="0034487A">
              <w:rPr>
                <w:rFonts w:cs="Arial"/>
                <w:b/>
                <w:color w:val="FFFFFF" w:themeColor="background1"/>
              </w:rPr>
              <w:t>zpracování použitých baterií na bázi lithia</w:t>
            </w:r>
          </w:p>
        </w:tc>
      </w:tr>
      <w:tr w:rsidR="00DD2E8A" w14:paraId="6FB2DA55" w14:textId="77777777" w:rsidTr="0054245B">
        <w:tc>
          <w:tcPr>
            <w:tcW w:w="1984" w:type="dxa"/>
            <w:tcBorders>
              <w:top w:val="single" w:sz="12" w:space="0" w:color="auto"/>
              <w:left w:val="single" w:sz="12" w:space="0" w:color="auto"/>
              <w:bottom w:val="single" w:sz="4" w:space="0" w:color="auto"/>
              <w:right w:val="single" w:sz="12" w:space="0" w:color="auto"/>
            </w:tcBorders>
            <w:vAlign w:val="center"/>
            <w:hideMark/>
          </w:tcPr>
          <w:p w14:paraId="1085AF27"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vAlign w:val="center"/>
            <w:hideMark/>
          </w:tcPr>
          <w:p w14:paraId="739D2C21" w14:textId="77777777" w:rsidR="00DD2E8A" w:rsidRDefault="00DD2E8A" w:rsidP="0054245B">
            <w:pPr>
              <w:pStyle w:val="Normln10"/>
              <w:spacing w:before="0" w:line="240" w:lineRule="auto"/>
              <w:jc w:val="left"/>
              <w:rPr>
                <w:rFonts w:cs="Arial"/>
                <w:sz w:val="22"/>
                <w:szCs w:val="22"/>
              </w:rPr>
            </w:pPr>
            <w:r>
              <w:rPr>
                <w:rFonts w:cs="Arial"/>
                <w:sz w:val="22"/>
                <w:szCs w:val="22"/>
              </w:rPr>
              <w:t>Zajištění stabilního regulatorního rámce pro rozvoj elektromobility</w:t>
            </w:r>
            <w:r w:rsidR="003D46EF">
              <w:rPr>
                <w:rFonts w:cs="Arial"/>
                <w:sz w:val="22"/>
                <w:szCs w:val="22"/>
              </w:rPr>
              <w:t xml:space="preserve"> (kap. 2.4.3.)</w:t>
            </w:r>
          </w:p>
        </w:tc>
      </w:tr>
      <w:tr w:rsidR="00DD2E8A" w14:paraId="5FB5D879"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3B6EE1E5"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tcPr>
          <w:p w14:paraId="27DCE124" w14:textId="5ABFB390" w:rsidR="00DD2E8A" w:rsidRPr="00C77546" w:rsidRDefault="00DD2E8A" w:rsidP="005A1247">
            <w:pPr>
              <w:pStyle w:val="Normln10"/>
              <w:spacing w:before="0" w:line="240" w:lineRule="auto"/>
              <w:rPr>
                <w:rFonts w:cs="Arial"/>
              </w:rPr>
            </w:pPr>
            <w:r w:rsidRPr="00C77546">
              <w:rPr>
                <w:rFonts w:cs="Arial"/>
              </w:rPr>
              <w:t>Záměrem je zanalyzovat a</w:t>
            </w:r>
            <w:r w:rsidR="005A1247">
              <w:rPr>
                <w:rFonts w:cs="Arial"/>
              </w:rPr>
              <w:t> </w:t>
            </w:r>
            <w:r w:rsidRPr="00C77546">
              <w:rPr>
                <w:rFonts w:cs="Arial"/>
              </w:rPr>
              <w:t>zefektivnit právní předpisy týkající se převozu (včetně přeshraniční přepravy) a</w:t>
            </w:r>
            <w:r w:rsidR="005A1247">
              <w:rPr>
                <w:rFonts w:cs="Arial"/>
              </w:rPr>
              <w:t> </w:t>
            </w:r>
            <w:r w:rsidRPr="00C77546">
              <w:rPr>
                <w:rFonts w:cs="Arial"/>
              </w:rPr>
              <w:t>zpracování použitých baterií na bázi lithia tak, aby byla eliminována možná bezpečnostní rizika spojená s</w:t>
            </w:r>
            <w:r w:rsidR="005A1247">
              <w:rPr>
                <w:rFonts w:cs="Arial"/>
              </w:rPr>
              <w:t> </w:t>
            </w:r>
            <w:r w:rsidRPr="00C77546">
              <w:rPr>
                <w:rFonts w:cs="Arial"/>
              </w:rPr>
              <w:t>nakládáním s</w:t>
            </w:r>
            <w:r w:rsidR="005A1247">
              <w:rPr>
                <w:rFonts w:cs="Arial"/>
              </w:rPr>
              <w:t> </w:t>
            </w:r>
            <w:r w:rsidRPr="00C77546">
              <w:rPr>
                <w:rFonts w:cs="Arial"/>
              </w:rPr>
              <w:t>těmito bateriemi, a</w:t>
            </w:r>
            <w:r w:rsidR="005A1247">
              <w:rPr>
                <w:rFonts w:cs="Arial"/>
              </w:rPr>
              <w:t> </w:t>
            </w:r>
            <w:r w:rsidRPr="00C77546">
              <w:rPr>
                <w:rFonts w:cs="Arial"/>
              </w:rPr>
              <w:t>současně podpořit jejich opětovné použití nebo recyklaci v</w:t>
            </w:r>
            <w:r w:rsidR="005A1247">
              <w:rPr>
                <w:rFonts w:cs="Arial"/>
              </w:rPr>
              <w:t> </w:t>
            </w:r>
            <w:r w:rsidRPr="00C77546">
              <w:rPr>
                <w:rFonts w:cs="Arial"/>
              </w:rPr>
              <w:t>rámci ČR.</w:t>
            </w:r>
          </w:p>
        </w:tc>
      </w:tr>
      <w:tr w:rsidR="00DD2E8A" w14:paraId="3D9F22F8" w14:textId="77777777" w:rsidTr="0054245B">
        <w:trPr>
          <w:trHeight w:val="4139"/>
        </w:trPr>
        <w:tc>
          <w:tcPr>
            <w:tcW w:w="1984" w:type="dxa"/>
            <w:vMerge w:val="restart"/>
            <w:tcBorders>
              <w:top w:val="single" w:sz="4" w:space="0" w:color="auto"/>
              <w:left w:val="single" w:sz="12" w:space="0" w:color="auto"/>
              <w:right w:val="single" w:sz="12" w:space="0" w:color="auto"/>
            </w:tcBorders>
            <w:vAlign w:val="center"/>
            <w:hideMark/>
          </w:tcPr>
          <w:p w14:paraId="5E3E9536"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Popis opatření</w:t>
            </w:r>
          </w:p>
        </w:tc>
        <w:tc>
          <w:tcPr>
            <w:tcW w:w="7087" w:type="dxa"/>
            <w:tcBorders>
              <w:top w:val="single" w:sz="4" w:space="0" w:color="auto"/>
              <w:left w:val="single" w:sz="12" w:space="0" w:color="auto"/>
              <w:bottom w:val="nil"/>
              <w:right w:val="single" w:sz="12" w:space="0" w:color="auto"/>
            </w:tcBorders>
            <w:hideMark/>
          </w:tcPr>
          <w:p w14:paraId="21EF311B" w14:textId="74ED4712" w:rsidR="00DD2E8A" w:rsidRPr="00C77546" w:rsidRDefault="00DD2E8A" w:rsidP="0054245B">
            <w:pPr>
              <w:pStyle w:val="Normln10"/>
              <w:spacing w:before="0" w:line="240" w:lineRule="auto"/>
              <w:rPr>
                <w:rFonts w:cs="Arial"/>
              </w:rPr>
            </w:pPr>
            <w:r w:rsidRPr="00C77546">
              <w:rPr>
                <w:rFonts w:cs="Arial"/>
              </w:rPr>
              <w:t>Vzhledem k</w:t>
            </w:r>
            <w:r w:rsidR="005A1247">
              <w:rPr>
                <w:rFonts w:cs="Arial"/>
              </w:rPr>
              <w:t> </w:t>
            </w:r>
            <w:r w:rsidRPr="00C77546">
              <w:rPr>
                <w:rFonts w:cs="Arial"/>
              </w:rPr>
              <w:t>očekávanému rozvoji elektromobility v</w:t>
            </w:r>
            <w:r w:rsidR="005A1247">
              <w:rPr>
                <w:rFonts w:cs="Arial"/>
              </w:rPr>
              <w:t> </w:t>
            </w:r>
            <w:r w:rsidRPr="00C77546">
              <w:rPr>
                <w:rFonts w:cs="Arial"/>
              </w:rPr>
              <w:t>ČR a</w:t>
            </w:r>
            <w:r w:rsidR="005A1247">
              <w:rPr>
                <w:rFonts w:cs="Arial"/>
              </w:rPr>
              <w:t> </w:t>
            </w:r>
            <w:r w:rsidRPr="00C77546">
              <w:rPr>
                <w:rFonts w:cs="Arial"/>
              </w:rPr>
              <w:t>EU lze očekávat potřebu zajištění adekvátní dostupnosti baterií a</w:t>
            </w:r>
            <w:r w:rsidR="005A1247">
              <w:rPr>
                <w:rFonts w:cs="Arial"/>
              </w:rPr>
              <w:t> </w:t>
            </w:r>
            <w:r w:rsidRPr="00C77546">
              <w:rPr>
                <w:rFonts w:cs="Arial"/>
              </w:rPr>
              <w:t>bateriových článků. S</w:t>
            </w:r>
            <w:r w:rsidR="005A1247">
              <w:rPr>
                <w:rFonts w:cs="Arial"/>
              </w:rPr>
              <w:t> </w:t>
            </w:r>
            <w:r w:rsidRPr="00C77546">
              <w:rPr>
                <w:rFonts w:cs="Arial"/>
              </w:rPr>
              <w:t>tím souvisí i</w:t>
            </w:r>
            <w:r w:rsidR="005A1247">
              <w:rPr>
                <w:rFonts w:cs="Arial"/>
              </w:rPr>
              <w:t> </w:t>
            </w:r>
            <w:r w:rsidRPr="00C77546">
              <w:rPr>
                <w:rFonts w:cs="Arial"/>
              </w:rPr>
              <w:t>rozšíření jejich výroby a</w:t>
            </w:r>
            <w:r w:rsidR="005A1247">
              <w:rPr>
                <w:rFonts w:cs="Arial"/>
              </w:rPr>
              <w:t> </w:t>
            </w:r>
            <w:r w:rsidRPr="00C77546">
              <w:rPr>
                <w:rFonts w:cs="Arial"/>
              </w:rPr>
              <w:t>otázky spojené s</w:t>
            </w:r>
            <w:r w:rsidR="005A1247">
              <w:rPr>
                <w:rFonts w:cs="Arial"/>
              </w:rPr>
              <w:t> </w:t>
            </w:r>
            <w:r w:rsidRPr="00C77546">
              <w:rPr>
                <w:rFonts w:cs="Arial"/>
              </w:rPr>
              <w:t>podmínkami a</w:t>
            </w:r>
            <w:r w:rsidR="005A1247">
              <w:rPr>
                <w:rFonts w:cs="Arial"/>
              </w:rPr>
              <w:t> </w:t>
            </w:r>
            <w:r w:rsidRPr="00C77546">
              <w:rPr>
                <w:rFonts w:cs="Arial"/>
              </w:rPr>
              <w:t>bezpečností převozu, zpracování, balení, třídění, skladování a</w:t>
            </w:r>
            <w:r w:rsidR="005A1247">
              <w:rPr>
                <w:rFonts w:cs="Arial"/>
              </w:rPr>
              <w:t> </w:t>
            </w:r>
            <w:r w:rsidRPr="00C77546">
              <w:rPr>
                <w:rFonts w:cs="Arial"/>
              </w:rPr>
              <w:t>recyklací použitých baterií. Rovněž se nabízí přezkoumat možnosti jejich sekundárního využití (např. ve formě energy storage pro uchovávání a</w:t>
            </w:r>
            <w:r w:rsidR="005A1247">
              <w:rPr>
                <w:rFonts w:cs="Arial"/>
              </w:rPr>
              <w:t> </w:t>
            </w:r>
            <w:r w:rsidRPr="00C77546">
              <w:rPr>
                <w:rFonts w:cs="Arial"/>
              </w:rPr>
              <w:t>regulaci energie pro využití v</w:t>
            </w:r>
            <w:r w:rsidR="005A1247">
              <w:rPr>
                <w:rFonts w:cs="Arial"/>
              </w:rPr>
              <w:t> </w:t>
            </w:r>
            <w:r w:rsidRPr="00C77546">
              <w:rPr>
                <w:rFonts w:cs="Arial"/>
              </w:rPr>
              <w:t>soukromé i</w:t>
            </w:r>
            <w:r w:rsidR="005A1247">
              <w:rPr>
                <w:rFonts w:cs="Arial"/>
              </w:rPr>
              <w:t> </w:t>
            </w:r>
            <w:r w:rsidRPr="00C77546">
              <w:rPr>
                <w:rFonts w:cs="Arial"/>
              </w:rPr>
              <w:t>podnikatelské sféře).</w:t>
            </w:r>
          </w:p>
          <w:p w14:paraId="703B8F47" w14:textId="4D3C8C60" w:rsidR="00DD2E8A" w:rsidRPr="00C77546" w:rsidRDefault="00DD2E8A" w:rsidP="0054245B">
            <w:pPr>
              <w:pStyle w:val="Normln10"/>
              <w:spacing w:before="0" w:line="240" w:lineRule="auto"/>
              <w:rPr>
                <w:rFonts w:cs="Arial"/>
              </w:rPr>
            </w:pPr>
            <w:r w:rsidRPr="00C77546">
              <w:rPr>
                <w:rFonts w:cs="Arial"/>
              </w:rPr>
              <w:t>S ohledem na absenci recyklačního průmyslu pro baterie na bázi lithia v</w:t>
            </w:r>
            <w:r w:rsidR="005A1247">
              <w:rPr>
                <w:rFonts w:cs="Arial"/>
              </w:rPr>
              <w:t> </w:t>
            </w:r>
            <w:r w:rsidRPr="00C77546">
              <w:rPr>
                <w:rFonts w:cs="Arial"/>
              </w:rPr>
              <w:t>ČR je v</w:t>
            </w:r>
            <w:r w:rsidR="005A1247">
              <w:rPr>
                <w:rFonts w:cs="Arial"/>
              </w:rPr>
              <w:t> </w:t>
            </w:r>
            <w:r w:rsidRPr="00C77546">
              <w:rPr>
                <w:rFonts w:cs="Arial"/>
              </w:rPr>
              <w:t>současnosti jedinou alternativou jejich recyklace v</w:t>
            </w:r>
            <w:r w:rsidR="005A1247">
              <w:rPr>
                <w:rFonts w:cs="Arial"/>
              </w:rPr>
              <w:t> </w:t>
            </w:r>
            <w:r w:rsidRPr="00C77546">
              <w:rPr>
                <w:rFonts w:cs="Arial"/>
              </w:rPr>
              <w:t>zahraničí. Ta však naráží na administrativně a</w:t>
            </w:r>
            <w:r w:rsidR="005A1247">
              <w:rPr>
                <w:rFonts w:cs="Arial"/>
              </w:rPr>
              <w:t> </w:t>
            </w:r>
            <w:r w:rsidRPr="00C77546">
              <w:rPr>
                <w:rFonts w:cs="Arial"/>
              </w:rPr>
              <w:t>finančně náročný proces přeshraniční přepravy nebezpečných odpadů, což je samozřejmě spojeno i</w:t>
            </w:r>
            <w:r w:rsidR="005A1247">
              <w:rPr>
                <w:rFonts w:cs="Arial"/>
              </w:rPr>
              <w:t> </w:t>
            </w:r>
            <w:r w:rsidRPr="00C77546">
              <w:rPr>
                <w:rFonts w:cs="Arial"/>
              </w:rPr>
              <w:t>s manipulací a</w:t>
            </w:r>
            <w:r w:rsidR="005A1247">
              <w:rPr>
                <w:rFonts w:cs="Arial"/>
              </w:rPr>
              <w:t> </w:t>
            </w:r>
            <w:r w:rsidRPr="00C77546">
              <w:rPr>
                <w:rFonts w:cs="Arial"/>
              </w:rPr>
              <w:t>dočasným uskladněním těchto baterií. Vzhledem k</w:t>
            </w:r>
            <w:r w:rsidR="005A1247">
              <w:rPr>
                <w:rFonts w:cs="Arial"/>
              </w:rPr>
              <w:t> </w:t>
            </w:r>
            <w:r w:rsidRPr="00C77546">
              <w:rPr>
                <w:rFonts w:cs="Arial"/>
              </w:rPr>
              <w:t>vysoké reaktivitě baterií na bázi lithia je potřeba vytvořit systém postupů, které povedou k</w:t>
            </w:r>
            <w:r w:rsidR="005A1247">
              <w:rPr>
                <w:rFonts w:cs="Arial"/>
              </w:rPr>
              <w:t> </w:t>
            </w:r>
            <w:r w:rsidRPr="00C77546">
              <w:rPr>
                <w:rFonts w:cs="Arial"/>
              </w:rPr>
              <w:t>eliminaci rizik spojených zejména se vznikem požárů (při sběru, přepravě, manipulaci a</w:t>
            </w:r>
            <w:r w:rsidR="005A1247">
              <w:rPr>
                <w:rFonts w:cs="Arial"/>
              </w:rPr>
              <w:t> </w:t>
            </w:r>
            <w:r w:rsidRPr="00C77546">
              <w:rPr>
                <w:rFonts w:cs="Arial"/>
              </w:rPr>
              <w:t>skladování). Cílem opatření je identifikovat způsoby, jak zabezpečit nakládání s</w:t>
            </w:r>
            <w:r w:rsidR="005A1247">
              <w:rPr>
                <w:rFonts w:cs="Arial"/>
              </w:rPr>
              <w:t> </w:t>
            </w:r>
            <w:r w:rsidRPr="00C77546">
              <w:rPr>
                <w:rFonts w:cs="Arial"/>
              </w:rPr>
              <w:t>použitými lithiovými bateriemi při dodržení všech principů ochrany ŽP, bezpečnosti a</w:t>
            </w:r>
            <w:r w:rsidR="005A1247">
              <w:rPr>
                <w:rFonts w:cs="Arial"/>
              </w:rPr>
              <w:t> </w:t>
            </w:r>
            <w:r w:rsidRPr="00C77546">
              <w:rPr>
                <w:rFonts w:cs="Arial"/>
              </w:rPr>
              <w:t>zdraví a</w:t>
            </w:r>
            <w:r w:rsidR="005A1247">
              <w:rPr>
                <w:rFonts w:cs="Arial"/>
              </w:rPr>
              <w:t> </w:t>
            </w:r>
            <w:r w:rsidRPr="00C77546">
              <w:rPr>
                <w:rFonts w:cs="Arial"/>
              </w:rPr>
              <w:t>zároveň plně využít pro ČR potenciál, který lithiové baterie nabízí i</w:t>
            </w:r>
            <w:r w:rsidR="005A1247">
              <w:rPr>
                <w:rFonts w:cs="Arial"/>
              </w:rPr>
              <w:t> </w:t>
            </w:r>
            <w:r w:rsidRPr="00C77546">
              <w:rPr>
                <w:rFonts w:cs="Arial"/>
              </w:rPr>
              <w:t xml:space="preserve">při poklesu kapacity pod úroveň, kdy mohou být používány ve vozidlech. </w:t>
            </w:r>
          </w:p>
          <w:p w14:paraId="37F49905" w14:textId="4D0EEBF9" w:rsidR="00DD2E8A" w:rsidRPr="00C77546" w:rsidRDefault="00DD2E8A" w:rsidP="005A1247">
            <w:pPr>
              <w:pStyle w:val="Normln10"/>
              <w:spacing w:before="0" w:line="240" w:lineRule="auto"/>
              <w:rPr>
                <w:rFonts w:cs="Arial"/>
              </w:rPr>
            </w:pPr>
            <w:r w:rsidRPr="00C77546">
              <w:rPr>
                <w:rFonts w:cs="Arial"/>
              </w:rPr>
              <w:t>Současně je potřeba podporovat snahy o</w:t>
            </w:r>
            <w:r w:rsidR="005A1247">
              <w:rPr>
                <w:rFonts w:cs="Arial"/>
              </w:rPr>
              <w:t> </w:t>
            </w:r>
            <w:r w:rsidRPr="00C77546">
              <w:rPr>
                <w:rFonts w:cs="Arial"/>
              </w:rPr>
              <w:t>vybudování zpracovatelského zařízení pro baterie na bázi lithia v</w:t>
            </w:r>
            <w:r w:rsidR="005A1247">
              <w:rPr>
                <w:rFonts w:cs="Arial"/>
              </w:rPr>
              <w:t> </w:t>
            </w:r>
            <w:r w:rsidRPr="00C77546">
              <w:rPr>
                <w:rFonts w:cs="Arial"/>
              </w:rPr>
              <w:t>rámci ČR. To by vedle ekonomického přínosu v</w:t>
            </w:r>
            <w:r w:rsidR="005A1247">
              <w:rPr>
                <w:rFonts w:cs="Arial"/>
              </w:rPr>
              <w:t> </w:t>
            </w:r>
            <w:r w:rsidRPr="00C77546">
              <w:rPr>
                <w:rFonts w:cs="Arial"/>
              </w:rPr>
              <w:t>podobě získání druhotných surovin pro výrobní průmysl mělo i</w:t>
            </w:r>
            <w:r w:rsidR="005A1247">
              <w:rPr>
                <w:rFonts w:cs="Arial"/>
              </w:rPr>
              <w:t> </w:t>
            </w:r>
            <w:r w:rsidRPr="00C77546">
              <w:rPr>
                <w:rFonts w:cs="Arial"/>
              </w:rPr>
              <w:t>pozitivní efekt na zkrácení a</w:t>
            </w:r>
            <w:r w:rsidR="005A1247">
              <w:rPr>
                <w:rFonts w:cs="Arial"/>
              </w:rPr>
              <w:t> </w:t>
            </w:r>
            <w:r w:rsidRPr="00C77546">
              <w:rPr>
                <w:rFonts w:cs="Arial"/>
              </w:rPr>
              <w:t>zjednodušení procesů nakládání s</w:t>
            </w:r>
            <w:r w:rsidR="005A1247">
              <w:rPr>
                <w:rFonts w:cs="Arial"/>
              </w:rPr>
              <w:t> </w:t>
            </w:r>
            <w:r w:rsidRPr="00C77546">
              <w:rPr>
                <w:rFonts w:cs="Arial"/>
              </w:rPr>
              <w:t>lithiovými bateriemi (snížení dopravních vzdáleností, snížení doby skladování apod.) na straně původců odpadů nebo osob oprávněných odpadní baterie přebírat. Zde je nezbytný předpoklad aktivní spolupráce na straně zpracovatelského průmyslu a</w:t>
            </w:r>
            <w:r w:rsidR="005A1247">
              <w:rPr>
                <w:rFonts w:cs="Arial"/>
              </w:rPr>
              <w:t> </w:t>
            </w:r>
            <w:r w:rsidRPr="00C77546">
              <w:rPr>
                <w:rFonts w:cs="Arial"/>
              </w:rPr>
              <w:t>potenciálních investorů do technologií recyklace lithiových baterií (např. Kovohutě Příbram nástupnická).</w:t>
            </w:r>
          </w:p>
        </w:tc>
      </w:tr>
      <w:tr w:rsidR="00DD2E8A" w14:paraId="38B38540" w14:textId="77777777" w:rsidTr="0054245B">
        <w:trPr>
          <w:trHeight w:val="842"/>
        </w:trPr>
        <w:tc>
          <w:tcPr>
            <w:tcW w:w="1984" w:type="dxa"/>
            <w:vMerge/>
            <w:tcBorders>
              <w:left w:val="single" w:sz="12" w:space="0" w:color="auto"/>
              <w:bottom w:val="single" w:sz="4" w:space="0" w:color="auto"/>
              <w:right w:val="single" w:sz="12" w:space="0" w:color="auto"/>
            </w:tcBorders>
            <w:vAlign w:val="center"/>
          </w:tcPr>
          <w:p w14:paraId="1D0D48E1" w14:textId="77777777" w:rsidR="00DD2E8A" w:rsidRDefault="00DD2E8A" w:rsidP="0054245B">
            <w:pPr>
              <w:pStyle w:val="Normln10"/>
              <w:spacing w:beforeLines="20" w:before="48" w:after="20" w:line="240" w:lineRule="auto"/>
              <w:jc w:val="left"/>
              <w:rPr>
                <w:rFonts w:cs="Arial"/>
                <w:sz w:val="22"/>
                <w:szCs w:val="22"/>
              </w:rPr>
            </w:pPr>
          </w:p>
        </w:tc>
        <w:tc>
          <w:tcPr>
            <w:tcW w:w="7087" w:type="dxa"/>
            <w:tcBorders>
              <w:top w:val="nil"/>
              <w:left w:val="single" w:sz="12" w:space="0" w:color="auto"/>
              <w:bottom w:val="single" w:sz="4" w:space="0" w:color="auto"/>
              <w:right w:val="single" w:sz="12" w:space="0" w:color="auto"/>
            </w:tcBorders>
          </w:tcPr>
          <w:p w14:paraId="21B1AFD7" w14:textId="5B7152CB" w:rsidR="00DD2E8A" w:rsidRPr="00C77546" w:rsidRDefault="00DD2E8A" w:rsidP="005A1247">
            <w:pPr>
              <w:pStyle w:val="Normln10"/>
              <w:spacing w:before="0" w:line="240" w:lineRule="auto"/>
              <w:rPr>
                <w:rFonts w:cs="Arial"/>
              </w:rPr>
            </w:pPr>
            <w:r w:rsidRPr="00C77546">
              <w:rPr>
                <w:rFonts w:cs="Arial"/>
              </w:rPr>
              <w:t>Zvláštní pozornost je vhodné věnovat sekundárnímu využití velkých trakčních baterií (z vozidel veřejné dopravy) v</w:t>
            </w:r>
            <w:r w:rsidR="005A1247">
              <w:rPr>
                <w:rFonts w:cs="Arial"/>
              </w:rPr>
              <w:t> </w:t>
            </w:r>
            <w:r w:rsidRPr="00C77546">
              <w:rPr>
                <w:rFonts w:cs="Arial"/>
              </w:rPr>
              <w:t>napájecí nebo dobíjecí infrastruktuře MHD/IAD, nebo energetice. Například v</w:t>
            </w:r>
            <w:r w:rsidR="005A1247">
              <w:rPr>
                <w:rFonts w:cs="Arial"/>
              </w:rPr>
              <w:t> </w:t>
            </w:r>
            <w:r w:rsidRPr="00C77546">
              <w:rPr>
                <w:rFonts w:cs="Arial"/>
              </w:rPr>
              <w:t>bateriových trolejbusech se využívají nanotechnologické lithium-titanátové baterie, u</w:t>
            </w:r>
            <w:r w:rsidR="005A1247">
              <w:rPr>
                <w:rFonts w:cs="Arial"/>
              </w:rPr>
              <w:t> </w:t>
            </w:r>
            <w:r w:rsidRPr="00C77546">
              <w:rPr>
                <w:rFonts w:cs="Arial"/>
              </w:rPr>
              <w:t>nichž se po skončení životnosti předpokládá vysoká kapacita, ale vzrůstá vnitřní odpor, tj. hodí se např. pro krátkodobé zatížení o</w:t>
            </w:r>
            <w:r w:rsidR="005A1247">
              <w:rPr>
                <w:rFonts w:cs="Arial"/>
              </w:rPr>
              <w:t> </w:t>
            </w:r>
            <w:r w:rsidRPr="00C77546">
              <w:rPr>
                <w:rFonts w:cs="Arial"/>
              </w:rPr>
              <w:t>velkých výkonech - vyrovnání špiček, FVE apod.</w:t>
            </w:r>
          </w:p>
        </w:tc>
      </w:tr>
      <w:tr w:rsidR="00DD2E8A" w14:paraId="22E9FE8F"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5A0BC04A" w14:textId="0B9F4805" w:rsidR="00DD2E8A" w:rsidRDefault="00DD2E8A" w:rsidP="005A1247">
            <w:pPr>
              <w:pStyle w:val="Normln10"/>
              <w:spacing w:beforeLines="20" w:before="48" w:after="20" w:line="240" w:lineRule="auto"/>
              <w:jc w:val="left"/>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0FDCC122" w14:textId="67AE32FE" w:rsidR="00DD2E8A" w:rsidRDefault="00DD2E8A" w:rsidP="005A1247">
            <w:pPr>
              <w:pStyle w:val="Normln10"/>
              <w:spacing w:before="0" w:line="240" w:lineRule="auto"/>
              <w:rPr>
                <w:rFonts w:cs="Arial"/>
                <w:sz w:val="22"/>
                <w:szCs w:val="22"/>
              </w:rPr>
            </w:pPr>
            <w:r w:rsidRPr="00814F24">
              <w:rPr>
                <w:rFonts w:cs="Arial"/>
                <w:sz w:val="22"/>
                <w:szCs w:val="22"/>
              </w:rPr>
              <w:t>Solingen (Německo) - projekt města na sekundární využití trakčních baterií z</w:t>
            </w:r>
            <w:r w:rsidR="005A1247">
              <w:rPr>
                <w:rFonts w:cs="Arial"/>
                <w:sz w:val="22"/>
                <w:szCs w:val="22"/>
              </w:rPr>
              <w:t> </w:t>
            </w:r>
            <w:r w:rsidRPr="00814F24">
              <w:rPr>
                <w:rFonts w:cs="Arial"/>
                <w:sz w:val="22"/>
                <w:szCs w:val="22"/>
              </w:rPr>
              <w:t>trolejbusů v</w:t>
            </w:r>
            <w:r w:rsidR="005A1247">
              <w:rPr>
                <w:rFonts w:cs="Arial"/>
                <w:sz w:val="22"/>
                <w:szCs w:val="22"/>
              </w:rPr>
              <w:t> </w:t>
            </w:r>
            <w:r w:rsidRPr="00814F24">
              <w:rPr>
                <w:rFonts w:cs="Arial"/>
                <w:sz w:val="22"/>
                <w:szCs w:val="22"/>
              </w:rPr>
              <w:t>městských FVE</w:t>
            </w:r>
          </w:p>
        </w:tc>
      </w:tr>
      <w:tr w:rsidR="00DD2E8A" w14:paraId="55D3428B"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05D77930"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3650D39F" w14:textId="5F45E058" w:rsidR="00DD2E8A" w:rsidRDefault="00DD2E8A" w:rsidP="0054245B">
            <w:pPr>
              <w:pStyle w:val="Normln10"/>
              <w:spacing w:before="0" w:line="240" w:lineRule="auto"/>
              <w:jc w:val="left"/>
              <w:rPr>
                <w:rFonts w:cs="Arial"/>
                <w:sz w:val="22"/>
                <w:szCs w:val="22"/>
              </w:rPr>
            </w:pPr>
            <w:r w:rsidRPr="00E03A09">
              <w:rPr>
                <w:rFonts w:cs="Arial"/>
                <w:sz w:val="22"/>
                <w:szCs w:val="22"/>
              </w:rPr>
              <w:t xml:space="preserve">Výzkumné </w:t>
            </w:r>
            <w:r>
              <w:rPr>
                <w:rFonts w:cs="Arial"/>
                <w:sz w:val="22"/>
                <w:szCs w:val="22"/>
              </w:rPr>
              <w:t xml:space="preserve">resortní </w:t>
            </w:r>
            <w:r w:rsidRPr="00E03A09">
              <w:rPr>
                <w:rFonts w:cs="Arial"/>
                <w:sz w:val="22"/>
                <w:szCs w:val="22"/>
              </w:rPr>
              <w:t xml:space="preserve">programy </w:t>
            </w:r>
            <w:r>
              <w:rPr>
                <w:rFonts w:cs="Arial"/>
                <w:sz w:val="22"/>
                <w:szCs w:val="22"/>
              </w:rPr>
              <w:t>TA</w:t>
            </w:r>
            <w:r w:rsidR="00FA66DA">
              <w:rPr>
                <w:rFonts w:cs="Arial"/>
                <w:sz w:val="22"/>
                <w:szCs w:val="22"/>
              </w:rPr>
              <w:t xml:space="preserve"> </w:t>
            </w:r>
            <w:r>
              <w:rPr>
                <w:rFonts w:cs="Arial"/>
                <w:sz w:val="22"/>
                <w:szCs w:val="22"/>
              </w:rPr>
              <w:t>ČR (</w:t>
            </w:r>
            <w:r w:rsidRPr="00E03A09">
              <w:rPr>
                <w:rFonts w:cs="Arial"/>
                <w:sz w:val="22"/>
                <w:szCs w:val="22"/>
              </w:rPr>
              <w:t>Prostředí pro život, Program Doprava</w:t>
            </w:r>
            <w:r>
              <w:rPr>
                <w:rFonts w:cs="Arial"/>
                <w:sz w:val="22"/>
                <w:szCs w:val="22"/>
              </w:rPr>
              <w:t xml:space="preserve"> 2020+</w:t>
            </w:r>
            <w:r w:rsidRPr="00E03A09">
              <w:rPr>
                <w:rFonts w:cs="Arial"/>
                <w:sz w:val="22"/>
                <w:szCs w:val="22"/>
              </w:rPr>
              <w:t>, Program T</w:t>
            </w:r>
            <w:r>
              <w:rPr>
                <w:rFonts w:cs="Arial"/>
                <w:sz w:val="22"/>
                <w:szCs w:val="22"/>
              </w:rPr>
              <w:t>REND</w:t>
            </w:r>
            <w:r w:rsidRPr="00E03A09">
              <w:rPr>
                <w:rFonts w:cs="Arial"/>
                <w:sz w:val="22"/>
                <w:szCs w:val="22"/>
              </w:rPr>
              <w:t>), TA</w:t>
            </w:r>
            <w:r w:rsidR="00FA66DA">
              <w:rPr>
                <w:rFonts w:cs="Arial"/>
                <w:sz w:val="22"/>
                <w:szCs w:val="22"/>
              </w:rPr>
              <w:t xml:space="preserve"> </w:t>
            </w:r>
            <w:r w:rsidRPr="00E03A09">
              <w:rPr>
                <w:rFonts w:cs="Arial"/>
                <w:sz w:val="22"/>
                <w:szCs w:val="22"/>
              </w:rPr>
              <w:t>ČR Beta 2</w:t>
            </w:r>
          </w:p>
        </w:tc>
      </w:tr>
      <w:tr w:rsidR="00DD2E8A" w14:paraId="757CB1BD"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24ACA8C9"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tcPr>
          <w:p w14:paraId="0ED3FC24" w14:textId="77777777" w:rsidR="00DD2E8A" w:rsidRDefault="00DD2E8A" w:rsidP="0054245B">
            <w:pPr>
              <w:pStyle w:val="Normln10"/>
              <w:spacing w:before="0" w:line="240" w:lineRule="auto"/>
              <w:jc w:val="left"/>
              <w:rPr>
                <w:rFonts w:cs="Arial"/>
                <w:sz w:val="22"/>
                <w:szCs w:val="22"/>
              </w:rPr>
            </w:pPr>
            <w:r>
              <w:rPr>
                <w:rFonts w:cs="Arial"/>
                <w:sz w:val="22"/>
                <w:szCs w:val="22"/>
              </w:rPr>
              <w:t>MŽP</w:t>
            </w:r>
          </w:p>
        </w:tc>
      </w:tr>
      <w:tr w:rsidR="00DD2E8A" w14:paraId="0FB245CE" w14:textId="77777777" w:rsidTr="0054245B">
        <w:tc>
          <w:tcPr>
            <w:tcW w:w="1984" w:type="dxa"/>
            <w:tcBorders>
              <w:top w:val="single" w:sz="4" w:space="0" w:color="auto"/>
              <w:left w:val="single" w:sz="12" w:space="0" w:color="auto"/>
              <w:bottom w:val="single" w:sz="4" w:space="0" w:color="auto"/>
              <w:right w:val="single" w:sz="12" w:space="0" w:color="auto"/>
            </w:tcBorders>
            <w:vAlign w:val="center"/>
            <w:hideMark/>
          </w:tcPr>
          <w:p w14:paraId="4BBB967F"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76896345" w14:textId="2DD94D91" w:rsidR="00DD2E8A" w:rsidRDefault="00DD2E8A" w:rsidP="000119B6">
            <w:pPr>
              <w:pStyle w:val="Normln10"/>
              <w:spacing w:before="0" w:line="240" w:lineRule="auto"/>
              <w:jc w:val="left"/>
              <w:rPr>
                <w:rFonts w:cs="Arial"/>
                <w:sz w:val="22"/>
                <w:szCs w:val="22"/>
              </w:rPr>
            </w:pPr>
            <w:r w:rsidRPr="00E03A09">
              <w:rPr>
                <w:rFonts w:cs="Arial"/>
                <w:sz w:val="22"/>
                <w:szCs w:val="22"/>
              </w:rPr>
              <w:t xml:space="preserve">MPO, MD, </w:t>
            </w:r>
            <w:r w:rsidR="004239FB">
              <w:rPr>
                <w:rFonts w:cs="Arial"/>
                <w:sz w:val="22"/>
                <w:szCs w:val="22"/>
              </w:rPr>
              <w:t>MV</w:t>
            </w:r>
            <w:r>
              <w:rPr>
                <w:rFonts w:cs="Arial"/>
                <w:sz w:val="22"/>
                <w:szCs w:val="22"/>
              </w:rPr>
              <w:t xml:space="preserve">, </w:t>
            </w:r>
            <w:r w:rsidRPr="00E03A09">
              <w:rPr>
                <w:rFonts w:cs="Arial"/>
                <w:sz w:val="22"/>
                <w:szCs w:val="22"/>
              </w:rPr>
              <w:t>AutoSAP, ČEZ, HZS ČR, České sdružení výrobců přenosných baterií, TA</w:t>
            </w:r>
            <w:r w:rsidR="00FA66DA">
              <w:rPr>
                <w:rFonts w:cs="Arial"/>
                <w:sz w:val="22"/>
                <w:szCs w:val="22"/>
              </w:rPr>
              <w:t xml:space="preserve"> </w:t>
            </w:r>
            <w:r w:rsidRPr="00E03A09">
              <w:rPr>
                <w:rFonts w:cs="Arial"/>
                <w:sz w:val="22"/>
                <w:szCs w:val="22"/>
              </w:rPr>
              <w:t>ČR</w:t>
            </w:r>
          </w:p>
        </w:tc>
      </w:tr>
      <w:tr w:rsidR="00DD2E8A" w14:paraId="188B17D2" w14:textId="77777777" w:rsidTr="0054245B">
        <w:tc>
          <w:tcPr>
            <w:tcW w:w="1984" w:type="dxa"/>
            <w:tcBorders>
              <w:top w:val="single" w:sz="4" w:space="0" w:color="auto"/>
              <w:left w:val="single" w:sz="12" w:space="0" w:color="auto"/>
              <w:bottom w:val="single" w:sz="12" w:space="0" w:color="auto"/>
              <w:right w:val="single" w:sz="12" w:space="0" w:color="auto"/>
            </w:tcBorders>
            <w:vAlign w:val="center"/>
            <w:hideMark/>
          </w:tcPr>
          <w:p w14:paraId="452CAD80" w14:textId="77777777" w:rsidR="00DD2E8A" w:rsidRDefault="00DD2E8A" w:rsidP="0054245B">
            <w:pPr>
              <w:pStyle w:val="Normln10"/>
              <w:spacing w:beforeLines="20" w:before="48" w:after="20" w:line="240" w:lineRule="auto"/>
              <w:jc w:val="left"/>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tcPr>
          <w:p w14:paraId="5E08F425" w14:textId="77777777" w:rsidR="00DD2E8A" w:rsidRDefault="00DD2E8A" w:rsidP="0054245B">
            <w:pPr>
              <w:pStyle w:val="Normln10"/>
              <w:spacing w:before="0" w:line="240" w:lineRule="auto"/>
              <w:jc w:val="left"/>
              <w:rPr>
                <w:rFonts w:cs="Arial"/>
                <w:sz w:val="22"/>
                <w:szCs w:val="22"/>
              </w:rPr>
            </w:pPr>
            <w:r>
              <w:rPr>
                <w:rFonts w:cs="Arial"/>
                <w:sz w:val="22"/>
                <w:szCs w:val="22"/>
              </w:rPr>
              <w:t>2022</w:t>
            </w:r>
          </w:p>
        </w:tc>
      </w:tr>
    </w:tbl>
    <w:p w14:paraId="6400CCF5" w14:textId="60ACF826" w:rsidR="00443642" w:rsidRPr="00443642" w:rsidRDefault="007332DF" w:rsidP="007E541C">
      <w:pPr>
        <w:pStyle w:val="Nadpis3"/>
        <w:tabs>
          <w:tab w:val="clear" w:pos="2411"/>
          <w:tab w:val="num" w:pos="1134"/>
        </w:tabs>
        <w:jc w:val="both"/>
      </w:pPr>
      <w:r>
        <w:lastRenderedPageBreak/>
        <w:t>E8</w:t>
      </w:r>
      <w:r w:rsidR="00DD2E8A">
        <w:t xml:space="preserve"> </w:t>
      </w:r>
      <w:r w:rsidR="00443642">
        <w:t>Bezpečnost výroby, přepravy a</w:t>
      </w:r>
      <w:r w:rsidR="005A1247">
        <w:t> </w:t>
      </w:r>
      <w:r w:rsidR="00443642">
        <w:t xml:space="preserve">skladování trakčních akumulátorů na bázi lithia </w:t>
      </w:r>
    </w:p>
    <w:tbl>
      <w:tblPr>
        <w:tblpPr w:leftFromText="142" w:rightFromText="142" w:bottomFromText="160" w:vertAnchor="text" w:horzAnchor="margin" w:tblpY="285"/>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5"/>
        <w:gridCol w:w="8079"/>
      </w:tblGrid>
      <w:tr w:rsidR="00443642" w14:paraId="29710D9F" w14:textId="77777777" w:rsidTr="00AE0635">
        <w:tc>
          <w:tcPr>
            <w:tcW w:w="9624"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0DC3BE88" w14:textId="54E93CEC" w:rsidR="00443642" w:rsidRDefault="007332DF" w:rsidP="005A1247">
            <w:pPr>
              <w:spacing w:line="256" w:lineRule="auto"/>
              <w:rPr>
                <w:rFonts w:cs="Arial"/>
                <w:b/>
                <w:color w:val="FFFFFF" w:themeColor="background1"/>
                <w:lang w:eastAsia="en-US"/>
              </w:rPr>
            </w:pPr>
            <w:r>
              <w:rPr>
                <w:rFonts w:cs="Arial"/>
                <w:b/>
                <w:color w:val="FFFFFF" w:themeColor="background1"/>
                <w:lang w:eastAsia="en-US"/>
              </w:rPr>
              <w:t>E8</w:t>
            </w:r>
            <w:r w:rsidR="00C77546">
              <w:rPr>
                <w:rFonts w:cs="Arial"/>
                <w:b/>
                <w:color w:val="FFFFFF" w:themeColor="background1"/>
                <w:lang w:eastAsia="en-US"/>
              </w:rPr>
              <w:t xml:space="preserve"> </w:t>
            </w:r>
            <w:r w:rsidR="00443642">
              <w:rPr>
                <w:rFonts w:cs="Arial"/>
                <w:b/>
                <w:color w:val="FFFFFF" w:themeColor="background1"/>
                <w:lang w:eastAsia="en-US"/>
              </w:rPr>
              <w:t>Bezpečnost výroby, přepravy a</w:t>
            </w:r>
            <w:r w:rsidR="005A1247">
              <w:rPr>
                <w:rFonts w:cs="Arial"/>
                <w:b/>
                <w:color w:val="FFFFFF" w:themeColor="background1"/>
                <w:lang w:eastAsia="en-US"/>
              </w:rPr>
              <w:t> </w:t>
            </w:r>
            <w:r w:rsidR="00443642">
              <w:rPr>
                <w:rFonts w:cs="Arial"/>
                <w:b/>
                <w:color w:val="FFFFFF" w:themeColor="background1"/>
                <w:lang w:eastAsia="en-US"/>
              </w:rPr>
              <w:t>skladování trakčních akumulátorů na bázi lithia</w:t>
            </w:r>
          </w:p>
        </w:tc>
      </w:tr>
      <w:tr w:rsidR="00443642" w14:paraId="5F8746E4" w14:textId="77777777" w:rsidTr="00AE0635">
        <w:tc>
          <w:tcPr>
            <w:tcW w:w="1545" w:type="dxa"/>
            <w:tcBorders>
              <w:top w:val="single" w:sz="12" w:space="0" w:color="auto"/>
              <w:left w:val="single" w:sz="12" w:space="0" w:color="auto"/>
              <w:bottom w:val="single" w:sz="4" w:space="0" w:color="auto"/>
              <w:right w:val="single" w:sz="12" w:space="0" w:color="auto"/>
            </w:tcBorders>
            <w:hideMark/>
          </w:tcPr>
          <w:p w14:paraId="712458A9" w14:textId="77777777" w:rsidR="00443642" w:rsidRPr="00AE0635" w:rsidRDefault="00443642">
            <w:pPr>
              <w:pStyle w:val="Normln10"/>
              <w:jc w:val="left"/>
              <w:rPr>
                <w:rFonts w:cs="Arial"/>
                <w:lang w:eastAsia="en-US"/>
              </w:rPr>
            </w:pPr>
            <w:r w:rsidRPr="00AE0635">
              <w:rPr>
                <w:rFonts w:cs="Arial"/>
                <w:lang w:eastAsia="en-US"/>
              </w:rPr>
              <w:t>Návaznost na strategický cíl</w:t>
            </w:r>
          </w:p>
        </w:tc>
        <w:tc>
          <w:tcPr>
            <w:tcW w:w="8079" w:type="dxa"/>
            <w:tcBorders>
              <w:top w:val="single" w:sz="12" w:space="0" w:color="auto"/>
              <w:left w:val="single" w:sz="12" w:space="0" w:color="auto"/>
              <w:bottom w:val="single" w:sz="4" w:space="0" w:color="auto"/>
              <w:right w:val="single" w:sz="12" w:space="0" w:color="auto"/>
            </w:tcBorders>
            <w:hideMark/>
          </w:tcPr>
          <w:p w14:paraId="1A6A4BAD" w14:textId="77777777" w:rsidR="00443642" w:rsidRPr="00AE0635" w:rsidRDefault="00443642">
            <w:pPr>
              <w:pStyle w:val="Normln10"/>
              <w:rPr>
                <w:lang w:eastAsia="en-US"/>
              </w:rPr>
            </w:pPr>
            <w:r w:rsidRPr="00AE0635">
              <w:rPr>
                <w:lang w:eastAsia="en-US"/>
              </w:rPr>
              <w:t>1.3 Vytváření podmínek pro lepší vnímání elektromobility na straně potenciálních zákazníků.</w:t>
            </w:r>
          </w:p>
          <w:p w14:paraId="7AE5DE1F" w14:textId="1F3220A5" w:rsidR="00443642" w:rsidRPr="00AE0635" w:rsidRDefault="00443642" w:rsidP="005A1247">
            <w:pPr>
              <w:pStyle w:val="Normln10"/>
              <w:rPr>
                <w:rFonts w:cs="Arial"/>
                <w:lang w:eastAsia="en-US"/>
              </w:rPr>
            </w:pPr>
            <w:r w:rsidRPr="00AE0635">
              <w:rPr>
                <w:lang w:eastAsia="en-US"/>
              </w:rPr>
              <w:t>1.4 Zlepšování podmínek pro výkon podnikání v</w:t>
            </w:r>
            <w:r w:rsidR="005A1247">
              <w:rPr>
                <w:lang w:eastAsia="en-US"/>
              </w:rPr>
              <w:t> </w:t>
            </w:r>
            <w:r w:rsidRPr="00AE0635">
              <w:rPr>
                <w:lang w:eastAsia="en-US"/>
              </w:rPr>
              <w:t>oblastech souvisejících s</w:t>
            </w:r>
            <w:r w:rsidR="005A1247">
              <w:rPr>
                <w:lang w:eastAsia="en-US"/>
              </w:rPr>
              <w:t> </w:t>
            </w:r>
            <w:r w:rsidRPr="00AE0635">
              <w:rPr>
                <w:lang w:eastAsia="en-US"/>
              </w:rPr>
              <w:t>elektromobilitou.</w:t>
            </w:r>
          </w:p>
        </w:tc>
      </w:tr>
      <w:tr w:rsidR="00443642" w14:paraId="41396456" w14:textId="77777777" w:rsidTr="00AE0635">
        <w:tc>
          <w:tcPr>
            <w:tcW w:w="1545" w:type="dxa"/>
            <w:tcBorders>
              <w:top w:val="single" w:sz="12" w:space="0" w:color="auto"/>
              <w:left w:val="single" w:sz="12" w:space="0" w:color="auto"/>
              <w:bottom w:val="single" w:sz="4" w:space="0" w:color="auto"/>
              <w:right w:val="single" w:sz="12" w:space="0" w:color="auto"/>
            </w:tcBorders>
            <w:hideMark/>
          </w:tcPr>
          <w:p w14:paraId="63B78DF0" w14:textId="77777777" w:rsidR="00443642" w:rsidRPr="00AE0635" w:rsidRDefault="00443642">
            <w:pPr>
              <w:pStyle w:val="Normln10"/>
              <w:jc w:val="left"/>
              <w:rPr>
                <w:rFonts w:cs="Arial"/>
                <w:lang w:eastAsia="en-US"/>
              </w:rPr>
            </w:pPr>
            <w:r w:rsidRPr="00AE0635">
              <w:rPr>
                <w:rFonts w:cs="Arial"/>
                <w:lang w:eastAsia="en-US"/>
              </w:rPr>
              <w:t>Cíl opatření</w:t>
            </w:r>
          </w:p>
        </w:tc>
        <w:tc>
          <w:tcPr>
            <w:tcW w:w="8079" w:type="dxa"/>
            <w:tcBorders>
              <w:top w:val="single" w:sz="12" w:space="0" w:color="auto"/>
              <w:left w:val="single" w:sz="12" w:space="0" w:color="auto"/>
              <w:bottom w:val="single" w:sz="4" w:space="0" w:color="auto"/>
              <w:right w:val="single" w:sz="12" w:space="0" w:color="auto"/>
            </w:tcBorders>
            <w:hideMark/>
          </w:tcPr>
          <w:p w14:paraId="13CD2CB9" w14:textId="220E592A" w:rsidR="00443642" w:rsidRPr="00AE0635" w:rsidRDefault="00443642" w:rsidP="005A1247">
            <w:pPr>
              <w:pStyle w:val="Normln10"/>
              <w:rPr>
                <w:rFonts w:cs="Arial"/>
                <w:lang w:eastAsia="en-US"/>
              </w:rPr>
            </w:pPr>
            <w:r w:rsidRPr="00AE0635">
              <w:rPr>
                <w:rFonts w:cs="Arial"/>
                <w:lang w:eastAsia="en-US"/>
              </w:rPr>
              <w:t>Záměrem je vytvořit bezpečné prostředí pro oblast vozidel  s</w:t>
            </w:r>
            <w:r w:rsidR="005A1247">
              <w:rPr>
                <w:rFonts w:cs="Arial"/>
                <w:lang w:eastAsia="en-US"/>
              </w:rPr>
              <w:t> </w:t>
            </w:r>
            <w:r w:rsidRPr="00AE0635">
              <w:rPr>
                <w:rFonts w:cs="Arial"/>
                <w:lang w:eastAsia="en-US"/>
              </w:rPr>
              <w:t>trakčními bateriovými systémy a</w:t>
            </w:r>
            <w:r w:rsidR="005A1247">
              <w:rPr>
                <w:rFonts w:cs="Arial"/>
                <w:lang w:eastAsia="en-US"/>
              </w:rPr>
              <w:t> </w:t>
            </w:r>
            <w:r w:rsidRPr="00AE0635">
              <w:rPr>
                <w:rFonts w:cs="Arial"/>
                <w:lang w:eastAsia="en-US"/>
              </w:rPr>
              <w:t>to již raných fázích životního cyklu vozidla.</w:t>
            </w:r>
          </w:p>
        </w:tc>
      </w:tr>
      <w:tr w:rsidR="00443642" w14:paraId="0185E0F4" w14:textId="77777777" w:rsidTr="00AE0635">
        <w:tc>
          <w:tcPr>
            <w:tcW w:w="1545" w:type="dxa"/>
            <w:tcBorders>
              <w:top w:val="single" w:sz="4" w:space="0" w:color="auto"/>
              <w:left w:val="single" w:sz="12" w:space="0" w:color="auto"/>
              <w:bottom w:val="single" w:sz="4" w:space="0" w:color="auto"/>
              <w:right w:val="single" w:sz="12" w:space="0" w:color="auto"/>
            </w:tcBorders>
            <w:hideMark/>
          </w:tcPr>
          <w:p w14:paraId="51CB1ABF" w14:textId="77777777" w:rsidR="00443642" w:rsidRDefault="00443642">
            <w:pPr>
              <w:pStyle w:val="Normln10"/>
              <w:jc w:val="left"/>
              <w:rPr>
                <w:rFonts w:cs="Arial"/>
                <w:sz w:val="22"/>
                <w:szCs w:val="22"/>
                <w:lang w:eastAsia="en-US"/>
              </w:rPr>
            </w:pPr>
            <w:r>
              <w:rPr>
                <w:rFonts w:cs="Arial"/>
                <w:sz w:val="22"/>
                <w:szCs w:val="22"/>
                <w:lang w:eastAsia="en-US"/>
              </w:rPr>
              <w:t>Popis opatření</w:t>
            </w:r>
            <w:r>
              <w:rPr>
                <w:rFonts w:cs="Arial"/>
                <w:sz w:val="22"/>
                <w:szCs w:val="22"/>
                <w:lang w:eastAsia="en-US"/>
              </w:rPr>
              <w:tab/>
            </w:r>
          </w:p>
        </w:tc>
        <w:tc>
          <w:tcPr>
            <w:tcW w:w="8079" w:type="dxa"/>
            <w:tcBorders>
              <w:top w:val="single" w:sz="4" w:space="0" w:color="auto"/>
              <w:left w:val="single" w:sz="12" w:space="0" w:color="auto"/>
              <w:bottom w:val="single" w:sz="4" w:space="0" w:color="auto"/>
              <w:right w:val="single" w:sz="12" w:space="0" w:color="auto"/>
            </w:tcBorders>
          </w:tcPr>
          <w:p w14:paraId="77CDF39D" w14:textId="7F31EE8D" w:rsidR="00443642" w:rsidRPr="00C77546" w:rsidRDefault="00443642" w:rsidP="00AE0635">
            <w:pPr>
              <w:pStyle w:val="Normln10"/>
              <w:spacing w:before="0"/>
              <w:rPr>
                <w:rFonts w:cs="Arial"/>
                <w:lang w:eastAsia="en-US"/>
              </w:rPr>
            </w:pPr>
            <w:r w:rsidRPr="00C77546">
              <w:rPr>
                <w:rFonts w:cs="Arial"/>
                <w:lang w:eastAsia="en-US"/>
              </w:rPr>
              <w:t>Vzhledem k</w:t>
            </w:r>
            <w:r w:rsidR="005A1247">
              <w:rPr>
                <w:rFonts w:cs="Arial"/>
                <w:lang w:eastAsia="en-US"/>
              </w:rPr>
              <w:t> </w:t>
            </w:r>
            <w:r w:rsidRPr="00C77546">
              <w:rPr>
                <w:rFonts w:cs="Arial"/>
                <w:lang w:eastAsia="en-US"/>
              </w:rPr>
              <w:t>očekávanému rozvoji vozidel s</w:t>
            </w:r>
            <w:r w:rsidR="005A1247">
              <w:rPr>
                <w:rFonts w:cs="Arial"/>
                <w:lang w:eastAsia="en-US"/>
              </w:rPr>
              <w:t> </w:t>
            </w:r>
            <w:r w:rsidRPr="00C77546">
              <w:rPr>
                <w:rFonts w:cs="Arial"/>
                <w:lang w:eastAsia="en-US"/>
              </w:rPr>
              <w:t>pohonem na akumulovanou elektrickou energii v</w:t>
            </w:r>
            <w:r w:rsidR="005A1247">
              <w:rPr>
                <w:rFonts w:cs="Arial"/>
                <w:lang w:eastAsia="en-US"/>
              </w:rPr>
              <w:t> </w:t>
            </w:r>
            <w:r w:rsidRPr="00C77546">
              <w:rPr>
                <w:rFonts w:cs="Arial"/>
                <w:lang w:eastAsia="en-US"/>
              </w:rPr>
              <w:t>ČR a</w:t>
            </w:r>
            <w:r w:rsidR="005A1247">
              <w:rPr>
                <w:rFonts w:cs="Arial"/>
                <w:lang w:eastAsia="en-US"/>
              </w:rPr>
              <w:t> </w:t>
            </w:r>
            <w:r w:rsidRPr="00C77546">
              <w:rPr>
                <w:rFonts w:cs="Arial"/>
                <w:lang w:eastAsia="en-US"/>
              </w:rPr>
              <w:t>EU lze očekávat nárůst produkce trakčních bateriových systémů, s</w:t>
            </w:r>
            <w:r w:rsidR="005A1247">
              <w:rPr>
                <w:rFonts w:cs="Arial"/>
                <w:lang w:eastAsia="en-US"/>
              </w:rPr>
              <w:t> </w:t>
            </w:r>
            <w:r w:rsidRPr="00C77546">
              <w:rPr>
                <w:rFonts w:cs="Arial"/>
                <w:lang w:eastAsia="en-US"/>
              </w:rPr>
              <w:t>čímž je spojena nutnost jejich výroby/kompletace, efektivního a</w:t>
            </w:r>
            <w:r w:rsidR="005A1247">
              <w:rPr>
                <w:rFonts w:cs="Arial"/>
                <w:lang w:eastAsia="en-US"/>
              </w:rPr>
              <w:t> </w:t>
            </w:r>
            <w:r w:rsidRPr="00C77546">
              <w:rPr>
                <w:rFonts w:cs="Arial"/>
                <w:lang w:eastAsia="en-US"/>
              </w:rPr>
              <w:t>bezpečného transportu, skladování, ale také samotné montáže do koncových vozidel. V</w:t>
            </w:r>
            <w:r w:rsidR="005A1247">
              <w:rPr>
                <w:rFonts w:cs="Arial"/>
                <w:lang w:eastAsia="en-US"/>
              </w:rPr>
              <w:t> </w:t>
            </w:r>
            <w:r w:rsidRPr="00C77546">
              <w:rPr>
                <w:rFonts w:cs="Arial"/>
                <w:lang w:eastAsia="en-US"/>
              </w:rPr>
              <w:t>současné době lze identifikovat zásadní nedostatky jak z</w:t>
            </w:r>
            <w:r w:rsidR="005A1247">
              <w:rPr>
                <w:rFonts w:cs="Arial"/>
                <w:lang w:eastAsia="en-US"/>
              </w:rPr>
              <w:t> </w:t>
            </w:r>
            <w:r w:rsidRPr="00C77546">
              <w:rPr>
                <w:rFonts w:cs="Arial"/>
                <w:lang w:eastAsia="en-US"/>
              </w:rPr>
              <w:t>pohledu preventivních opatření, kladených na prostory s</w:t>
            </w:r>
            <w:r w:rsidR="005A1247">
              <w:rPr>
                <w:rFonts w:cs="Arial"/>
                <w:lang w:eastAsia="en-US"/>
              </w:rPr>
              <w:t> </w:t>
            </w:r>
            <w:r w:rsidRPr="00C77546">
              <w:rPr>
                <w:rFonts w:cs="Arial"/>
                <w:lang w:eastAsia="en-US"/>
              </w:rPr>
              <w:t>výskytem trakčních bateriových systémů, tak z</w:t>
            </w:r>
            <w:r w:rsidR="005A1247">
              <w:rPr>
                <w:rFonts w:cs="Arial"/>
                <w:lang w:eastAsia="en-US"/>
              </w:rPr>
              <w:t> </w:t>
            </w:r>
            <w:r w:rsidRPr="00C77546">
              <w:rPr>
                <w:rFonts w:cs="Arial"/>
                <w:lang w:eastAsia="en-US"/>
              </w:rPr>
              <w:t>pohledu provedení hasebního zásahu jednotkami požární ochrany. Doposud je hašení akumulátorů realizováno konvenčními metodami a</w:t>
            </w:r>
            <w:r w:rsidR="005A1247">
              <w:rPr>
                <w:rFonts w:cs="Arial"/>
                <w:lang w:eastAsia="en-US"/>
              </w:rPr>
              <w:t> </w:t>
            </w:r>
            <w:r w:rsidRPr="00C77546">
              <w:rPr>
                <w:rFonts w:cs="Arial"/>
                <w:lang w:eastAsia="en-US"/>
              </w:rPr>
              <w:t xml:space="preserve">hasivy, přičemž nelze tyto zavedené postupy považovat za dostatečně efektivní. </w:t>
            </w:r>
          </w:p>
          <w:p w14:paraId="3307D342" w14:textId="176D13F1" w:rsidR="00443642" w:rsidRPr="00C77546" w:rsidRDefault="00443642" w:rsidP="00AE0635">
            <w:pPr>
              <w:pStyle w:val="Normln10"/>
              <w:spacing w:before="0"/>
              <w:rPr>
                <w:rFonts w:cs="Arial"/>
                <w:lang w:eastAsia="en-US"/>
              </w:rPr>
            </w:pPr>
            <w:r w:rsidRPr="00C77546">
              <w:rPr>
                <w:rFonts w:cs="Arial"/>
                <w:lang w:eastAsia="en-US"/>
              </w:rPr>
              <w:t>Nedostatky jsou zapříčiněny především absentující předpisovou a</w:t>
            </w:r>
            <w:r w:rsidR="005A1247">
              <w:rPr>
                <w:rFonts w:cs="Arial"/>
                <w:lang w:eastAsia="en-US"/>
              </w:rPr>
              <w:t> </w:t>
            </w:r>
            <w:r w:rsidRPr="00C77546">
              <w:rPr>
                <w:rFonts w:cs="Arial"/>
                <w:lang w:eastAsia="en-US"/>
              </w:rPr>
              <w:t>metodickou základnou pro oblast výroby, přepravy, skladování a</w:t>
            </w:r>
            <w:r w:rsidR="005A1247">
              <w:rPr>
                <w:rFonts w:cs="Arial"/>
                <w:lang w:eastAsia="en-US"/>
              </w:rPr>
              <w:t> </w:t>
            </w:r>
            <w:r w:rsidRPr="00C77546">
              <w:rPr>
                <w:rFonts w:cs="Arial"/>
                <w:lang w:eastAsia="en-US"/>
              </w:rPr>
              <w:t xml:space="preserve">koncové montáže trakčních akumulátorů. </w:t>
            </w:r>
          </w:p>
          <w:p w14:paraId="4E406351" w14:textId="4398CEFC" w:rsidR="00443642" w:rsidRPr="00C77546" w:rsidRDefault="00443642" w:rsidP="00AE0635">
            <w:pPr>
              <w:pStyle w:val="Normln10"/>
              <w:spacing w:before="0"/>
              <w:rPr>
                <w:rFonts w:cs="Arial"/>
                <w:lang w:eastAsia="en-US"/>
              </w:rPr>
            </w:pPr>
            <w:r w:rsidRPr="00C77546">
              <w:rPr>
                <w:rFonts w:cs="Arial"/>
                <w:lang w:eastAsia="en-US"/>
              </w:rPr>
              <w:t>Oblast výroby a</w:t>
            </w:r>
            <w:r w:rsidR="005A1247">
              <w:rPr>
                <w:rFonts w:cs="Arial"/>
                <w:lang w:eastAsia="en-US"/>
              </w:rPr>
              <w:t> </w:t>
            </w:r>
            <w:r w:rsidRPr="00C77546">
              <w:rPr>
                <w:rFonts w:cs="Arial"/>
                <w:lang w:eastAsia="en-US"/>
              </w:rPr>
              <w:t xml:space="preserve">související manipulace (vč. provozního </w:t>
            </w:r>
            <w:r w:rsidRPr="00C77546">
              <w:rPr>
                <w:rFonts w:cs="Arial"/>
                <w:i/>
                <w:lang w:eastAsia="en-US"/>
              </w:rPr>
              <w:t>inside</w:t>
            </w:r>
            <w:r w:rsidRPr="00C77546">
              <w:rPr>
                <w:rFonts w:cs="Arial"/>
                <w:lang w:eastAsia="en-US"/>
              </w:rPr>
              <w:t xml:space="preserve"> skladování) s</w:t>
            </w:r>
            <w:r w:rsidR="005A1247">
              <w:rPr>
                <w:rFonts w:cs="Arial"/>
                <w:lang w:eastAsia="en-US"/>
              </w:rPr>
              <w:t> </w:t>
            </w:r>
            <w:r w:rsidRPr="00C77546">
              <w:rPr>
                <w:rFonts w:cs="Arial"/>
                <w:lang w:eastAsia="en-US"/>
              </w:rPr>
              <w:t>trakčními bateriovými systémy je relativně uzavřeným cyklem probíhajícím v</w:t>
            </w:r>
            <w:r w:rsidR="005A1247">
              <w:rPr>
                <w:rFonts w:cs="Arial"/>
                <w:lang w:eastAsia="en-US"/>
              </w:rPr>
              <w:t> </w:t>
            </w:r>
            <w:r w:rsidRPr="00C77546">
              <w:rPr>
                <w:rFonts w:cs="Arial"/>
                <w:lang w:eastAsia="en-US"/>
              </w:rPr>
              <w:t>rámci dané výrobní kapacity a</w:t>
            </w:r>
            <w:r w:rsidR="005A1247">
              <w:rPr>
                <w:rFonts w:cs="Arial"/>
                <w:lang w:eastAsia="en-US"/>
              </w:rPr>
              <w:t> </w:t>
            </w:r>
            <w:r w:rsidRPr="00C77546">
              <w:rPr>
                <w:rFonts w:cs="Arial"/>
                <w:lang w:eastAsia="en-US"/>
              </w:rPr>
              <w:t>bezpečností aspekty by měly být řešeny v</w:t>
            </w:r>
            <w:r w:rsidR="005A1247">
              <w:rPr>
                <w:rFonts w:cs="Arial"/>
                <w:lang w:eastAsia="en-US"/>
              </w:rPr>
              <w:t> </w:t>
            </w:r>
            <w:r w:rsidRPr="00C77546">
              <w:rPr>
                <w:rFonts w:cs="Arial"/>
                <w:lang w:eastAsia="en-US"/>
              </w:rPr>
              <w:t>rámci operativního managementu organizace. A</w:t>
            </w:r>
            <w:r w:rsidR="005A1247">
              <w:rPr>
                <w:rFonts w:cs="Arial"/>
                <w:lang w:eastAsia="en-US"/>
              </w:rPr>
              <w:t> </w:t>
            </w:r>
            <w:r w:rsidRPr="00C77546">
              <w:rPr>
                <w:rFonts w:cs="Arial"/>
                <w:lang w:eastAsia="en-US"/>
              </w:rPr>
              <w:t>tak zatímco dopad realizace bezpečnostních rizik rezultujících z</w:t>
            </w:r>
            <w:r w:rsidR="005A1247">
              <w:rPr>
                <w:rFonts w:cs="Arial"/>
                <w:lang w:eastAsia="en-US"/>
              </w:rPr>
              <w:t> </w:t>
            </w:r>
            <w:r w:rsidRPr="00C77546">
              <w:rPr>
                <w:rFonts w:cs="Arial"/>
                <w:lang w:eastAsia="en-US"/>
              </w:rPr>
              <w:t>těchto oblastí je poměrně lokalizovaný a</w:t>
            </w:r>
            <w:r w:rsidR="005A1247">
              <w:rPr>
                <w:rFonts w:cs="Arial"/>
                <w:lang w:eastAsia="en-US"/>
              </w:rPr>
              <w:t> </w:t>
            </w:r>
            <w:r w:rsidRPr="00C77546">
              <w:rPr>
                <w:rFonts w:cs="Arial"/>
                <w:lang w:eastAsia="en-US"/>
              </w:rPr>
              <w:t>nemá plošný přesah na území mimo areál příslušného výrobce, jsou s</w:t>
            </w:r>
            <w:r w:rsidR="005A1247">
              <w:rPr>
                <w:rFonts w:cs="Arial"/>
                <w:lang w:eastAsia="en-US"/>
              </w:rPr>
              <w:t> </w:t>
            </w:r>
            <w:r w:rsidRPr="00C77546">
              <w:rPr>
                <w:rFonts w:cs="Arial"/>
                <w:lang w:eastAsia="en-US"/>
              </w:rPr>
              <w:t>otázkou přepravy trakčních bateriových systémů a</w:t>
            </w:r>
            <w:r w:rsidR="005A1247">
              <w:rPr>
                <w:rFonts w:cs="Arial"/>
                <w:lang w:eastAsia="en-US"/>
              </w:rPr>
              <w:t> </w:t>
            </w:r>
            <w:r w:rsidRPr="00C77546">
              <w:rPr>
                <w:rFonts w:cs="Arial"/>
                <w:lang w:eastAsia="en-US"/>
              </w:rPr>
              <w:t xml:space="preserve">jejich </w:t>
            </w:r>
            <w:r w:rsidRPr="00C77546">
              <w:rPr>
                <w:rFonts w:cs="Arial"/>
                <w:i/>
                <w:lang w:eastAsia="en-US"/>
              </w:rPr>
              <w:t>outside</w:t>
            </w:r>
            <w:r w:rsidRPr="00C77546">
              <w:rPr>
                <w:rFonts w:cs="Arial"/>
                <w:lang w:eastAsia="en-US"/>
              </w:rPr>
              <w:t xml:space="preserve"> skladováním spojena významná společenská rizika. </w:t>
            </w:r>
          </w:p>
          <w:p w14:paraId="4E7F37A0" w14:textId="115285AA" w:rsidR="00443642" w:rsidRPr="00AE0635" w:rsidRDefault="00443642" w:rsidP="005A1247">
            <w:pPr>
              <w:pStyle w:val="Normln10"/>
              <w:spacing w:before="0"/>
              <w:rPr>
                <w:rFonts w:cs="Arial"/>
                <w:lang w:eastAsia="en-US"/>
              </w:rPr>
            </w:pPr>
            <w:r w:rsidRPr="00C77546">
              <w:rPr>
                <w:rFonts w:cs="Arial"/>
                <w:lang w:eastAsia="en-US"/>
              </w:rPr>
              <w:t>Za účelem ošetření těchto rizik je nezbytné stanovit podmínky požární ochrany pro povolování výstavby a</w:t>
            </w:r>
            <w:r w:rsidR="005A1247">
              <w:rPr>
                <w:rFonts w:cs="Arial"/>
                <w:lang w:eastAsia="en-US"/>
              </w:rPr>
              <w:t> </w:t>
            </w:r>
            <w:r w:rsidRPr="00C77546">
              <w:rPr>
                <w:rFonts w:cs="Arial"/>
                <w:lang w:eastAsia="en-US"/>
              </w:rPr>
              <w:t xml:space="preserve">pro provoz </w:t>
            </w:r>
            <w:r w:rsidRPr="00C77546">
              <w:rPr>
                <w:rFonts w:cs="Arial"/>
                <w:i/>
                <w:lang w:eastAsia="en-US"/>
              </w:rPr>
              <w:t>outside</w:t>
            </w:r>
            <w:r w:rsidRPr="00C77546">
              <w:rPr>
                <w:rFonts w:cs="Arial"/>
                <w:lang w:eastAsia="en-US"/>
              </w:rPr>
              <w:t xml:space="preserve"> skladovacích prostor a</w:t>
            </w:r>
            <w:r w:rsidR="005A1247">
              <w:rPr>
                <w:rFonts w:cs="Arial"/>
                <w:lang w:eastAsia="en-US"/>
              </w:rPr>
              <w:t> </w:t>
            </w:r>
            <w:r w:rsidRPr="00C77546">
              <w:rPr>
                <w:rFonts w:cs="Arial"/>
                <w:lang w:eastAsia="en-US"/>
              </w:rPr>
              <w:t>podmínky bezpečné přepravy (vycházet z</w:t>
            </w:r>
            <w:r w:rsidR="005A1247">
              <w:rPr>
                <w:rFonts w:cs="Arial"/>
                <w:lang w:eastAsia="en-US"/>
              </w:rPr>
              <w:t> </w:t>
            </w:r>
            <w:r w:rsidRPr="00C77546">
              <w:rPr>
                <w:rFonts w:cs="Arial"/>
                <w:lang w:eastAsia="en-US"/>
              </w:rPr>
              <w:t>mezinárodní dohody o</w:t>
            </w:r>
            <w:r w:rsidR="005A1247">
              <w:rPr>
                <w:rFonts w:cs="Arial"/>
                <w:lang w:eastAsia="en-US"/>
              </w:rPr>
              <w:t> </w:t>
            </w:r>
            <w:r w:rsidRPr="00C77546">
              <w:rPr>
                <w:rFonts w:cs="Arial"/>
                <w:lang w:eastAsia="en-US"/>
              </w:rPr>
              <w:t>přepravě nebez</w:t>
            </w:r>
            <w:r w:rsidR="00C77546" w:rsidRPr="00C77546">
              <w:rPr>
                <w:rFonts w:cs="Arial"/>
                <w:lang w:eastAsia="en-US"/>
              </w:rPr>
              <w:t>pečných věcí po silnici - ADR).</w:t>
            </w:r>
            <w:r w:rsidR="007332DF">
              <w:rPr>
                <w:rFonts w:cs="Arial"/>
                <w:lang w:eastAsia="en-US"/>
              </w:rPr>
              <w:t xml:space="preserve"> </w:t>
            </w:r>
            <w:r w:rsidRPr="00C77546">
              <w:rPr>
                <w:rFonts w:cs="Arial"/>
                <w:lang w:eastAsia="en-US"/>
              </w:rPr>
              <w:t>Uvedená témata budou v</w:t>
            </w:r>
            <w:r w:rsidR="005A1247">
              <w:rPr>
                <w:rFonts w:cs="Arial"/>
                <w:lang w:eastAsia="en-US"/>
              </w:rPr>
              <w:t> </w:t>
            </w:r>
            <w:r w:rsidRPr="00C77546">
              <w:rPr>
                <w:rFonts w:cs="Arial"/>
                <w:lang w:eastAsia="en-US"/>
              </w:rPr>
              <w:t>návaznosti na efektivní a</w:t>
            </w:r>
            <w:r w:rsidR="005A1247">
              <w:rPr>
                <w:rFonts w:cs="Arial"/>
                <w:lang w:eastAsia="en-US"/>
              </w:rPr>
              <w:t> </w:t>
            </w:r>
            <w:r w:rsidRPr="00C77546">
              <w:rPr>
                <w:rFonts w:cs="Arial"/>
                <w:lang w:eastAsia="en-US"/>
              </w:rPr>
              <w:t>bezpečné provedení zásahu jednotkami požární ochrany v</w:t>
            </w:r>
            <w:r w:rsidR="005A1247">
              <w:rPr>
                <w:rFonts w:cs="Arial"/>
                <w:lang w:eastAsia="en-US"/>
              </w:rPr>
              <w:t> </w:t>
            </w:r>
            <w:r w:rsidRPr="00C77546">
              <w:rPr>
                <w:rFonts w:cs="Arial"/>
                <w:lang w:eastAsia="en-US"/>
              </w:rPr>
              <w:t>případě požáru trakčních bateriových systémů částečně saturována v</w:t>
            </w:r>
            <w:r w:rsidR="005A1247">
              <w:rPr>
                <w:rFonts w:cs="Arial"/>
                <w:lang w:eastAsia="en-US"/>
              </w:rPr>
              <w:t> </w:t>
            </w:r>
            <w:r w:rsidRPr="00C77546">
              <w:rPr>
                <w:rFonts w:cs="Arial"/>
                <w:lang w:eastAsia="en-US"/>
              </w:rPr>
              <w:t>rámci programů podpory VVI a</w:t>
            </w:r>
            <w:r w:rsidR="005A1247">
              <w:rPr>
                <w:rFonts w:cs="Arial"/>
                <w:lang w:eastAsia="en-US"/>
              </w:rPr>
              <w:t> </w:t>
            </w:r>
            <w:r w:rsidRPr="00C77546">
              <w:rPr>
                <w:rFonts w:cs="Arial"/>
                <w:lang w:eastAsia="en-US"/>
              </w:rPr>
              <w:t>částečně řešena v</w:t>
            </w:r>
            <w:r w:rsidR="005A1247">
              <w:rPr>
                <w:rFonts w:cs="Arial"/>
                <w:lang w:eastAsia="en-US"/>
              </w:rPr>
              <w:t> </w:t>
            </w:r>
            <w:r w:rsidRPr="00C77546">
              <w:rPr>
                <w:rFonts w:cs="Arial"/>
                <w:lang w:eastAsia="en-US"/>
              </w:rPr>
              <w:t>rámci metodické činnosti odpovědných resortů a</w:t>
            </w:r>
            <w:r w:rsidR="005A1247">
              <w:rPr>
                <w:rFonts w:cs="Arial"/>
                <w:lang w:eastAsia="en-US"/>
              </w:rPr>
              <w:t> </w:t>
            </w:r>
            <w:r w:rsidRPr="00C77546">
              <w:rPr>
                <w:rFonts w:cs="Arial"/>
                <w:lang w:eastAsia="en-US"/>
              </w:rPr>
              <w:t>následně implementována do odpovídajících právních předpisů a</w:t>
            </w:r>
            <w:r w:rsidR="005A1247">
              <w:rPr>
                <w:rFonts w:cs="Arial"/>
                <w:lang w:eastAsia="en-US"/>
              </w:rPr>
              <w:t> </w:t>
            </w:r>
            <w:r w:rsidRPr="00C77546">
              <w:rPr>
                <w:rFonts w:cs="Arial"/>
                <w:lang w:eastAsia="en-US"/>
              </w:rPr>
              <w:t xml:space="preserve">českých technických norem. </w:t>
            </w:r>
          </w:p>
        </w:tc>
      </w:tr>
      <w:tr w:rsidR="00443642" w:rsidRPr="00AE0635" w14:paraId="51146FB9" w14:textId="77777777" w:rsidTr="00AE0635">
        <w:tc>
          <w:tcPr>
            <w:tcW w:w="1545" w:type="dxa"/>
            <w:tcBorders>
              <w:top w:val="single" w:sz="4" w:space="0" w:color="auto"/>
              <w:left w:val="single" w:sz="12" w:space="0" w:color="auto"/>
              <w:bottom w:val="single" w:sz="4" w:space="0" w:color="auto"/>
              <w:right w:val="single" w:sz="12" w:space="0" w:color="auto"/>
            </w:tcBorders>
            <w:hideMark/>
          </w:tcPr>
          <w:p w14:paraId="38A1E71C" w14:textId="77777777" w:rsidR="00443642" w:rsidRPr="00AE0635" w:rsidRDefault="00443642">
            <w:pPr>
              <w:pStyle w:val="Normln10"/>
              <w:jc w:val="left"/>
              <w:rPr>
                <w:rFonts w:cs="Arial"/>
                <w:lang w:eastAsia="en-US"/>
              </w:rPr>
            </w:pPr>
            <w:r w:rsidRPr="00AE0635">
              <w:rPr>
                <w:rFonts w:cs="Arial"/>
                <w:lang w:eastAsia="en-US"/>
              </w:rPr>
              <w:t>Rozpočtový dopad / financování</w:t>
            </w:r>
          </w:p>
        </w:tc>
        <w:tc>
          <w:tcPr>
            <w:tcW w:w="8079" w:type="dxa"/>
            <w:tcBorders>
              <w:top w:val="single" w:sz="4" w:space="0" w:color="auto"/>
              <w:left w:val="single" w:sz="12" w:space="0" w:color="auto"/>
              <w:bottom w:val="single" w:sz="4" w:space="0" w:color="auto"/>
              <w:right w:val="single" w:sz="12" w:space="0" w:color="auto"/>
            </w:tcBorders>
            <w:hideMark/>
          </w:tcPr>
          <w:p w14:paraId="362C004E" w14:textId="64B1890D" w:rsidR="00443642" w:rsidRPr="00AE0635" w:rsidRDefault="00443642" w:rsidP="005A1247">
            <w:pPr>
              <w:pStyle w:val="Normln10"/>
              <w:rPr>
                <w:rFonts w:cs="Arial"/>
                <w:lang w:eastAsia="en-US"/>
              </w:rPr>
            </w:pPr>
            <w:r w:rsidRPr="00AE0635">
              <w:rPr>
                <w:rFonts w:cs="Arial"/>
                <w:lang w:eastAsia="en-US"/>
              </w:rPr>
              <w:t>TAČR, Programy VZ a</w:t>
            </w:r>
            <w:r w:rsidR="005A1247">
              <w:rPr>
                <w:rFonts w:cs="Arial"/>
                <w:lang w:eastAsia="en-US"/>
              </w:rPr>
              <w:t> </w:t>
            </w:r>
            <w:r w:rsidRPr="00AE0635">
              <w:rPr>
                <w:rFonts w:cs="Arial"/>
                <w:lang w:eastAsia="en-US"/>
              </w:rPr>
              <w:t>VS Ministerstva vnitra; 20 mil. Kč</w:t>
            </w:r>
          </w:p>
        </w:tc>
      </w:tr>
      <w:tr w:rsidR="00443642" w:rsidRPr="00AE0635" w14:paraId="056CAAB2" w14:textId="77777777" w:rsidTr="00AE0635">
        <w:tc>
          <w:tcPr>
            <w:tcW w:w="1545" w:type="dxa"/>
            <w:tcBorders>
              <w:top w:val="single" w:sz="4" w:space="0" w:color="auto"/>
              <w:left w:val="single" w:sz="12" w:space="0" w:color="auto"/>
              <w:bottom w:val="single" w:sz="4" w:space="0" w:color="auto"/>
              <w:right w:val="single" w:sz="12" w:space="0" w:color="auto"/>
            </w:tcBorders>
            <w:hideMark/>
          </w:tcPr>
          <w:p w14:paraId="180EFFAD" w14:textId="77777777" w:rsidR="00443642" w:rsidRPr="00AE0635" w:rsidRDefault="00443642">
            <w:pPr>
              <w:pStyle w:val="Normln10"/>
              <w:jc w:val="left"/>
              <w:rPr>
                <w:rFonts w:cs="Arial"/>
                <w:lang w:eastAsia="en-US"/>
              </w:rPr>
            </w:pPr>
            <w:r w:rsidRPr="00AE0635">
              <w:rPr>
                <w:rFonts w:cs="Arial"/>
                <w:lang w:eastAsia="en-US"/>
              </w:rPr>
              <w:t>Odpovědnost</w:t>
            </w:r>
          </w:p>
        </w:tc>
        <w:tc>
          <w:tcPr>
            <w:tcW w:w="8079" w:type="dxa"/>
            <w:tcBorders>
              <w:top w:val="single" w:sz="4" w:space="0" w:color="auto"/>
              <w:left w:val="single" w:sz="12" w:space="0" w:color="auto"/>
              <w:bottom w:val="single" w:sz="4" w:space="0" w:color="auto"/>
              <w:right w:val="single" w:sz="12" w:space="0" w:color="auto"/>
            </w:tcBorders>
            <w:hideMark/>
          </w:tcPr>
          <w:p w14:paraId="12733FCE" w14:textId="77777777" w:rsidR="00443642" w:rsidRPr="00AE0635" w:rsidRDefault="00443642">
            <w:pPr>
              <w:pStyle w:val="Normln10"/>
              <w:jc w:val="left"/>
              <w:rPr>
                <w:rFonts w:cs="Arial"/>
                <w:lang w:eastAsia="en-US"/>
              </w:rPr>
            </w:pPr>
            <w:r w:rsidRPr="00AE0635">
              <w:rPr>
                <w:rFonts w:cs="Arial"/>
                <w:lang w:eastAsia="en-US"/>
              </w:rPr>
              <w:t>Pro oblast výroby: MPO</w:t>
            </w:r>
          </w:p>
          <w:p w14:paraId="6A637EE6" w14:textId="77777777" w:rsidR="00443642" w:rsidRPr="00AE0635" w:rsidRDefault="00443642">
            <w:pPr>
              <w:pStyle w:val="Normln10"/>
              <w:jc w:val="left"/>
              <w:rPr>
                <w:rFonts w:cs="Arial"/>
                <w:lang w:eastAsia="en-US"/>
              </w:rPr>
            </w:pPr>
            <w:r w:rsidRPr="00AE0635">
              <w:rPr>
                <w:rFonts w:cs="Arial"/>
                <w:lang w:eastAsia="en-US"/>
              </w:rPr>
              <w:t>Pro oblast přepravy: MD</w:t>
            </w:r>
          </w:p>
          <w:p w14:paraId="06083F2F" w14:textId="77777777" w:rsidR="00443642" w:rsidRPr="00AE0635" w:rsidRDefault="00443642">
            <w:pPr>
              <w:pStyle w:val="Normln10"/>
              <w:jc w:val="left"/>
              <w:rPr>
                <w:rFonts w:cs="Arial"/>
                <w:lang w:eastAsia="en-US"/>
              </w:rPr>
            </w:pPr>
            <w:r w:rsidRPr="00AE0635">
              <w:rPr>
                <w:rFonts w:cs="Arial"/>
                <w:lang w:eastAsia="en-US"/>
              </w:rPr>
              <w:t>Pro oblast skladování: MV-GŘ HZS ČR</w:t>
            </w:r>
          </w:p>
        </w:tc>
      </w:tr>
      <w:tr w:rsidR="00443642" w:rsidRPr="00AE0635" w14:paraId="2517C418" w14:textId="77777777" w:rsidTr="00AE0635">
        <w:tc>
          <w:tcPr>
            <w:tcW w:w="1545" w:type="dxa"/>
            <w:tcBorders>
              <w:top w:val="single" w:sz="8" w:space="0" w:color="auto"/>
              <w:left w:val="single" w:sz="12" w:space="0" w:color="auto"/>
              <w:bottom w:val="single" w:sz="8" w:space="0" w:color="auto"/>
              <w:right w:val="single" w:sz="12" w:space="0" w:color="auto"/>
            </w:tcBorders>
            <w:hideMark/>
          </w:tcPr>
          <w:p w14:paraId="34DD201E" w14:textId="77777777" w:rsidR="00443642" w:rsidRPr="00AE0635" w:rsidRDefault="00443642">
            <w:pPr>
              <w:pStyle w:val="Normln10"/>
              <w:jc w:val="left"/>
              <w:rPr>
                <w:rFonts w:cs="Arial"/>
                <w:lang w:eastAsia="en-US"/>
              </w:rPr>
            </w:pPr>
            <w:r w:rsidRPr="00AE0635">
              <w:rPr>
                <w:rFonts w:cs="Arial"/>
                <w:lang w:eastAsia="en-US"/>
              </w:rPr>
              <w:t>Spolupráce</w:t>
            </w:r>
          </w:p>
        </w:tc>
        <w:tc>
          <w:tcPr>
            <w:tcW w:w="8079" w:type="dxa"/>
            <w:tcBorders>
              <w:top w:val="single" w:sz="8" w:space="0" w:color="auto"/>
              <w:left w:val="single" w:sz="12" w:space="0" w:color="auto"/>
              <w:bottom w:val="single" w:sz="8" w:space="0" w:color="auto"/>
              <w:right w:val="single" w:sz="12" w:space="0" w:color="auto"/>
            </w:tcBorders>
            <w:hideMark/>
          </w:tcPr>
          <w:p w14:paraId="2225F43E" w14:textId="6ED142DB" w:rsidR="00443642" w:rsidRPr="00AE0635" w:rsidRDefault="00443642">
            <w:pPr>
              <w:pStyle w:val="Normln10"/>
              <w:rPr>
                <w:rFonts w:cs="Arial"/>
                <w:lang w:eastAsia="en-US"/>
              </w:rPr>
            </w:pPr>
            <w:r w:rsidRPr="00AE0635">
              <w:rPr>
                <w:rFonts w:cs="Arial"/>
                <w:lang w:eastAsia="en-US"/>
              </w:rPr>
              <w:t>MD, MM</w:t>
            </w:r>
            <w:r w:rsidR="00AE0635">
              <w:rPr>
                <w:rFonts w:cs="Arial"/>
                <w:lang w:eastAsia="en-US"/>
              </w:rPr>
              <w:t>R, MPO, MŽP, AutoSAP, HZS krajů</w:t>
            </w:r>
          </w:p>
        </w:tc>
      </w:tr>
      <w:tr w:rsidR="00443642" w:rsidRPr="00AE0635" w14:paraId="68D5F1DB" w14:textId="77777777" w:rsidTr="00AE0635">
        <w:tc>
          <w:tcPr>
            <w:tcW w:w="1545" w:type="dxa"/>
            <w:tcBorders>
              <w:top w:val="single" w:sz="8" w:space="0" w:color="auto"/>
              <w:left w:val="single" w:sz="12" w:space="0" w:color="auto"/>
              <w:bottom w:val="single" w:sz="12" w:space="0" w:color="auto"/>
              <w:right w:val="single" w:sz="12" w:space="0" w:color="auto"/>
            </w:tcBorders>
            <w:hideMark/>
          </w:tcPr>
          <w:p w14:paraId="1BCA90D5" w14:textId="77777777" w:rsidR="00443642" w:rsidRPr="00AE0635" w:rsidRDefault="00443642">
            <w:pPr>
              <w:pStyle w:val="Normln10"/>
              <w:jc w:val="left"/>
              <w:rPr>
                <w:rFonts w:cs="Arial"/>
                <w:lang w:eastAsia="en-US"/>
              </w:rPr>
            </w:pPr>
            <w:r w:rsidRPr="00AE0635">
              <w:rPr>
                <w:rFonts w:cs="Arial"/>
                <w:lang w:eastAsia="en-US"/>
              </w:rPr>
              <w:t>Termín</w:t>
            </w:r>
          </w:p>
        </w:tc>
        <w:tc>
          <w:tcPr>
            <w:tcW w:w="8079" w:type="dxa"/>
            <w:tcBorders>
              <w:top w:val="single" w:sz="8" w:space="0" w:color="auto"/>
              <w:left w:val="single" w:sz="12" w:space="0" w:color="auto"/>
              <w:bottom w:val="single" w:sz="12" w:space="0" w:color="auto"/>
              <w:right w:val="single" w:sz="12" w:space="0" w:color="auto"/>
            </w:tcBorders>
            <w:hideMark/>
          </w:tcPr>
          <w:p w14:paraId="4522F320" w14:textId="77777777" w:rsidR="00443642" w:rsidRPr="00AE0635" w:rsidRDefault="00443642">
            <w:pPr>
              <w:pStyle w:val="Normln10"/>
              <w:jc w:val="left"/>
              <w:rPr>
                <w:rFonts w:cs="Arial"/>
                <w:lang w:eastAsia="en-US"/>
              </w:rPr>
            </w:pPr>
            <w:r w:rsidRPr="00AE0635">
              <w:rPr>
                <w:rFonts w:cs="Arial"/>
                <w:lang w:eastAsia="en-US"/>
              </w:rPr>
              <w:t>2025</w:t>
            </w:r>
          </w:p>
        </w:tc>
      </w:tr>
    </w:tbl>
    <w:p w14:paraId="21C81745" w14:textId="35BF75BE" w:rsidR="00DD2E8A" w:rsidRDefault="00DD2E8A" w:rsidP="00DD2E8A">
      <w:pPr>
        <w:spacing w:before="0" w:after="0"/>
        <w:jc w:val="both"/>
      </w:pPr>
    </w:p>
    <w:p w14:paraId="14316B17" w14:textId="7E36A63C" w:rsidR="00DD2E8A" w:rsidRDefault="007332DF" w:rsidP="00F37F37">
      <w:pPr>
        <w:pStyle w:val="Nadpis3"/>
        <w:tabs>
          <w:tab w:val="clear" w:pos="2411"/>
          <w:tab w:val="num" w:pos="1134"/>
        </w:tabs>
        <w:jc w:val="both"/>
      </w:pPr>
      <w:r>
        <w:lastRenderedPageBreak/>
        <w:t>E9</w:t>
      </w:r>
      <w:r w:rsidR="00DD2E8A">
        <w:t xml:space="preserve"> </w:t>
      </w:r>
      <w:r w:rsidR="005243F5">
        <w:t>Analýza existujícího legislativního rámce pro provoz trolejbusů a</w:t>
      </w:r>
      <w:r w:rsidR="005A1247">
        <w:t> </w:t>
      </w:r>
      <w:r w:rsidR="005243F5">
        <w:t>posouzení možnosti jeho z</w:t>
      </w:r>
      <w:r w:rsidR="00DD2E8A" w:rsidRPr="000447EF">
        <w:t xml:space="preserve">jednodušení </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14:paraId="02A481EC"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46E60D99" w14:textId="002BF9A6" w:rsidR="00DD2E8A" w:rsidRDefault="007332DF" w:rsidP="005A1247">
            <w:pPr>
              <w:spacing w:before="60" w:after="60"/>
              <w:jc w:val="both"/>
              <w:rPr>
                <w:rFonts w:cs="Arial"/>
                <w:b/>
                <w:color w:val="FFFFFF" w:themeColor="background1"/>
              </w:rPr>
            </w:pPr>
            <w:r>
              <w:rPr>
                <w:rFonts w:cs="Arial"/>
                <w:b/>
                <w:color w:val="FFFFFF" w:themeColor="background1"/>
              </w:rPr>
              <w:t>E9</w:t>
            </w:r>
            <w:r w:rsidR="00DD2E8A">
              <w:rPr>
                <w:rFonts w:cs="Arial"/>
                <w:b/>
                <w:color w:val="FFFFFF" w:themeColor="background1"/>
              </w:rPr>
              <w:t xml:space="preserve"> </w:t>
            </w:r>
            <w:r w:rsidR="005243F5">
              <w:rPr>
                <w:rFonts w:cs="Arial"/>
                <w:b/>
                <w:color w:val="FFFFFF" w:themeColor="background1"/>
              </w:rPr>
              <w:t>Analýza existujícího legislativního rámce pro provoz trolejbusů a</w:t>
            </w:r>
            <w:r w:rsidR="005A1247">
              <w:rPr>
                <w:rFonts w:cs="Arial"/>
                <w:b/>
                <w:color w:val="FFFFFF" w:themeColor="background1"/>
              </w:rPr>
              <w:t> </w:t>
            </w:r>
            <w:r w:rsidR="005243F5">
              <w:rPr>
                <w:rFonts w:cs="Arial"/>
                <w:b/>
                <w:color w:val="FFFFFF" w:themeColor="background1"/>
              </w:rPr>
              <w:t>posouzení možnosti jeho zjednodušení</w:t>
            </w:r>
          </w:p>
        </w:tc>
      </w:tr>
      <w:tr w:rsidR="00DD2E8A" w14:paraId="12B278C5" w14:textId="77777777" w:rsidTr="0054245B">
        <w:tc>
          <w:tcPr>
            <w:tcW w:w="1984" w:type="dxa"/>
            <w:tcBorders>
              <w:top w:val="single" w:sz="12" w:space="0" w:color="auto"/>
              <w:left w:val="single" w:sz="12" w:space="0" w:color="auto"/>
              <w:bottom w:val="single" w:sz="4" w:space="0" w:color="auto"/>
              <w:right w:val="single" w:sz="12" w:space="0" w:color="auto"/>
            </w:tcBorders>
            <w:hideMark/>
          </w:tcPr>
          <w:p w14:paraId="7C18FE51" w14:textId="77777777" w:rsidR="00DD2E8A" w:rsidRDefault="00DD2E8A" w:rsidP="0054245B">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65E1637C" w14:textId="77777777" w:rsidR="00DD2E8A" w:rsidRDefault="00DD2E8A" w:rsidP="0054245B">
            <w:pPr>
              <w:pStyle w:val="Normln10"/>
              <w:spacing w:before="60" w:line="240" w:lineRule="auto"/>
              <w:rPr>
                <w:rFonts w:cs="Arial"/>
                <w:sz w:val="22"/>
                <w:szCs w:val="22"/>
              </w:rPr>
            </w:pPr>
            <w:r>
              <w:rPr>
                <w:rFonts w:cs="Arial"/>
                <w:sz w:val="22"/>
                <w:szCs w:val="22"/>
              </w:rPr>
              <w:t>Zajištění stabilního regulatorního rámce</w:t>
            </w:r>
            <w:r w:rsidR="003D46EF">
              <w:rPr>
                <w:rFonts w:cs="Arial"/>
                <w:sz w:val="22"/>
                <w:szCs w:val="22"/>
              </w:rPr>
              <w:t xml:space="preserve"> pro rozvoj elektromobility (kap. 2.4.3.)</w:t>
            </w:r>
          </w:p>
        </w:tc>
      </w:tr>
      <w:tr w:rsidR="00DD2E8A" w14:paraId="707A8421"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63CFE68B" w14:textId="77777777" w:rsidR="00DD2E8A" w:rsidRDefault="00DD2E8A" w:rsidP="0054245B">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39CC5F8D" w14:textId="16B908C6" w:rsidR="00DD2E8A" w:rsidRDefault="00DD2E8A" w:rsidP="005A1247">
            <w:pPr>
              <w:pStyle w:val="Normln10"/>
              <w:spacing w:before="60" w:line="240" w:lineRule="auto"/>
              <w:rPr>
                <w:rFonts w:cs="Arial"/>
                <w:sz w:val="22"/>
                <w:szCs w:val="22"/>
              </w:rPr>
            </w:pPr>
            <w:r>
              <w:rPr>
                <w:rFonts w:cs="Arial"/>
                <w:sz w:val="22"/>
                <w:szCs w:val="22"/>
              </w:rPr>
              <w:t xml:space="preserve">Cílem daného opatření je </w:t>
            </w:r>
            <w:r w:rsidR="005243F5" w:rsidRPr="005243F5">
              <w:rPr>
                <w:rFonts w:cs="Arial"/>
                <w:sz w:val="22"/>
                <w:szCs w:val="22"/>
              </w:rPr>
              <w:t>zahájit odbornou diskuzi nad tím, jak</w:t>
            </w:r>
            <w:r w:rsidR="005243F5">
              <w:rPr>
                <w:rFonts w:cs="Arial"/>
                <w:sz w:val="22"/>
                <w:szCs w:val="22"/>
              </w:rPr>
              <w:t xml:space="preserve"> </w:t>
            </w:r>
            <w:r>
              <w:rPr>
                <w:rFonts w:cs="Arial"/>
                <w:sz w:val="22"/>
                <w:szCs w:val="22"/>
              </w:rPr>
              <w:t>odstranit některé problémy na straně provozovatelů trolejbusové dopravy, které vyplývají ze současného stavu, kdy provozování trolejbusové dopravy (včetně té realizované parciálními trolejbusy či duobusy) je regulováno primárně zákonem č. 266/1994 drahách a</w:t>
            </w:r>
            <w:r w:rsidR="005A1247">
              <w:rPr>
                <w:rFonts w:cs="Arial"/>
                <w:sz w:val="22"/>
                <w:szCs w:val="22"/>
              </w:rPr>
              <w:t> </w:t>
            </w:r>
            <w:r>
              <w:rPr>
                <w:rFonts w:cs="Arial"/>
                <w:sz w:val="22"/>
                <w:szCs w:val="22"/>
              </w:rPr>
              <w:t xml:space="preserve">kdy na trolejbusy se naopak </w:t>
            </w:r>
            <w:r w:rsidRPr="00922684">
              <w:rPr>
                <w:rFonts w:cs="Arial"/>
                <w:sz w:val="22"/>
                <w:szCs w:val="22"/>
              </w:rPr>
              <w:t xml:space="preserve">nevztahuje </w:t>
            </w:r>
            <w:r w:rsidRPr="00D13738">
              <w:rPr>
                <w:sz w:val="22"/>
                <w:szCs w:val="22"/>
              </w:rPr>
              <w:t>Zákon</w:t>
            </w:r>
            <w:r w:rsidRPr="00277235">
              <w:rPr>
                <w:rFonts w:cs="Arial"/>
                <w:sz w:val="22"/>
                <w:szCs w:val="22"/>
              </w:rPr>
              <w:t xml:space="preserve"> o</w:t>
            </w:r>
            <w:r w:rsidR="005A1247">
              <w:rPr>
                <w:rFonts w:cs="Arial"/>
                <w:sz w:val="22"/>
                <w:szCs w:val="22"/>
              </w:rPr>
              <w:t> </w:t>
            </w:r>
            <w:r w:rsidRPr="00277235">
              <w:rPr>
                <w:rFonts w:cs="Arial"/>
                <w:sz w:val="22"/>
                <w:szCs w:val="22"/>
              </w:rPr>
              <w:t>silniční dopravě č.</w:t>
            </w:r>
            <w:r>
              <w:rPr>
                <w:rFonts w:cs="Arial"/>
                <w:sz w:val="22"/>
                <w:szCs w:val="22"/>
              </w:rPr>
              <w:t> </w:t>
            </w:r>
            <w:r w:rsidRPr="00277235">
              <w:rPr>
                <w:rFonts w:cs="Arial"/>
                <w:sz w:val="22"/>
                <w:szCs w:val="22"/>
              </w:rPr>
              <w:t>111/1994 a</w:t>
            </w:r>
            <w:r w:rsidR="005A1247">
              <w:rPr>
                <w:rFonts w:cs="Arial"/>
                <w:sz w:val="22"/>
                <w:szCs w:val="22"/>
              </w:rPr>
              <w:t> </w:t>
            </w:r>
            <w:r>
              <w:rPr>
                <w:rFonts w:cs="Arial"/>
                <w:sz w:val="22"/>
                <w:szCs w:val="22"/>
              </w:rPr>
              <w:t>zákon č. 56/2001 o</w:t>
            </w:r>
            <w:r w:rsidR="005A1247">
              <w:rPr>
                <w:rFonts w:cs="Arial"/>
                <w:sz w:val="22"/>
                <w:szCs w:val="22"/>
              </w:rPr>
              <w:t> </w:t>
            </w:r>
            <w:r>
              <w:rPr>
                <w:rFonts w:cs="Arial"/>
                <w:sz w:val="22"/>
                <w:szCs w:val="22"/>
              </w:rPr>
              <w:t>podmínkách provozu vozidel na pozemních komunikacích.</w:t>
            </w:r>
          </w:p>
        </w:tc>
      </w:tr>
      <w:tr w:rsidR="00DD2E8A" w14:paraId="64BADB8F"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272BD303" w14:textId="77777777" w:rsidR="00DD2E8A" w:rsidRDefault="00DD2E8A" w:rsidP="0054245B">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574AD8A7" w14:textId="76E71F19" w:rsidR="005243F5" w:rsidRPr="005243F5" w:rsidRDefault="005243F5" w:rsidP="005243F5">
            <w:pPr>
              <w:pStyle w:val="Normln10"/>
              <w:spacing w:before="60"/>
              <w:rPr>
                <w:rFonts w:cs="Arial"/>
                <w:sz w:val="22"/>
                <w:szCs w:val="22"/>
              </w:rPr>
            </w:pPr>
            <w:r w:rsidRPr="005243F5">
              <w:rPr>
                <w:rFonts w:cs="Arial"/>
                <w:sz w:val="22"/>
                <w:szCs w:val="22"/>
              </w:rPr>
              <w:t>Problematika provozu trolejbusů je velmi komplexní a</w:t>
            </w:r>
            <w:r w:rsidR="005A1247">
              <w:rPr>
                <w:rFonts w:cs="Arial"/>
                <w:sz w:val="22"/>
                <w:szCs w:val="22"/>
              </w:rPr>
              <w:t> </w:t>
            </w:r>
            <w:r w:rsidRPr="005243F5">
              <w:rPr>
                <w:rFonts w:cs="Arial"/>
                <w:sz w:val="22"/>
                <w:szCs w:val="22"/>
              </w:rPr>
              <w:t>zasahuje do celé řady zákonů. Součástí analýzy by mělo být posouzení dopadů plynoucích z</w:t>
            </w:r>
            <w:r w:rsidR="005A1247">
              <w:rPr>
                <w:rFonts w:cs="Arial"/>
                <w:sz w:val="22"/>
                <w:szCs w:val="22"/>
              </w:rPr>
              <w:t> </w:t>
            </w:r>
            <w:r w:rsidRPr="005243F5">
              <w:rPr>
                <w:rFonts w:cs="Arial"/>
                <w:sz w:val="22"/>
                <w:szCs w:val="22"/>
              </w:rPr>
              <w:t xml:space="preserve">úplné či částečné změny stávajícího režimu. </w:t>
            </w:r>
          </w:p>
          <w:p w14:paraId="6D667234" w14:textId="0B827507" w:rsidR="00DD2E8A" w:rsidRDefault="005243F5" w:rsidP="005243F5">
            <w:pPr>
              <w:pStyle w:val="Normln10"/>
              <w:spacing w:before="60" w:line="240" w:lineRule="auto"/>
              <w:rPr>
                <w:rFonts w:cs="Arial"/>
                <w:sz w:val="22"/>
                <w:szCs w:val="22"/>
              </w:rPr>
            </w:pPr>
            <w:r w:rsidRPr="005243F5">
              <w:rPr>
                <w:rFonts w:cs="Arial"/>
                <w:sz w:val="22"/>
                <w:szCs w:val="22"/>
              </w:rPr>
              <w:t>Mělo by se jednat zejména o</w:t>
            </w:r>
            <w:r w:rsidR="005A1247">
              <w:rPr>
                <w:rFonts w:cs="Arial"/>
                <w:sz w:val="22"/>
                <w:szCs w:val="22"/>
              </w:rPr>
              <w:t> </w:t>
            </w:r>
            <w:r w:rsidRPr="005243F5">
              <w:rPr>
                <w:rFonts w:cs="Arial"/>
                <w:sz w:val="22"/>
                <w:szCs w:val="22"/>
              </w:rPr>
              <w:t xml:space="preserve">otázku možného </w:t>
            </w:r>
            <w:r w:rsidR="00061FB2">
              <w:rPr>
                <w:rFonts w:cs="Arial"/>
                <w:sz w:val="22"/>
                <w:szCs w:val="22"/>
              </w:rPr>
              <w:t> </w:t>
            </w:r>
          </w:p>
          <w:p w14:paraId="0E38388B" w14:textId="053425AE" w:rsidR="00DD2E8A" w:rsidRDefault="00DD2E8A" w:rsidP="0054245B">
            <w:pPr>
              <w:pStyle w:val="Normln10"/>
              <w:spacing w:before="60" w:line="240" w:lineRule="auto"/>
              <w:rPr>
                <w:rFonts w:cs="Arial"/>
                <w:sz w:val="22"/>
                <w:szCs w:val="22"/>
              </w:rPr>
            </w:pPr>
            <w:r>
              <w:rPr>
                <w:rFonts w:cs="Arial"/>
                <w:sz w:val="22"/>
                <w:szCs w:val="22"/>
              </w:rPr>
              <w:t>zahrn</w:t>
            </w:r>
            <w:r w:rsidR="005243F5">
              <w:rPr>
                <w:rFonts w:cs="Arial"/>
                <w:sz w:val="22"/>
                <w:szCs w:val="22"/>
              </w:rPr>
              <w:t>utí</w:t>
            </w:r>
            <w:r>
              <w:rPr>
                <w:rFonts w:cs="Arial"/>
                <w:sz w:val="22"/>
                <w:szCs w:val="22"/>
              </w:rPr>
              <w:t xml:space="preserve"> trolejbus</w:t>
            </w:r>
            <w:r w:rsidR="00F20409">
              <w:rPr>
                <w:rFonts w:cs="Arial"/>
                <w:sz w:val="22"/>
                <w:szCs w:val="22"/>
              </w:rPr>
              <w:t>ů</w:t>
            </w:r>
            <w:r>
              <w:rPr>
                <w:rFonts w:cs="Arial"/>
                <w:sz w:val="22"/>
                <w:szCs w:val="22"/>
              </w:rPr>
              <w:t xml:space="preserve"> do působnosti </w:t>
            </w:r>
            <w:r w:rsidRPr="00277235">
              <w:rPr>
                <w:rFonts w:cs="Arial"/>
                <w:sz w:val="22"/>
                <w:szCs w:val="22"/>
              </w:rPr>
              <w:t>Zákona o</w:t>
            </w:r>
            <w:r w:rsidR="005A1247">
              <w:rPr>
                <w:rFonts w:cs="Arial"/>
                <w:sz w:val="22"/>
                <w:szCs w:val="22"/>
              </w:rPr>
              <w:t> </w:t>
            </w:r>
            <w:r w:rsidRPr="00277235">
              <w:rPr>
                <w:rFonts w:cs="Arial"/>
                <w:sz w:val="22"/>
                <w:szCs w:val="22"/>
              </w:rPr>
              <w:t>silniční dopravě č.</w:t>
            </w:r>
            <w:r w:rsidR="00933EF9">
              <w:rPr>
                <w:rFonts w:cs="Arial"/>
                <w:sz w:val="22"/>
                <w:szCs w:val="22"/>
              </w:rPr>
              <w:t> </w:t>
            </w:r>
            <w:r w:rsidRPr="00277235">
              <w:rPr>
                <w:rFonts w:cs="Arial"/>
                <w:sz w:val="22"/>
                <w:szCs w:val="22"/>
              </w:rPr>
              <w:t>111/1994 a</w:t>
            </w:r>
            <w:r w:rsidR="005A1247">
              <w:rPr>
                <w:rFonts w:cs="Arial"/>
                <w:sz w:val="22"/>
                <w:szCs w:val="22"/>
              </w:rPr>
              <w:t> </w:t>
            </w:r>
            <w:r>
              <w:rPr>
                <w:rFonts w:cs="Arial"/>
                <w:sz w:val="22"/>
                <w:szCs w:val="22"/>
              </w:rPr>
              <w:t>zákona č. 56/2001 o</w:t>
            </w:r>
            <w:r w:rsidR="005A1247">
              <w:rPr>
                <w:rFonts w:cs="Arial"/>
                <w:sz w:val="22"/>
                <w:szCs w:val="22"/>
              </w:rPr>
              <w:t> </w:t>
            </w:r>
            <w:r>
              <w:rPr>
                <w:rFonts w:cs="Arial"/>
                <w:sz w:val="22"/>
                <w:szCs w:val="22"/>
              </w:rPr>
              <w:t>podmínkách provozu vozidel na pozemních komunikacích</w:t>
            </w:r>
            <w:r w:rsidR="00F20409">
              <w:rPr>
                <w:rFonts w:cs="Arial"/>
                <w:sz w:val="22"/>
                <w:szCs w:val="22"/>
              </w:rPr>
              <w:t>, a</w:t>
            </w:r>
            <w:r w:rsidR="005A1247">
              <w:rPr>
                <w:rFonts w:cs="Arial"/>
                <w:sz w:val="22"/>
                <w:szCs w:val="22"/>
              </w:rPr>
              <w:t> </w:t>
            </w:r>
            <w:r w:rsidR="00F20409">
              <w:rPr>
                <w:rFonts w:cs="Arial"/>
                <w:sz w:val="22"/>
                <w:szCs w:val="22"/>
              </w:rPr>
              <w:t>dále třeba o</w:t>
            </w:r>
            <w:r w:rsidR="005A1247">
              <w:rPr>
                <w:rFonts w:cs="Arial"/>
                <w:sz w:val="22"/>
                <w:szCs w:val="22"/>
              </w:rPr>
              <w:t> </w:t>
            </w:r>
            <w:r w:rsidR="00F20409">
              <w:rPr>
                <w:rFonts w:cs="Arial"/>
                <w:sz w:val="22"/>
                <w:szCs w:val="22"/>
              </w:rPr>
              <w:t>zmírnění či úplné zrušení některých požadavků</w:t>
            </w:r>
          </w:p>
          <w:p w14:paraId="1DDDE585" w14:textId="6F35EF53" w:rsidR="00DD2E8A" w:rsidRDefault="00061FB2" w:rsidP="005A1247">
            <w:pPr>
              <w:pStyle w:val="Normln10"/>
              <w:spacing w:before="60" w:line="240" w:lineRule="auto"/>
              <w:rPr>
                <w:rFonts w:cs="Arial"/>
                <w:sz w:val="22"/>
                <w:szCs w:val="22"/>
              </w:rPr>
            </w:pPr>
            <w:r>
              <w:rPr>
                <w:rFonts w:cs="Arial"/>
                <w:sz w:val="22"/>
                <w:szCs w:val="22"/>
              </w:rPr>
              <w:t> </w:t>
            </w:r>
            <w:r w:rsidR="00DD2E8A">
              <w:rPr>
                <w:rFonts w:cs="Arial"/>
                <w:sz w:val="22"/>
                <w:szCs w:val="22"/>
              </w:rPr>
              <w:t>vyplývající z</w:t>
            </w:r>
            <w:r w:rsidR="005A1247">
              <w:rPr>
                <w:rFonts w:cs="Arial"/>
                <w:sz w:val="22"/>
                <w:szCs w:val="22"/>
              </w:rPr>
              <w:t> </w:t>
            </w:r>
            <w:r w:rsidR="00DD2E8A">
              <w:rPr>
                <w:rFonts w:cs="Arial"/>
                <w:sz w:val="22"/>
                <w:szCs w:val="22"/>
              </w:rPr>
              <w:t>vyhlášky č.173/1995, kterou se vydává dopravní řád drah případně a</w:t>
            </w:r>
            <w:r w:rsidR="005A1247">
              <w:rPr>
                <w:rFonts w:cs="Arial"/>
                <w:sz w:val="22"/>
                <w:szCs w:val="22"/>
              </w:rPr>
              <w:t> </w:t>
            </w:r>
            <w:r w:rsidR="00DD2E8A">
              <w:rPr>
                <w:rFonts w:cs="Arial"/>
                <w:sz w:val="22"/>
                <w:szCs w:val="22"/>
              </w:rPr>
              <w:t>i z</w:t>
            </w:r>
            <w:r w:rsidR="005A1247">
              <w:rPr>
                <w:rFonts w:cs="Arial"/>
                <w:sz w:val="22"/>
                <w:szCs w:val="22"/>
              </w:rPr>
              <w:t> </w:t>
            </w:r>
            <w:r w:rsidR="00DD2E8A">
              <w:rPr>
                <w:rFonts w:cs="Arial"/>
                <w:sz w:val="22"/>
                <w:szCs w:val="22"/>
              </w:rPr>
              <w:t>vyhlášky č. 177/1995, kterou se vydává stavební a</w:t>
            </w:r>
            <w:r w:rsidR="005A1247">
              <w:rPr>
                <w:rFonts w:cs="Arial"/>
                <w:sz w:val="22"/>
                <w:szCs w:val="22"/>
              </w:rPr>
              <w:t> </w:t>
            </w:r>
            <w:r w:rsidR="00DD2E8A">
              <w:rPr>
                <w:rFonts w:cs="Arial"/>
                <w:sz w:val="22"/>
                <w:szCs w:val="22"/>
              </w:rPr>
              <w:t>technický řád drah.</w:t>
            </w:r>
            <w:r w:rsidR="00F20409">
              <w:rPr>
                <w:rFonts w:cs="Arial"/>
                <w:sz w:val="22"/>
                <w:szCs w:val="22"/>
              </w:rPr>
              <w:t xml:space="preserve"> </w:t>
            </w:r>
            <w:r w:rsidR="00F20409" w:rsidRPr="00F20409">
              <w:rPr>
                <w:rFonts w:cs="Arial"/>
                <w:sz w:val="22"/>
                <w:szCs w:val="22"/>
              </w:rPr>
              <w:t>Nutné úpravy však mohou být komplexnějšího rázu.</w:t>
            </w:r>
          </w:p>
        </w:tc>
      </w:tr>
      <w:tr w:rsidR="00DD2E8A" w14:paraId="05B39971"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6F85D849" w14:textId="29BEBA1B" w:rsidR="00DD2E8A" w:rsidRDefault="00DD2E8A" w:rsidP="005A1247">
            <w:pPr>
              <w:pStyle w:val="Normln10"/>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7CC75277" w14:textId="4C33FCAE" w:rsidR="00DD2E8A" w:rsidRDefault="00DD2E8A" w:rsidP="005A1247">
            <w:pPr>
              <w:pStyle w:val="Normln10"/>
              <w:spacing w:before="60" w:line="240" w:lineRule="auto"/>
              <w:rPr>
                <w:rFonts w:cs="Arial"/>
                <w:sz w:val="22"/>
                <w:szCs w:val="22"/>
              </w:rPr>
            </w:pPr>
            <w:r w:rsidRPr="00277235">
              <w:rPr>
                <w:rFonts w:cs="Arial"/>
                <w:sz w:val="22"/>
                <w:szCs w:val="22"/>
              </w:rPr>
              <w:t>Maďarsko, Německo, Polsko, Švédsko - trolejbus je silniční vozidlo (trať s</w:t>
            </w:r>
            <w:r w:rsidR="005A1247">
              <w:rPr>
                <w:rFonts w:cs="Arial"/>
                <w:sz w:val="22"/>
                <w:szCs w:val="22"/>
              </w:rPr>
              <w:t> </w:t>
            </w:r>
            <w:r w:rsidRPr="00277235">
              <w:rPr>
                <w:rFonts w:cs="Arial"/>
                <w:sz w:val="22"/>
                <w:szCs w:val="22"/>
              </w:rPr>
              <w:t>trakčním vedením je regulována obdobně jako dráha nebo vůbec)</w:t>
            </w:r>
          </w:p>
        </w:tc>
      </w:tr>
      <w:tr w:rsidR="00DD2E8A" w14:paraId="4A286A70"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5612416B" w14:textId="77777777" w:rsidR="00DD2E8A" w:rsidRDefault="00DD2E8A" w:rsidP="0054245B">
            <w:pPr>
              <w:pStyle w:val="Normln10"/>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156476A6" w14:textId="7ACA678B" w:rsidR="00DD2E8A" w:rsidRDefault="00F20409" w:rsidP="005A1247">
            <w:pPr>
              <w:pStyle w:val="Normln10"/>
              <w:spacing w:line="240" w:lineRule="auto"/>
              <w:jc w:val="left"/>
              <w:rPr>
                <w:rFonts w:cs="Arial"/>
                <w:sz w:val="22"/>
                <w:szCs w:val="22"/>
              </w:rPr>
            </w:pPr>
            <w:r w:rsidRPr="00F20409">
              <w:rPr>
                <w:rFonts w:cs="Arial"/>
                <w:sz w:val="22"/>
                <w:szCs w:val="22"/>
              </w:rPr>
              <w:t>V této fázi nelze kvantifikovat a</w:t>
            </w:r>
            <w:r w:rsidR="005A1247">
              <w:rPr>
                <w:rFonts w:cs="Arial"/>
                <w:sz w:val="22"/>
                <w:szCs w:val="22"/>
              </w:rPr>
              <w:t> </w:t>
            </w:r>
            <w:r w:rsidRPr="00F20409">
              <w:rPr>
                <w:rFonts w:cs="Arial"/>
                <w:sz w:val="22"/>
                <w:szCs w:val="22"/>
              </w:rPr>
              <w:t>proto je žádoucí daný problém nejprve analyzovat.</w:t>
            </w:r>
          </w:p>
        </w:tc>
      </w:tr>
      <w:tr w:rsidR="00DD2E8A" w14:paraId="467D00A3"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0B882401" w14:textId="77777777" w:rsidR="00DD2E8A" w:rsidRDefault="00DD2E8A" w:rsidP="0054245B">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00DA01A0" w14:textId="77777777" w:rsidR="00DD2E8A" w:rsidRDefault="00DD2E8A" w:rsidP="0054245B">
            <w:pPr>
              <w:pStyle w:val="Normln10"/>
              <w:spacing w:line="240" w:lineRule="auto"/>
              <w:jc w:val="left"/>
              <w:rPr>
                <w:rFonts w:cs="Arial"/>
                <w:sz w:val="22"/>
                <w:szCs w:val="22"/>
              </w:rPr>
            </w:pPr>
            <w:r>
              <w:rPr>
                <w:rFonts w:cs="Arial"/>
                <w:sz w:val="22"/>
                <w:szCs w:val="22"/>
              </w:rPr>
              <w:t>MD</w:t>
            </w:r>
          </w:p>
        </w:tc>
      </w:tr>
      <w:tr w:rsidR="00DD2E8A" w14:paraId="26E6E1DB" w14:textId="77777777" w:rsidTr="0054245B">
        <w:tc>
          <w:tcPr>
            <w:tcW w:w="1984" w:type="dxa"/>
            <w:tcBorders>
              <w:top w:val="single" w:sz="4" w:space="0" w:color="auto"/>
              <w:left w:val="single" w:sz="12" w:space="0" w:color="auto"/>
              <w:bottom w:val="single" w:sz="4" w:space="0" w:color="auto"/>
              <w:right w:val="single" w:sz="12" w:space="0" w:color="auto"/>
            </w:tcBorders>
            <w:hideMark/>
          </w:tcPr>
          <w:p w14:paraId="448E38D2" w14:textId="77777777" w:rsidR="00DD2E8A" w:rsidRDefault="00DD2E8A" w:rsidP="0054245B">
            <w:pPr>
              <w:pStyle w:val="Normln10"/>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1F2699CC" w14:textId="77777777" w:rsidR="00DD2E8A" w:rsidRDefault="00DD2E8A" w:rsidP="0054245B">
            <w:pPr>
              <w:pStyle w:val="Normln10"/>
              <w:spacing w:line="240" w:lineRule="auto"/>
              <w:jc w:val="left"/>
              <w:rPr>
                <w:rFonts w:cs="Arial"/>
                <w:sz w:val="22"/>
                <w:szCs w:val="22"/>
              </w:rPr>
            </w:pPr>
            <w:r>
              <w:rPr>
                <w:rFonts w:cs="Arial"/>
                <w:sz w:val="22"/>
                <w:szCs w:val="22"/>
              </w:rPr>
              <w:t>SDP ČR, Drážní úřad</w:t>
            </w:r>
          </w:p>
        </w:tc>
      </w:tr>
      <w:tr w:rsidR="00DD2E8A" w14:paraId="65011433" w14:textId="77777777" w:rsidTr="0054245B">
        <w:tc>
          <w:tcPr>
            <w:tcW w:w="1984" w:type="dxa"/>
            <w:tcBorders>
              <w:top w:val="single" w:sz="4" w:space="0" w:color="auto"/>
              <w:left w:val="single" w:sz="12" w:space="0" w:color="auto"/>
              <w:bottom w:val="single" w:sz="12" w:space="0" w:color="auto"/>
              <w:right w:val="single" w:sz="12" w:space="0" w:color="auto"/>
            </w:tcBorders>
            <w:hideMark/>
          </w:tcPr>
          <w:p w14:paraId="027351A0" w14:textId="77777777" w:rsidR="00DD2E8A" w:rsidRDefault="00DD2E8A" w:rsidP="0054245B">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hideMark/>
          </w:tcPr>
          <w:p w14:paraId="1D0F0A0B" w14:textId="77777777" w:rsidR="00DD2E8A" w:rsidRDefault="00DD2E8A" w:rsidP="00C46313">
            <w:pPr>
              <w:pStyle w:val="Normln10"/>
              <w:spacing w:line="240" w:lineRule="auto"/>
              <w:jc w:val="left"/>
              <w:rPr>
                <w:rFonts w:cs="Arial"/>
                <w:sz w:val="22"/>
                <w:szCs w:val="22"/>
              </w:rPr>
            </w:pPr>
            <w:r>
              <w:rPr>
                <w:rFonts w:cs="Arial"/>
                <w:sz w:val="22"/>
                <w:szCs w:val="22"/>
              </w:rPr>
              <w:t>12/202</w:t>
            </w:r>
            <w:r w:rsidR="00C46313">
              <w:rPr>
                <w:rFonts w:cs="Arial"/>
                <w:sz w:val="22"/>
                <w:szCs w:val="22"/>
              </w:rPr>
              <w:t>1</w:t>
            </w:r>
          </w:p>
        </w:tc>
      </w:tr>
    </w:tbl>
    <w:p w14:paraId="7570CEF4" w14:textId="77777777" w:rsidR="00DD2E8A" w:rsidRDefault="00DD2E8A" w:rsidP="00DD2E8A">
      <w:pPr>
        <w:jc w:val="both"/>
      </w:pPr>
    </w:p>
    <w:p w14:paraId="578F6322" w14:textId="2EEEAFDC" w:rsidR="00BD4557" w:rsidRPr="007332DF" w:rsidRDefault="00BD4557" w:rsidP="007332DF">
      <w:pPr>
        <w:spacing w:before="0" w:after="0"/>
        <w:jc w:val="both"/>
      </w:pPr>
      <w:r>
        <w:br w:type="page"/>
      </w:r>
    </w:p>
    <w:p w14:paraId="1801FAC8" w14:textId="2CD10874" w:rsidR="007332DF" w:rsidRDefault="00DD2E8A" w:rsidP="00F37F37">
      <w:pPr>
        <w:pStyle w:val="Nadpis3"/>
        <w:tabs>
          <w:tab w:val="clear" w:pos="2411"/>
          <w:tab w:val="num" w:pos="1276"/>
        </w:tabs>
        <w:jc w:val="both"/>
      </w:pPr>
      <w:r>
        <w:lastRenderedPageBreak/>
        <w:t>E</w:t>
      </w:r>
      <w:r w:rsidR="007332DF">
        <w:t>10</w:t>
      </w:r>
      <w:r>
        <w:t xml:space="preserve"> </w:t>
      </w:r>
      <w:r w:rsidR="007332DF">
        <w:t>Vytvoření regulačního rámce v</w:t>
      </w:r>
      <w:r w:rsidR="005A1247">
        <w:t> </w:t>
      </w:r>
      <w:r w:rsidR="007332DF">
        <w:t xml:space="preserve">oblasti </w:t>
      </w:r>
      <w:r w:rsidR="007332DF" w:rsidRPr="003963CE">
        <w:t>tzv. lehk</w:t>
      </w:r>
      <w:r w:rsidR="007332DF">
        <w:t xml:space="preserve">é </w:t>
      </w:r>
      <w:r w:rsidR="007332DF" w:rsidRPr="003963CE">
        <w:t>elektromobilit</w:t>
      </w:r>
      <w:r w:rsidR="007332DF">
        <w:t>y</w:t>
      </w:r>
    </w:p>
    <w:p w14:paraId="0ABBE907" w14:textId="45F9936E" w:rsidR="007332DF" w:rsidRPr="005005FB" w:rsidRDefault="007332DF" w:rsidP="007332DF">
      <w:pPr>
        <w:pStyle w:val="Nadpis3"/>
        <w:numPr>
          <w:ilvl w:val="0"/>
          <w:numId w:val="0"/>
        </w:numPr>
        <w:ind w:left="284"/>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7332DF" w14:paraId="78F3044C"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65E763F8" w14:textId="67E6C02E" w:rsidR="007332DF" w:rsidRPr="007332DF" w:rsidRDefault="007332DF" w:rsidP="005A1247">
            <w:pPr>
              <w:spacing w:before="60" w:after="60"/>
              <w:jc w:val="both"/>
              <w:rPr>
                <w:rFonts w:cs="Arial"/>
                <w:color w:val="FFFFFF" w:themeColor="background1"/>
                <w:szCs w:val="22"/>
              </w:rPr>
            </w:pPr>
            <w:r w:rsidRPr="007332DF">
              <w:rPr>
                <w:rFonts w:cs="Arial"/>
                <w:color w:val="FFFFFF" w:themeColor="background1"/>
                <w:szCs w:val="22"/>
              </w:rPr>
              <w:t>E</w:t>
            </w:r>
            <w:r>
              <w:rPr>
                <w:rFonts w:cs="Arial"/>
                <w:color w:val="FFFFFF" w:themeColor="background1"/>
                <w:szCs w:val="22"/>
              </w:rPr>
              <w:t>10</w:t>
            </w:r>
            <w:r w:rsidRPr="007332DF">
              <w:rPr>
                <w:color w:val="FFFFFF" w:themeColor="background1"/>
                <w:szCs w:val="22"/>
              </w:rPr>
              <w:t xml:space="preserve">  Vytvoření  regulačního rámce v</w:t>
            </w:r>
            <w:r w:rsidR="005A1247">
              <w:rPr>
                <w:color w:val="FFFFFF" w:themeColor="background1"/>
                <w:szCs w:val="22"/>
              </w:rPr>
              <w:t> </w:t>
            </w:r>
            <w:r w:rsidRPr="007332DF">
              <w:rPr>
                <w:color w:val="FFFFFF" w:themeColor="background1"/>
                <w:szCs w:val="22"/>
              </w:rPr>
              <w:t>oblasti tzv. lehké elektromobility</w:t>
            </w:r>
            <w:r w:rsidRPr="007332DF">
              <w:rPr>
                <w:szCs w:val="22"/>
              </w:rPr>
              <w:t xml:space="preserve"> </w:t>
            </w:r>
          </w:p>
        </w:tc>
      </w:tr>
      <w:tr w:rsidR="007332DF" w14:paraId="2A39E37C" w14:textId="77777777" w:rsidTr="005A1247">
        <w:tc>
          <w:tcPr>
            <w:tcW w:w="1984" w:type="dxa"/>
            <w:tcBorders>
              <w:top w:val="single" w:sz="12" w:space="0" w:color="auto"/>
              <w:left w:val="single" w:sz="12" w:space="0" w:color="auto"/>
              <w:bottom w:val="single" w:sz="4" w:space="0" w:color="auto"/>
              <w:right w:val="single" w:sz="12" w:space="0" w:color="auto"/>
            </w:tcBorders>
            <w:hideMark/>
          </w:tcPr>
          <w:p w14:paraId="1DF8C455" w14:textId="77777777" w:rsidR="007332DF" w:rsidRDefault="007332DF" w:rsidP="005A1247">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6B90B9EF" w14:textId="77777777" w:rsidR="007332DF" w:rsidRDefault="007332DF" w:rsidP="005A1247">
            <w:pPr>
              <w:pStyle w:val="Normln10"/>
              <w:spacing w:before="60" w:line="240" w:lineRule="auto"/>
              <w:rPr>
                <w:rFonts w:cs="Arial"/>
                <w:sz w:val="22"/>
                <w:szCs w:val="22"/>
              </w:rPr>
            </w:pPr>
            <w:r>
              <w:rPr>
                <w:rFonts w:cs="Arial"/>
                <w:sz w:val="22"/>
                <w:szCs w:val="22"/>
              </w:rPr>
              <w:t>Zajištění stabilního regulatorního rámce</w:t>
            </w:r>
          </w:p>
        </w:tc>
      </w:tr>
      <w:tr w:rsidR="007332DF" w14:paraId="35EA380B"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9D8E7FD" w14:textId="77777777" w:rsidR="007332DF" w:rsidRDefault="007332DF" w:rsidP="005A1247">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61488384" w14:textId="0E20DACB" w:rsidR="007332DF" w:rsidRPr="006328F0" w:rsidRDefault="007332DF" w:rsidP="005A1247">
            <w:pPr>
              <w:pStyle w:val="Normln10"/>
              <w:spacing w:before="60" w:after="60" w:line="240" w:lineRule="auto"/>
              <w:rPr>
                <w:rFonts w:cs="Arial"/>
                <w:sz w:val="22"/>
                <w:szCs w:val="22"/>
              </w:rPr>
            </w:pPr>
            <w:r w:rsidRPr="006328F0">
              <w:rPr>
                <w:rFonts w:cs="Arial"/>
                <w:sz w:val="22"/>
                <w:szCs w:val="22"/>
              </w:rPr>
              <w:t xml:space="preserve">Cílem daného opatření </w:t>
            </w:r>
            <w:r>
              <w:rPr>
                <w:rFonts w:cs="Arial"/>
                <w:sz w:val="22"/>
                <w:szCs w:val="22"/>
              </w:rPr>
              <w:t>je vymezit určité základní legislativní předpoklady pro rozvoj tzv. lehké elektromobility (tj. pro jednotlivé typy vozidel kategorie L</w:t>
            </w:r>
            <w:r w:rsidR="005A1247">
              <w:rPr>
                <w:rFonts w:cs="Arial"/>
                <w:sz w:val="22"/>
                <w:szCs w:val="22"/>
              </w:rPr>
              <w:t> </w:t>
            </w:r>
            <w:r>
              <w:rPr>
                <w:rFonts w:cs="Arial"/>
                <w:sz w:val="22"/>
                <w:szCs w:val="22"/>
              </w:rPr>
              <w:t>– elektrická jízdní kola, elektrické skútry atd.) a</w:t>
            </w:r>
            <w:r w:rsidR="005A1247">
              <w:rPr>
                <w:rFonts w:cs="Arial"/>
                <w:sz w:val="22"/>
                <w:szCs w:val="22"/>
              </w:rPr>
              <w:t> </w:t>
            </w:r>
            <w:r>
              <w:rPr>
                <w:rFonts w:cs="Arial"/>
                <w:sz w:val="22"/>
                <w:szCs w:val="22"/>
              </w:rPr>
              <w:t>to jednak za účelem zvýšení bezpečnosti silničního provozu, a</w:t>
            </w:r>
            <w:r w:rsidR="005A1247">
              <w:rPr>
                <w:rFonts w:cs="Arial"/>
                <w:sz w:val="22"/>
                <w:szCs w:val="22"/>
              </w:rPr>
              <w:t> </w:t>
            </w:r>
            <w:r>
              <w:rPr>
                <w:rFonts w:cs="Arial"/>
                <w:sz w:val="22"/>
                <w:szCs w:val="22"/>
              </w:rPr>
              <w:t>dále k</w:t>
            </w:r>
            <w:r w:rsidR="005A1247">
              <w:rPr>
                <w:rFonts w:cs="Arial"/>
                <w:sz w:val="22"/>
                <w:szCs w:val="22"/>
              </w:rPr>
              <w:t> </w:t>
            </w:r>
            <w:r>
              <w:rPr>
                <w:rFonts w:cs="Arial"/>
                <w:sz w:val="22"/>
                <w:szCs w:val="22"/>
              </w:rPr>
              <w:t>zajištění přístupnosti prostředí pro všechny uživatelé (včetně osob s</w:t>
            </w:r>
            <w:r w:rsidR="005A1247">
              <w:rPr>
                <w:rFonts w:cs="Arial"/>
                <w:sz w:val="22"/>
                <w:szCs w:val="22"/>
              </w:rPr>
              <w:t> </w:t>
            </w:r>
            <w:r>
              <w:rPr>
                <w:rFonts w:cs="Arial"/>
                <w:sz w:val="22"/>
                <w:szCs w:val="22"/>
              </w:rPr>
              <w:t>omezenou schopností pohybu a</w:t>
            </w:r>
            <w:r w:rsidR="005A1247">
              <w:rPr>
                <w:rFonts w:cs="Arial"/>
                <w:sz w:val="22"/>
                <w:szCs w:val="22"/>
              </w:rPr>
              <w:t> </w:t>
            </w:r>
            <w:r>
              <w:rPr>
                <w:rFonts w:cs="Arial"/>
                <w:sz w:val="22"/>
                <w:szCs w:val="22"/>
              </w:rPr>
              <w:t xml:space="preserve">orientace).   </w:t>
            </w:r>
          </w:p>
        </w:tc>
      </w:tr>
      <w:tr w:rsidR="007332DF" w:rsidRPr="006328F0" w14:paraId="1274CD9E" w14:textId="77777777" w:rsidTr="005A1247">
        <w:trPr>
          <w:trHeight w:val="1277"/>
        </w:trPr>
        <w:tc>
          <w:tcPr>
            <w:tcW w:w="1984" w:type="dxa"/>
            <w:tcBorders>
              <w:top w:val="single" w:sz="4" w:space="0" w:color="auto"/>
              <w:left w:val="single" w:sz="12" w:space="0" w:color="auto"/>
              <w:bottom w:val="single" w:sz="4" w:space="0" w:color="auto"/>
              <w:right w:val="single" w:sz="12" w:space="0" w:color="auto"/>
            </w:tcBorders>
            <w:hideMark/>
          </w:tcPr>
          <w:p w14:paraId="7574D6B5" w14:textId="77777777" w:rsidR="007332DF" w:rsidRDefault="007332DF" w:rsidP="005A1247">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1E5DE05B" w14:textId="500C2654" w:rsidR="007332DF" w:rsidRPr="0055722D" w:rsidRDefault="007332DF" w:rsidP="005A1247">
            <w:pPr>
              <w:jc w:val="both"/>
              <w:rPr>
                <w:rFonts w:cs="Arial"/>
                <w:iCs/>
              </w:rPr>
            </w:pPr>
            <w:r>
              <w:rPr>
                <w:rFonts w:cs="Arial"/>
                <w:iCs/>
              </w:rPr>
              <w:t>Na základě v</w:t>
            </w:r>
            <w:r w:rsidR="005A1247">
              <w:rPr>
                <w:rFonts w:cs="Arial"/>
                <w:iCs/>
              </w:rPr>
              <w:t> </w:t>
            </w:r>
            <w:r>
              <w:rPr>
                <w:rFonts w:cs="Arial"/>
                <w:iCs/>
              </w:rPr>
              <w:t>budoucnosti zpracované studie posuzující technické parametry jednotlivých typů lehkých elektrických vozidel a</w:t>
            </w:r>
            <w:r w:rsidR="005A1247">
              <w:rPr>
                <w:rFonts w:cs="Arial"/>
                <w:iCs/>
              </w:rPr>
              <w:t> </w:t>
            </w:r>
            <w:r>
              <w:rPr>
                <w:rFonts w:cs="Arial"/>
                <w:iCs/>
              </w:rPr>
              <w:t>rovněž v</w:t>
            </w:r>
            <w:r w:rsidR="005A1247">
              <w:rPr>
                <w:rFonts w:cs="Arial"/>
                <w:iCs/>
              </w:rPr>
              <w:t> </w:t>
            </w:r>
            <w:r>
              <w:rPr>
                <w:rFonts w:cs="Arial"/>
                <w:iCs/>
              </w:rPr>
              <w:t>návaznosti na připravovanou Koncepci městské a</w:t>
            </w:r>
            <w:r w:rsidR="005A1247">
              <w:rPr>
                <w:rFonts w:cs="Arial"/>
                <w:iCs/>
              </w:rPr>
              <w:t> </w:t>
            </w:r>
            <w:r>
              <w:rPr>
                <w:rFonts w:cs="Arial"/>
                <w:iCs/>
              </w:rPr>
              <w:t>aktivní mobility bude navržena speciální legislativní úprava pro používání dotčených vozidel.</w:t>
            </w:r>
          </w:p>
        </w:tc>
      </w:tr>
      <w:tr w:rsidR="007332DF" w14:paraId="37CB52BB"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2600CF9C" w14:textId="77777777" w:rsidR="007332DF" w:rsidRDefault="007332DF" w:rsidP="005A1247">
            <w:pPr>
              <w:pStyle w:val="Normln10"/>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082969C5" w14:textId="77777777" w:rsidR="007332DF" w:rsidRDefault="007332DF" w:rsidP="005A1247">
            <w:pPr>
              <w:pStyle w:val="Normln10"/>
              <w:spacing w:before="0" w:line="240" w:lineRule="auto"/>
              <w:jc w:val="left"/>
              <w:rPr>
                <w:rFonts w:cs="Arial"/>
                <w:sz w:val="22"/>
                <w:szCs w:val="22"/>
              </w:rPr>
            </w:pPr>
            <w:r>
              <w:rPr>
                <w:rFonts w:cs="Arial"/>
                <w:sz w:val="22"/>
                <w:szCs w:val="22"/>
              </w:rPr>
              <w:t xml:space="preserve">V této fázi nelze kvantifikovat. </w:t>
            </w:r>
          </w:p>
        </w:tc>
      </w:tr>
      <w:tr w:rsidR="007332DF" w14:paraId="63AC5B32"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E319133" w14:textId="77777777" w:rsidR="007332DF" w:rsidRDefault="007332DF" w:rsidP="005A1247">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1E9C0D06" w14:textId="77777777" w:rsidR="007332DF" w:rsidRDefault="007332DF" w:rsidP="005A1247">
            <w:pPr>
              <w:pStyle w:val="Normln10"/>
              <w:spacing w:line="240" w:lineRule="auto"/>
              <w:jc w:val="left"/>
              <w:rPr>
                <w:rFonts w:cs="Arial"/>
                <w:sz w:val="22"/>
                <w:szCs w:val="22"/>
              </w:rPr>
            </w:pPr>
            <w:r>
              <w:rPr>
                <w:rFonts w:cs="Arial"/>
                <w:sz w:val="22"/>
                <w:szCs w:val="22"/>
              </w:rPr>
              <w:t>MD</w:t>
            </w:r>
          </w:p>
        </w:tc>
      </w:tr>
      <w:tr w:rsidR="007332DF" w14:paraId="6191CFFF"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663379F5" w14:textId="77777777" w:rsidR="007332DF" w:rsidRDefault="007332DF" w:rsidP="005A1247">
            <w:pPr>
              <w:pStyle w:val="Normln10"/>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5FDAA250" w14:textId="77777777" w:rsidR="007332DF" w:rsidRDefault="007332DF" w:rsidP="005A1247">
            <w:pPr>
              <w:pStyle w:val="Normln10"/>
              <w:spacing w:line="240" w:lineRule="auto"/>
              <w:jc w:val="left"/>
              <w:rPr>
                <w:rFonts w:cs="Arial"/>
                <w:sz w:val="22"/>
                <w:szCs w:val="22"/>
              </w:rPr>
            </w:pPr>
          </w:p>
        </w:tc>
      </w:tr>
      <w:tr w:rsidR="007332DF" w14:paraId="0B552C43" w14:textId="77777777" w:rsidTr="005A1247">
        <w:tc>
          <w:tcPr>
            <w:tcW w:w="1984" w:type="dxa"/>
            <w:tcBorders>
              <w:top w:val="single" w:sz="4" w:space="0" w:color="auto"/>
              <w:left w:val="single" w:sz="12" w:space="0" w:color="auto"/>
              <w:bottom w:val="single" w:sz="12" w:space="0" w:color="auto"/>
              <w:right w:val="single" w:sz="12" w:space="0" w:color="auto"/>
            </w:tcBorders>
            <w:hideMark/>
          </w:tcPr>
          <w:p w14:paraId="31E549EC" w14:textId="77777777" w:rsidR="007332DF" w:rsidRDefault="007332DF" w:rsidP="005A1247">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hideMark/>
          </w:tcPr>
          <w:p w14:paraId="4451A5DF" w14:textId="77777777" w:rsidR="007332DF" w:rsidRDefault="007332DF" w:rsidP="005A1247">
            <w:pPr>
              <w:pStyle w:val="Normln10"/>
              <w:spacing w:line="240" w:lineRule="auto"/>
              <w:jc w:val="left"/>
              <w:rPr>
                <w:rFonts w:cs="Arial"/>
                <w:sz w:val="22"/>
                <w:szCs w:val="22"/>
              </w:rPr>
            </w:pPr>
            <w:r>
              <w:rPr>
                <w:rFonts w:cs="Arial"/>
                <w:sz w:val="22"/>
                <w:szCs w:val="22"/>
              </w:rPr>
              <w:t>2021-22</w:t>
            </w:r>
          </w:p>
        </w:tc>
      </w:tr>
    </w:tbl>
    <w:p w14:paraId="248483AA" w14:textId="77777777" w:rsidR="007332DF" w:rsidRPr="007332DF" w:rsidRDefault="007332DF" w:rsidP="007332DF"/>
    <w:p w14:paraId="32DAFC99" w14:textId="5AA06400" w:rsidR="00DD2E8A" w:rsidRDefault="00082A9D" w:rsidP="00F37F37">
      <w:pPr>
        <w:pStyle w:val="Nadpis3"/>
        <w:tabs>
          <w:tab w:val="clear" w:pos="2411"/>
          <w:tab w:val="num" w:pos="1276"/>
        </w:tabs>
        <w:jc w:val="both"/>
      </w:pPr>
      <w:r>
        <w:t xml:space="preserve">E11 </w:t>
      </w:r>
      <w:r w:rsidR="00DD2E8A" w:rsidRPr="006C7843">
        <w:t>Účtování / vykazování nákladů za palivo na služebních cestách pro elektromobily</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DD2E8A" w14:paraId="63AAF307"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16194CFB" w14:textId="06F56A14" w:rsidR="00DD2E8A" w:rsidRDefault="007332DF" w:rsidP="00B502A0">
            <w:pPr>
              <w:spacing w:before="60" w:after="60"/>
              <w:jc w:val="both"/>
              <w:rPr>
                <w:rFonts w:cs="Arial"/>
                <w:b/>
                <w:color w:val="FFFFFF" w:themeColor="background1"/>
              </w:rPr>
            </w:pPr>
            <w:r>
              <w:rPr>
                <w:rFonts w:cs="Arial"/>
                <w:b/>
                <w:color w:val="FFFFFF" w:themeColor="background1"/>
              </w:rPr>
              <w:t>E</w:t>
            </w:r>
            <w:r w:rsidR="00082A9D">
              <w:rPr>
                <w:rFonts w:cs="Arial"/>
                <w:b/>
                <w:color w:val="FFFFFF" w:themeColor="background1"/>
              </w:rPr>
              <w:t>11</w:t>
            </w:r>
            <w:r>
              <w:rPr>
                <w:rFonts w:cs="Arial"/>
                <w:b/>
                <w:color w:val="FFFFFF" w:themeColor="background1"/>
              </w:rPr>
              <w:t xml:space="preserve"> </w:t>
            </w:r>
            <w:r w:rsidR="00DD2E8A">
              <w:rPr>
                <w:rFonts w:cs="Arial"/>
                <w:b/>
                <w:color w:val="FFFFFF" w:themeColor="background1"/>
              </w:rPr>
              <w:t>Účtování / vykazování nákladů za palivo na služebních cestách pro elektromobily</w:t>
            </w:r>
          </w:p>
        </w:tc>
      </w:tr>
      <w:tr w:rsidR="00DD2E8A" w14:paraId="391F0609" w14:textId="77777777" w:rsidTr="00B502A0">
        <w:tc>
          <w:tcPr>
            <w:tcW w:w="1984" w:type="dxa"/>
            <w:tcBorders>
              <w:top w:val="single" w:sz="12" w:space="0" w:color="auto"/>
              <w:left w:val="single" w:sz="12" w:space="0" w:color="auto"/>
              <w:bottom w:val="single" w:sz="4" w:space="0" w:color="auto"/>
              <w:right w:val="single" w:sz="12" w:space="0" w:color="auto"/>
            </w:tcBorders>
            <w:hideMark/>
          </w:tcPr>
          <w:p w14:paraId="303A3613" w14:textId="77777777" w:rsidR="00DD2E8A" w:rsidRDefault="00DD2E8A" w:rsidP="0054245B">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44394B46" w14:textId="77777777" w:rsidR="00DD2E8A" w:rsidRPr="002A510E" w:rsidRDefault="00DD2E8A" w:rsidP="00B502A0">
            <w:pPr>
              <w:pStyle w:val="Normln10"/>
              <w:spacing w:before="0" w:line="240" w:lineRule="auto"/>
              <w:rPr>
                <w:rFonts w:cs="Arial"/>
                <w:sz w:val="22"/>
                <w:szCs w:val="22"/>
              </w:rPr>
            </w:pPr>
            <w:r>
              <w:rPr>
                <w:rFonts w:cs="Arial"/>
                <w:sz w:val="22"/>
                <w:szCs w:val="22"/>
              </w:rPr>
              <w:t xml:space="preserve">Rozvoj trhu elektrických </w:t>
            </w:r>
            <w:r w:rsidRPr="002A510E">
              <w:rPr>
                <w:rFonts w:cs="Arial"/>
                <w:sz w:val="22"/>
                <w:szCs w:val="22"/>
              </w:rPr>
              <w:t>vozidel</w:t>
            </w:r>
            <w:r w:rsidR="003D46EF">
              <w:rPr>
                <w:rFonts w:cs="Arial"/>
                <w:sz w:val="22"/>
                <w:szCs w:val="22"/>
              </w:rPr>
              <w:t xml:space="preserve"> (kap. 2.4.1.)</w:t>
            </w:r>
          </w:p>
          <w:p w14:paraId="65098422" w14:textId="77777777" w:rsidR="00DD2E8A" w:rsidRDefault="00DD2E8A" w:rsidP="00B502A0">
            <w:pPr>
              <w:pStyle w:val="Normln10"/>
              <w:spacing w:before="0" w:line="240" w:lineRule="auto"/>
              <w:rPr>
                <w:rFonts w:cs="Arial"/>
                <w:sz w:val="22"/>
                <w:szCs w:val="22"/>
              </w:rPr>
            </w:pPr>
            <w:r w:rsidRPr="002A510E">
              <w:rPr>
                <w:rFonts w:cs="Arial"/>
                <w:sz w:val="22"/>
                <w:szCs w:val="22"/>
              </w:rPr>
              <w:t xml:space="preserve">Zajištění stabilního regulatorního </w:t>
            </w:r>
            <w:r>
              <w:rPr>
                <w:rFonts w:cs="Arial"/>
                <w:sz w:val="22"/>
                <w:szCs w:val="22"/>
              </w:rPr>
              <w:t>rámce pro rozvoj elektromobility</w:t>
            </w:r>
            <w:r w:rsidR="003D46EF">
              <w:rPr>
                <w:rFonts w:cs="Arial"/>
                <w:sz w:val="22"/>
                <w:szCs w:val="22"/>
              </w:rPr>
              <w:t xml:space="preserve"> (kap. 2.4.3.)</w:t>
            </w:r>
          </w:p>
        </w:tc>
      </w:tr>
      <w:tr w:rsidR="00DD2E8A" w14:paraId="17B228E3"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76376082" w14:textId="77777777" w:rsidR="00DD2E8A" w:rsidRDefault="00DD2E8A" w:rsidP="0054245B">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457E41E1" w14:textId="636CCBF3" w:rsidR="00DD2E8A" w:rsidRDefault="00DD2E8A" w:rsidP="005A1247">
            <w:pPr>
              <w:pStyle w:val="Normln10"/>
              <w:spacing w:before="0" w:line="240" w:lineRule="auto"/>
              <w:rPr>
                <w:rFonts w:cs="Arial"/>
                <w:sz w:val="22"/>
                <w:szCs w:val="22"/>
              </w:rPr>
            </w:pPr>
            <w:r>
              <w:rPr>
                <w:rFonts w:cs="Arial"/>
                <w:sz w:val="22"/>
                <w:szCs w:val="22"/>
              </w:rPr>
              <w:t>Navrhnout metodiku výpočtu pro různé typy/charaktery odběrů a</w:t>
            </w:r>
            <w:r w:rsidR="005A1247">
              <w:rPr>
                <w:rFonts w:cs="Arial"/>
                <w:sz w:val="22"/>
                <w:szCs w:val="22"/>
              </w:rPr>
              <w:t> </w:t>
            </w:r>
            <w:r>
              <w:rPr>
                <w:rFonts w:cs="Arial"/>
                <w:sz w:val="22"/>
                <w:szCs w:val="22"/>
              </w:rPr>
              <w:t>zajistit souhlasný postoj daňové správy a</w:t>
            </w:r>
            <w:r w:rsidR="005A1247">
              <w:rPr>
                <w:rFonts w:cs="Arial"/>
                <w:sz w:val="22"/>
                <w:szCs w:val="22"/>
              </w:rPr>
              <w:t> </w:t>
            </w:r>
            <w:r>
              <w:rPr>
                <w:rFonts w:cs="Arial"/>
                <w:sz w:val="22"/>
                <w:szCs w:val="22"/>
              </w:rPr>
              <w:t>MPSV k</w:t>
            </w:r>
            <w:r w:rsidR="005A1247">
              <w:rPr>
                <w:rFonts w:cs="Arial"/>
                <w:sz w:val="22"/>
                <w:szCs w:val="22"/>
              </w:rPr>
              <w:t> </w:t>
            </w:r>
            <w:r>
              <w:rPr>
                <w:rFonts w:cs="Arial"/>
                <w:sz w:val="22"/>
                <w:szCs w:val="22"/>
              </w:rPr>
              <w:t>jejímu použití pro výpočet náhrad (podobně jako je tomu dnes u</w:t>
            </w:r>
            <w:r w:rsidR="005A1247">
              <w:rPr>
                <w:rFonts w:cs="Arial"/>
                <w:sz w:val="22"/>
                <w:szCs w:val="22"/>
              </w:rPr>
              <w:t> </w:t>
            </w:r>
            <w:r>
              <w:rPr>
                <w:rFonts w:cs="Arial"/>
                <w:sz w:val="22"/>
                <w:szCs w:val="22"/>
              </w:rPr>
              <w:t>klasických paliv) a</w:t>
            </w:r>
            <w:r w:rsidR="005A1247">
              <w:rPr>
                <w:rFonts w:cs="Arial"/>
                <w:sz w:val="22"/>
                <w:szCs w:val="22"/>
              </w:rPr>
              <w:t> </w:t>
            </w:r>
            <w:r>
              <w:rPr>
                <w:rFonts w:cs="Arial"/>
                <w:sz w:val="22"/>
                <w:szCs w:val="22"/>
              </w:rPr>
              <w:t>ideálně též MF, aby bylo použitelné pro daňové účely.</w:t>
            </w:r>
          </w:p>
        </w:tc>
      </w:tr>
      <w:tr w:rsidR="00DD2E8A" w14:paraId="49E23EE3"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28D73F45" w14:textId="77777777" w:rsidR="00DD2E8A" w:rsidRDefault="00DD2E8A" w:rsidP="0054245B">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64A2F362" w14:textId="0A8C1734" w:rsidR="00DD2E8A" w:rsidRPr="00C77546" w:rsidRDefault="00DD2E8A" w:rsidP="00B502A0">
            <w:pPr>
              <w:pStyle w:val="Normln10"/>
              <w:spacing w:before="0" w:line="240" w:lineRule="auto"/>
              <w:rPr>
                <w:rFonts w:cs="Arial"/>
              </w:rPr>
            </w:pPr>
            <w:r w:rsidRPr="00C77546">
              <w:rPr>
                <w:rFonts w:cs="Arial"/>
              </w:rPr>
              <w:t>Česká legislativa při výpočtu náhrad za spotřebované pohonné hmoty vč. elektřiny vychází ze skutečně ujeté vzdálenosti (obvykle na základě záznamů uvedených v</w:t>
            </w:r>
            <w:r w:rsidR="005A1247">
              <w:rPr>
                <w:rFonts w:cs="Arial"/>
              </w:rPr>
              <w:t> </w:t>
            </w:r>
            <w:r w:rsidRPr="00C77546">
              <w:rPr>
                <w:rFonts w:cs="Arial"/>
              </w:rPr>
              <w:t>knize jízd ke konkrétnímu vozidlu), z</w:t>
            </w:r>
            <w:r w:rsidR="005A1247">
              <w:rPr>
                <w:rFonts w:cs="Arial"/>
              </w:rPr>
              <w:t> </w:t>
            </w:r>
            <w:r w:rsidRPr="00C77546">
              <w:rPr>
                <w:rFonts w:cs="Arial"/>
              </w:rPr>
              <w:t>průměrné spotřeby uvedené v</w:t>
            </w:r>
            <w:r w:rsidR="005A1247">
              <w:rPr>
                <w:rFonts w:cs="Arial"/>
              </w:rPr>
              <w:t> </w:t>
            </w:r>
            <w:r w:rsidRPr="00C77546">
              <w:rPr>
                <w:rFonts w:cs="Arial"/>
              </w:rPr>
              <w:t>technickém průkazu k</w:t>
            </w:r>
            <w:r w:rsidR="005A1247">
              <w:rPr>
                <w:rFonts w:cs="Arial"/>
              </w:rPr>
              <w:t> </w:t>
            </w:r>
            <w:r w:rsidRPr="00C77546">
              <w:rPr>
                <w:rFonts w:cs="Arial"/>
              </w:rPr>
              <w:t>vozidlu a</w:t>
            </w:r>
            <w:r w:rsidR="005A1247">
              <w:rPr>
                <w:rFonts w:cs="Arial"/>
              </w:rPr>
              <w:t> </w:t>
            </w:r>
            <w:r w:rsidRPr="00C77546">
              <w:rPr>
                <w:rFonts w:cs="Arial"/>
              </w:rPr>
              <w:t>z ceny nakoupených pohonných hmot. Obecně tedy není přípustná např. paušalizace náhrad založená na odhadu průměrné spotřeby a</w:t>
            </w:r>
            <w:r w:rsidR="005A1247">
              <w:rPr>
                <w:rFonts w:cs="Arial"/>
              </w:rPr>
              <w:t> </w:t>
            </w:r>
            <w:r w:rsidRPr="00C77546">
              <w:rPr>
                <w:rFonts w:cs="Arial"/>
              </w:rPr>
              <w:t xml:space="preserve">průměrné ceny elektřiny bez nutnosti vedení evidence </w:t>
            </w:r>
            <w:r w:rsidRPr="00C77546">
              <w:rPr>
                <w:rFonts w:cs="Arial"/>
              </w:rPr>
              <w:lastRenderedPageBreak/>
              <w:t>jízd (kniha jízd) a</w:t>
            </w:r>
            <w:r w:rsidR="005A1247">
              <w:rPr>
                <w:rFonts w:cs="Arial"/>
              </w:rPr>
              <w:t> </w:t>
            </w:r>
            <w:r w:rsidRPr="00C77546">
              <w:rPr>
                <w:rFonts w:cs="Arial"/>
              </w:rPr>
              <w:t>prokázání skutečné ceny spotřebované elektřiny (fakturou od dodavatele).</w:t>
            </w:r>
          </w:p>
          <w:p w14:paraId="5A5FF514" w14:textId="649701BF" w:rsidR="00DD2E8A" w:rsidRPr="00C77546" w:rsidRDefault="00DD2E8A" w:rsidP="00B502A0">
            <w:pPr>
              <w:pStyle w:val="Normln10"/>
              <w:spacing w:before="0" w:line="240" w:lineRule="auto"/>
              <w:rPr>
                <w:rFonts w:cs="Arial"/>
              </w:rPr>
            </w:pPr>
            <w:r w:rsidRPr="00C77546">
              <w:rPr>
                <w:rFonts w:cs="Arial"/>
              </w:rPr>
              <w:t>Cena pohonných hmot je buď prokazována podle skutečné výše na základě pokladního dokladu (účtenky z</w:t>
            </w:r>
            <w:r w:rsidR="005A1247">
              <w:rPr>
                <w:rFonts w:cs="Arial"/>
              </w:rPr>
              <w:t> </w:t>
            </w:r>
            <w:r w:rsidRPr="00C77546">
              <w:rPr>
                <w:rFonts w:cs="Arial"/>
              </w:rPr>
              <w:t>čerpací stanice) nebo se vychází z</w:t>
            </w:r>
            <w:r w:rsidR="005A1247">
              <w:rPr>
                <w:rFonts w:cs="Arial"/>
              </w:rPr>
              <w:t> </w:t>
            </w:r>
            <w:r w:rsidRPr="00C77546">
              <w:rPr>
                <w:rFonts w:cs="Arial"/>
              </w:rPr>
              <w:t>průměrné ceny zveřejněné ministerstvem práce a</w:t>
            </w:r>
            <w:r w:rsidR="005A1247">
              <w:rPr>
                <w:rFonts w:cs="Arial"/>
              </w:rPr>
              <w:t> </w:t>
            </w:r>
            <w:r w:rsidRPr="00C77546">
              <w:rPr>
                <w:rFonts w:cs="Arial"/>
              </w:rPr>
              <w:t>sociálních věcí (MPSV), které ale MSPV vyhlašuje pouze pro konvenční paliva, nikoliv pro elektřinu.</w:t>
            </w:r>
          </w:p>
          <w:p w14:paraId="2E49F17C" w14:textId="5D351E72" w:rsidR="00DD2E8A" w:rsidRPr="00C77546" w:rsidRDefault="00DD2E8A" w:rsidP="00B502A0">
            <w:pPr>
              <w:pStyle w:val="Normln10"/>
              <w:spacing w:before="0" w:line="240" w:lineRule="auto"/>
              <w:rPr>
                <w:rFonts w:cs="Arial"/>
              </w:rPr>
            </w:pPr>
            <w:r w:rsidRPr="00C77546">
              <w:rPr>
                <w:rFonts w:cs="Arial"/>
              </w:rPr>
              <w:t>Podle nedávného stanoviska daňové správy je v</w:t>
            </w:r>
            <w:r w:rsidR="005A1247">
              <w:rPr>
                <w:rFonts w:cs="Arial"/>
              </w:rPr>
              <w:t> </w:t>
            </w:r>
            <w:r w:rsidRPr="00C77546">
              <w:rPr>
                <w:rFonts w:cs="Arial"/>
              </w:rPr>
              <w:t>případě náhrady za spotřebované pohonné hmoty (vč. elektřiny v</w:t>
            </w:r>
            <w:r w:rsidR="005A1247">
              <w:rPr>
                <w:rFonts w:cs="Arial"/>
              </w:rPr>
              <w:t> </w:t>
            </w:r>
            <w:r w:rsidRPr="00C77546">
              <w:rPr>
                <w:rFonts w:cs="Arial"/>
              </w:rPr>
              <w:t>případě elektromobilů a</w:t>
            </w:r>
            <w:r w:rsidR="005A1247">
              <w:rPr>
                <w:rFonts w:cs="Arial"/>
              </w:rPr>
              <w:t> </w:t>
            </w:r>
            <w:r w:rsidRPr="00C77546">
              <w:rPr>
                <w:rFonts w:cs="Arial"/>
              </w:rPr>
              <w:t>plug-in hybridů) třeba prokázat cenu, za kterou je elektřina skutečně pořízena, a</w:t>
            </w:r>
            <w:r w:rsidR="005A1247">
              <w:rPr>
                <w:rFonts w:cs="Arial"/>
              </w:rPr>
              <w:t> </w:t>
            </w:r>
            <w:r w:rsidRPr="00C77546">
              <w:rPr>
                <w:rFonts w:cs="Arial"/>
              </w:rPr>
              <w:t>rovněž spotřebu elektřiny na ujetou vzdálenost (dle technického průkazu).</w:t>
            </w:r>
          </w:p>
          <w:p w14:paraId="65C1E721" w14:textId="1DC32BBC" w:rsidR="00DD2E8A" w:rsidRPr="00C77546" w:rsidRDefault="00DD2E8A" w:rsidP="00B502A0">
            <w:pPr>
              <w:pStyle w:val="Normln10"/>
              <w:spacing w:before="0" w:line="240" w:lineRule="auto"/>
              <w:rPr>
                <w:rFonts w:cs="Arial"/>
              </w:rPr>
            </w:pPr>
            <w:r w:rsidRPr="00C77546">
              <w:rPr>
                <w:rFonts w:cs="Arial"/>
              </w:rPr>
              <w:t>Uvedený závěr potvrdilo stanovisko MPSV, dle kterého je třeba při stanovení náhrady spotřebované pohonné hmoty vycházet z</w:t>
            </w:r>
            <w:r w:rsidR="005A1247">
              <w:rPr>
                <w:rFonts w:cs="Arial"/>
              </w:rPr>
              <w:t> </w:t>
            </w:r>
            <w:r w:rsidRPr="00C77546">
              <w:rPr>
                <w:rFonts w:cs="Arial"/>
              </w:rPr>
              <w:t>údaje o</w:t>
            </w:r>
            <w:r w:rsidR="005A1247">
              <w:rPr>
                <w:rFonts w:cs="Arial"/>
              </w:rPr>
              <w:t> </w:t>
            </w:r>
            <w:r w:rsidRPr="00C77546">
              <w:rPr>
                <w:rFonts w:cs="Arial"/>
              </w:rPr>
              <w:t>spotřebě při kombinovaném provozu uvedeném v</w:t>
            </w:r>
            <w:r w:rsidR="005A1247">
              <w:rPr>
                <w:rFonts w:cs="Arial"/>
              </w:rPr>
              <w:t> </w:t>
            </w:r>
            <w:r w:rsidRPr="00C77546">
              <w:rPr>
                <w:rFonts w:cs="Arial"/>
              </w:rPr>
              <w:t>technickém průkazu vozidla. K</w:t>
            </w:r>
            <w:r w:rsidR="005A1247">
              <w:rPr>
                <w:rFonts w:cs="Arial"/>
              </w:rPr>
              <w:t> </w:t>
            </w:r>
            <w:r w:rsidRPr="00C77546">
              <w:rPr>
                <w:rFonts w:cs="Arial"/>
              </w:rPr>
              <w:t>otázce prokazování ceny pohonné hmoty MPSV uvedlo, že zákoník práce předpokládá, že cena pohonné hmoty bude zásadně prokazována předložením dokladu o</w:t>
            </w:r>
            <w:r w:rsidR="005A1247">
              <w:rPr>
                <w:rFonts w:cs="Arial"/>
              </w:rPr>
              <w:t> </w:t>
            </w:r>
            <w:r w:rsidRPr="00C77546">
              <w:rPr>
                <w:rFonts w:cs="Arial"/>
              </w:rPr>
              <w:t>jejím nákupu, přičemž tento postup platí i</w:t>
            </w:r>
            <w:r w:rsidR="005A1247">
              <w:rPr>
                <w:rFonts w:cs="Arial"/>
              </w:rPr>
              <w:t> </w:t>
            </w:r>
            <w:r w:rsidRPr="00C77546">
              <w:rPr>
                <w:rFonts w:cs="Arial"/>
              </w:rPr>
              <w:t>v případě, kdy je vozidlo poháněno elektřinou.</w:t>
            </w:r>
          </w:p>
          <w:p w14:paraId="5ACCC8F5" w14:textId="2F799830" w:rsidR="00DD2E8A" w:rsidRPr="00C77546" w:rsidRDefault="00DD2E8A" w:rsidP="00B502A0">
            <w:pPr>
              <w:pStyle w:val="Normln10"/>
              <w:spacing w:before="0" w:line="240" w:lineRule="auto"/>
              <w:rPr>
                <w:rFonts w:cs="Arial"/>
              </w:rPr>
            </w:pPr>
            <w:r w:rsidRPr="00C77546">
              <w:rPr>
                <w:rFonts w:cs="Arial"/>
              </w:rPr>
              <w:t>V případě domácího dobíjení služebních vozidel bohužel neexistuje žádná metodika ohledně zjištění nákladů vynaložených zaměstnancem na dobíjení služebního vozidla.</w:t>
            </w:r>
            <w:r w:rsidR="00D31F63">
              <w:rPr>
                <w:iCs/>
              </w:rPr>
              <w:t xml:space="preserve"> </w:t>
            </w:r>
            <w:r w:rsidR="0011643B" w:rsidRPr="00D31F63">
              <w:rPr>
                <w:iCs/>
              </w:rPr>
              <w:t>Diskutována a</w:t>
            </w:r>
            <w:r w:rsidR="005A1247">
              <w:rPr>
                <w:iCs/>
              </w:rPr>
              <w:t> </w:t>
            </w:r>
            <w:r w:rsidR="0011643B" w:rsidRPr="00D31F63">
              <w:rPr>
                <w:iCs/>
              </w:rPr>
              <w:t>vyjasněna by měla být též problematika týkající se přiřazení a</w:t>
            </w:r>
            <w:r w:rsidR="005A1247">
              <w:rPr>
                <w:iCs/>
              </w:rPr>
              <w:t> </w:t>
            </w:r>
            <w:r w:rsidR="0011643B" w:rsidRPr="00D31F63">
              <w:rPr>
                <w:iCs/>
              </w:rPr>
              <w:t>vyúčtování jízd pro soukromé/služební účely v</w:t>
            </w:r>
            <w:r w:rsidR="005A1247">
              <w:rPr>
                <w:iCs/>
              </w:rPr>
              <w:t> </w:t>
            </w:r>
            <w:r w:rsidR="0011643B" w:rsidRPr="00D31F63">
              <w:rPr>
                <w:iCs/>
              </w:rPr>
              <w:t>souvislosti s</w:t>
            </w:r>
            <w:r w:rsidR="005A1247">
              <w:rPr>
                <w:iCs/>
              </w:rPr>
              <w:t> </w:t>
            </w:r>
            <w:r w:rsidR="0011643B" w:rsidRPr="00D31F63">
              <w:rPr>
                <w:iCs/>
              </w:rPr>
              <w:t>dobíjením vozidla na různých typech dobíjecích bodů.</w:t>
            </w:r>
            <w:r w:rsidRPr="00C77546">
              <w:rPr>
                <w:rFonts w:cs="Arial"/>
              </w:rPr>
              <w:t xml:space="preserve"> Obecně se vychází z</w:t>
            </w:r>
            <w:r w:rsidR="005A1247">
              <w:rPr>
                <w:rFonts w:cs="Arial"/>
              </w:rPr>
              <w:t> </w:t>
            </w:r>
            <w:r w:rsidRPr="00C77546">
              <w:rPr>
                <w:rFonts w:cs="Arial"/>
              </w:rPr>
              <w:t>povinnosti zaměstnance prokázat veškeré náklady, které mu má zaměstnavatel hradit, a</w:t>
            </w:r>
            <w:r w:rsidR="005A1247">
              <w:rPr>
                <w:rFonts w:cs="Arial"/>
              </w:rPr>
              <w:t> </w:t>
            </w:r>
            <w:r w:rsidRPr="00C77546">
              <w:rPr>
                <w:rFonts w:cs="Arial"/>
              </w:rPr>
              <w:t>postupuje se obdobně jako v</w:t>
            </w:r>
            <w:r w:rsidR="005A1247">
              <w:rPr>
                <w:rFonts w:cs="Arial"/>
              </w:rPr>
              <w:t> </w:t>
            </w:r>
            <w:r w:rsidRPr="00C77546">
              <w:rPr>
                <w:rFonts w:cs="Arial"/>
              </w:rPr>
              <w:t>případě benzínu/nafty. To znamená, že se vychází z</w:t>
            </w:r>
            <w:r w:rsidR="005A1247">
              <w:rPr>
                <w:rFonts w:cs="Arial"/>
              </w:rPr>
              <w:t> </w:t>
            </w:r>
            <w:r w:rsidRPr="00C77546">
              <w:rPr>
                <w:rFonts w:cs="Arial"/>
              </w:rPr>
              <w:t>ujeté vzdálenosti, z</w:t>
            </w:r>
            <w:r w:rsidR="005A1247">
              <w:rPr>
                <w:rFonts w:cs="Arial"/>
              </w:rPr>
              <w:t> </w:t>
            </w:r>
            <w:r w:rsidRPr="00C77546">
              <w:rPr>
                <w:rFonts w:cs="Arial"/>
              </w:rPr>
              <w:t>průměrné spotřeby elektřiny dle technického průkazu a</w:t>
            </w:r>
            <w:r w:rsidR="005A1247">
              <w:rPr>
                <w:rFonts w:cs="Arial"/>
              </w:rPr>
              <w:t> </w:t>
            </w:r>
            <w:r w:rsidRPr="00C77546">
              <w:rPr>
                <w:rFonts w:cs="Arial"/>
              </w:rPr>
              <w:t>z ceny elektřiny prokázané zaměstnancem např. fakturou od dodavatele.</w:t>
            </w:r>
          </w:p>
          <w:p w14:paraId="7D465563" w14:textId="02F972BA" w:rsidR="00DD2E8A" w:rsidRPr="00C77546" w:rsidRDefault="00DD2E8A" w:rsidP="00B502A0">
            <w:pPr>
              <w:pStyle w:val="Normln10"/>
              <w:spacing w:before="0" w:line="240" w:lineRule="auto"/>
              <w:rPr>
                <w:rFonts w:cs="Arial"/>
              </w:rPr>
            </w:pPr>
            <w:r w:rsidRPr="00C77546">
              <w:rPr>
                <w:rFonts w:cs="Arial"/>
              </w:rPr>
              <w:t>Problémem je zjištění skutečné spotřeby nutné k</w:t>
            </w:r>
            <w:r w:rsidR="005A1247">
              <w:rPr>
                <w:rFonts w:cs="Arial"/>
              </w:rPr>
              <w:t> </w:t>
            </w:r>
            <w:r w:rsidRPr="00C77546">
              <w:rPr>
                <w:rFonts w:cs="Arial"/>
              </w:rPr>
              <w:t>nabití elektromobilu (pokud elektromobil nebo wallbox nemá příslušné měřící zařízení) a</w:t>
            </w:r>
            <w:r w:rsidR="005A1247">
              <w:rPr>
                <w:rFonts w:cs="Arial"/>
              </w:rPr>
              <w:t> </w:t>
            </w:r>
            <w:r w:rsidRPr="00C77546">
              <w:rPr>
                <w:rFonts w:cs="Arial"/>
              </w:rPr>
              <w:t>také s</w:t>
            </w:r>
            <w:r w:rsidR="005A1247">
              <w:rPr>
                <w:rFonts w:cs="Arial"/>
              </w:rPr>
              <w:t> </w:t>
            </w:r>
            <w:r w:rsidRPr="00C77546">
              <w:rPr>
                <w:rFonts w:cs="Arial"/>
              </w:rPr>
              <w:t>určením ceny elektřiny, zejména pokud má zaměstnanec např. vlastní fotovoltaickou elektrárnu a</w:t>
            </w:r>
            <w:r w:rsidR="005A1247">
              <w:rPr>
                <w:rFonts w:cs="Arial"/>
              </w:rPr>
              <w:t> </w:t>
            </w:r>
            <w:r w:rsidRPr="00C77546">
              <w:rPr>
                <w:rFonts w:cs="Arial"/>
              </w:rPr>
              <w:t>elektřinu pro dobití nenakupuje externě (a není schopen určit její cenu). Navíc vyúčtování spotřeby elektřiny neprobíhá na měsíčním základě, ale na roční bázi a</w:t>
            </w:r>
            <w:r w:rsidR="005A1247">
              <w:rPr>
                <w:rFonts w:cs="Arial"/>
              </w:rPr>
              <w:t> </w:t>
            </w:r>
            <w:r w:rsidRPr="00C77546">
              <w:rPr>
                <w:rFonts w:cs="Arial"/>
              </w:rPr>
              <w:t>měsíčně se pouze stanoví zálohy. Pokud je navíc cena za elektřinu stanovena jako kombinace pevné částky za rezervovaný příkon (paušál za jistič) a</w:t>
            </w:r>
            <w:r w:rsidR="005A1247">
              <w:rPr>
                <w:rFonts w:cs="Arial"/>
              </w:rPr>
              <w:t> </w:t>
            </w:r>
            <w:r w:rsidRPr="00C77546">
              <w:rPr>
                <w:rFonts w:cs="Arial"/>
              </w:rPr>
              <w:t>jednotkové ceny dle spotřeby, tak nelze v</w:t>
            </w:r>
            <w:r w:rsidR="005A1247">
              <w:rPr>
                <w:rFonts w:cs="Arial"/>
              </w:rPr>
              <w:t> </w:t>
            </w:r>
            <w:r w:rsidRPr="00C77546">
              <w:rPr>
                <w:rFonts w:cs="Arial"/>
              </w:rPr>
              <w:t>průběhu roku skutečnou celkovou cenu zjistit vůbec a</w:t>
            </w:r>
            <w:r w:rsidR="005A1247">
              <w:rPr>
                <w:rFonts w:cs="Arial"/>
              </w:rPr>
              <w:t> </w:t>
            </w:r>
            <w:r w:rsidRPr="00C77546">
              <w:rPr>
                <w:rFonts w:cs="Arial"/>
              </w:rPr>
              <w:t>muselo by docházet k</w:t>
            </w:r>
            <w:r w:rsidR="005A1247">
              <w:rPr>
                <w:rFonts w:cs="Arial"/>
              </w:rPr>
              <w:t> </w:t>
            </w:r>
            <w:r w:rsidRPr="00C77546">
              <w:rPr>
                <w:rFonts w:cs="Arial"/>
              </w:rPr>
              <w:t>úpravám.</w:t>
            </w:r>
          </w:p>
          <w:p w14:paraId="0E46B6DF" w14:textId="4545A31F" w:rsidR="00DD2E8A" w:rsidRDefault="00DD2E8A" w:rsidP="005A1247">
            <w:pPr>
              <w:pStyle w:val="Normln10"/>
              <w:spacing w:before="0" w:line="240" w:lineRule="auto"/>
              <w:rPr>
                <w:rFonts w:cs="Arial"/>
                <w:sz w:val="22"/>
                <w:szCs w:val="22"/>
              </w:rPr>
            </w:pPr>
            <w:r w:rsidRPr="00C77546">
              <w:rPr>
                <w:rFonts w:cs="Arial"/>
              </w:rPr>
              <w:t>Určení průměrné (referenční) ceny elektřiny, které by bylo pro podobné účely bylo možné použít, by zřejmě mohlo být kalkulováno ve spolupráci s</w:t>
            </w:r>
            <w:r w:rsidR="005A1247">
              <w:rPr>
                <w:rFonts w:cs="Arial"/>
              </w:rPr>
              <w:t> </w:t>
            </w:r>
            <w:r w:rsidRPr="00C77546">
              <w:rPr>
                <w:rFonts w:cs="Arial"/>
              </w:rPr>
              <w:t>ERÚ</w:t>
            </w:r>
            <w:r w:rsidR="0048785B" w:rsidRPr="00C77546">
              <w:rPr>
                <w:rFonts w:cs="Arial"/>
              </w:rPr>
              <w:t xml:space="preserve"> a</w:t>
            </w:r>
            <w:r w:rsidR="005A1247">
              <w:rPr>
                <w:rFonts w:cs="Arial"/>
              </w:rPr>
              <w:t> </w:t>
            </w:r>
            <w:r w:rsidR="0048785B" w:rsidRPr="00C77546">
              <w:rPr>
                <w:rFonts w:cs="Arial"/>
              </w:rPr>
              <w:t>ČSÚ</w:t>
            </w:r>
            <w:r w:rsidRPr="00C77546">
              <w:rPr>
                <w:rFonts w:cs="Arial"/>
              </w:rPr>
              <w:t>, který disponuje potřebnou datovou základnou.</w:t>
            </w:r>
          </w:p>
        </w:tc>
      </w:tr>
      <w:tr w:rsidR="00DD2E8A" w14:paraId="276B1888"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079354F3" w14:textId="77777777" w:rsidR="00DD2E8A" w:rsidRDefault="00DD2E8A" w:rsidP="0054245B">
            <w:pPr>
              <w:pStyle w:val="Normln10"/>
              <w:rPr>
                <w:rFonts w:cs="Arial"/>
                <w:sz w:val="22"/>
                <w:szCs w:val="22"/>
              </w:rPr>
            </w:pPr>
            <w:r>
              <w:rPr>
                <w:rFonts w:cs="Arial"/>
                <w:sz w:val="22"/>
                <w:szCs w:val="22"/>
              </w:rPr>
              <w:lastRenderedPageBreak/>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3A2E9085" w14:textId="77777777" w:rsidR="00DD2E8A" w:rsidRDefault="00DD2E8A" w:rsidP="00B502A0">
            <w:pPr>
              <w:pStyle w:val="Normln10"/>
              <w:tabs>
                <w:tab w:val="left" w:pos="945"/>
              </w:tabs>
              <w:spacing w:before="0" w:line="240" w:lineRule="auto"/>
              <w:jc w:val="left"/>
              <w:rPr>
                <w:rFonts w:cs="Arial"/>
                <w:sz w:val="22"/>
                <w:szCs w:val="22"/>
              </w:rPr>
            </w:pPr>
            <w:r>
              <w:rPr>
                <w:rFonts w:cs="Arial"/>
                <w:sz w:val="22"/>
                <w:szCs w:val="22"/>
              </w:rPr>
              <w:t>Navržené opatření by nemělo mít rozpočtový dopad.</w:t>
            </w:r>
          </w:p>
        </w:tc>
      </w:tr>
      <w:tr w:rsidR="00DD2E8A" w14:paraId="1F998566"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5298E78E" w14:textId="77777777" w:rsidR="00DD2E8A" w:rsidRDefault="00DD2E8A" w:rsidP="0054245B">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4EF81DBC" w14:textId="77777777" w:rsidR="00DD2E8A" w:rsidRDefault="00DD2E8A" w:rsidP="00B502A0">
            <w:pPr>
              <w:pStyle w:val="Normln10"/>
              <w:spacing w:before="0" w:line="240" w:lineRule="auto"/>
              <w:jc w:val="left"/>
              <w:rPr>
                <w:rFonts w:cs="Arial"/>
                <w:sz w:val="22"/>
                <w:szCs w:val="22"/>
              </w:rPr>
            </w:pPr>
            <w:r>
              <w:rPr>
                <w:rFonts w:cs="Arial"/>
                <w:sz w:val="22"/>
                <w:szCs w:val="22"/>
              </w:rPr>
              <w:t>MPSV</w:t>
            </w:r>
          </w:p>
        </w:tc>
      </w:tr>
      <w:tr w:rsidR="00DD2E8A" w14:paraId="5D18A4EC" w14:textId="77777777" w:rsidTr="00B502A0">
        <w:tc>
          <w:tcPr>
            <w:tcW w:w="1984" w:type="dxa"/>
            <w:tcBorders>
              <w:top w:val="single" w:sz="8" w:space="0" w:color="auto"/>
              <w:left w:val="single" w:sz="12" w:space="0" w:color="auto"/>
              <w:bottom w:val="single" w:sz="8" w:space="0" w:color="auto"/>
              <w:right w:val="single" w:sz="12" w:space="0" w:color="auto"/>
            </w:tcBorders>
            <w:hideMark/>
          </w:tcPr>
          <w:p w14:paraId="5F9F5433" w14:textId="77777777" w:rsidR="00DD2E8A" w:rsidRDefault="00DD2E8A" w:rsidP="0054245B">
            <w:pPr>
              <w:pStyle w:val="Normln10"/>
              <w:rPr>
                <w:rFonts w:cs="Arial"/>
                <w:sz w:val="22"/>
                <w:szCs w:val="22"/>
              </w:rPr>
            </w:pPr>
            <w:r>
              <w:rPr>
                <w:rFonts w:cs="Arial"/>
                <w:sz w:val="22"/>
                <w:szCs w:val="22"/>
              </w:rPr>
              <w:t>Spolupráce</w:t>
            </w:r>
          </w:p>
        </w:tc>
        <w:tc>
          <w:tcPr>
            <w:tcW w:w="7087" w:type="dxa"/>
            <w:tcBorders>
              <w:top w:val="single" w:sz="8" w:space="0" w:color="auto"/>
              <w:left w:val="single" w:sz="12" w:space="0" w:color="auto"/>
              <w:bottom w:val="single" w:sz="8" w:space="0" w:color="auto"/>
              <w:right w:val="single" w:sz="12" w:space="0" w:color="auto"/>
            </w:tcBorders>
            <w:vAlign w:val="center"/>
            <w:hideMark/>
          </w:tcPr>
          <w:p w14:paraId="7E6E0091" w14:textId="75213FE8" w:rsidR="00DD2E8A" w:rsidRDefault="00DD2E8A" w:rsidP="005A1247">
            <w:pPr>
              <w:pStyle w:val="Normln10"/>
              <w:spacing w:before="0" w:line="240" w:lineRule="auto"/>
              <w:jc w:val="left"/>
              <w:rPr>
                <w:rFonts w:cs="Arial"/>
                <w:sz w:val="22"/>
                <w:szCs w:val="22"/>
              </w:rPr>
            </w:pPr>
            <w:r>
              <w:rPr>
                <w:rFonts w:cs="Arial"/>
                <w:sz w:val="22"/>
                <w:szCs w:val="22"/>
              </w:rPr>
              <w:t xml:space="preserve">ERÚ, </w:t>
            </w:r>
            <w:r w:rsidR="0048785B">
              <w:rPr>
                <w:rFonts w:cs="Arial"/>
                <w:sz w:val="22"/>
                <w:szCs w:val="22"/>
              </w:rPr>
              <w:t xml:space="preserve">ČSÚ, </w:t>
            </w:r>
            <w:r>
              <w:rPr>
                <w:rFonts w:cs="Arial"/>
                <w:sz w:val="22"/>
                <w:szCs w:val="22"/>
              </w:rPr>
              <w:t>Svaz průmyslu a</w:t>
            </w:r>
            <w:r w:rsidR="005A1247">
              <w:rPr>
                <w:rFonts w:cs="Arial"/>
                <w:sz w:val="22"/>
                <w:szCs w:val="22"/>
              </w:rPr>
              <w:t> </w:t>
            </w:r>
            <w:r>
              <w:rPr>
                <w:rFonts w:cs="Arial"/>
                <w:sz w:val="22"/>
                <w:szCs w:val="22"/>
              </w:rPr>
              <w:t>dopravy, AutoSAP, Energetické společnosti</w:t>
            </w:r>
          </w:p>
        </w:tc>
      </w:tr>
      <w:tr w:rsidR="00DD2E8A" w14:paraId="2350B25E" w14:textId="77777777" w:rsidTr="00B502A0">
        <w:tc>
          <w:tcPr>
            <w:tcW w:w="1984" w:type="dxa"/>
            <w:tcBorders>
              <w:top w:val="single" w:sz="8" w:space="0" w:color="auto"/>
              <w:left w:val="single" w:sz="12" w:space="0" w:color="auto"/>
              <w:bottom w:val="single" w:sz="12" w:space="0" w:color="auto"/>
              <w:right w:val="single" w:sz="12" w:space="0" w:color="auto"/>
            </w:tcBorders>
            <w:hideMark/>
          </w:tcPr>
          <w:p w14:paraId="157BE175" w14:textId="77777777" w:rsidR="00DD2E8A" w:rsidRDefault="00DD2E8A" w:rsidP="0054245B">
            <w:pPr>
              <w:pStyle w:val="Normln10"/>
              <w:rPr>
                <w:rFonts w:cs="Arial"/>
                <w:sz w:val="22"/>
                <w:szCs w:val="22"/>
              </w:rPr>
            </w:pPr>
            <w:r>
              <w:rPr>
                <w:rFonts w:cs="Arial"/>
                <w:sz w:val="22"/>
                <w:szCs w:val="22"/>
              </w:rPr>
              <w:t>Termín</w:t>
            </w:r>
          </w:p>
        </w:tc>
        <w:tc>
          <w:tcPr>
            <w:tcW w:w="7087" w:type="dxa"/>
            <w:tcBorders>
              <w:top w:val="single" w:sz="8" w:space="0" w:color="auto"/>
              <w:left w:val="single" w:sz="12" w:space="0" w:color="auto"/>
              <w:bottom w:val="single" w:sz="12" w:space="0" w:color="auto"/>
              <w:right w:val="single" w:sz="12" w:space="0" w:color="auto"/>
            </w:tcBorders>
            <w:vAlign w:val="center"/>
          </w:tcPr>
          <w:p w14:paraId="4C84F250" w14:textId="77777777" w:rsidR="00DD2E8A" w:rsidRDefault="00DD2E8A" w:rsidP="00B502A0">
            <w:pPr>
              <w:pStyle w:val="Normln10"/>
              <w:spacing w:before="0" w:line="240" w:lineRule="auto"/>
              <w:jc w:val="left"/>
              <w:rPr>
                <w:rFonts w:cs="Arial"/>
                <w:sz w:val="22"/>
                <w:szCs w:val="22"/>
              </w:rPr>
            </w:pPr>
            <w:r>
              <w:rPr>
                <w:rFonts w:cs="Arial"/>
                <w:sz w:val="22"/>
                <w:szCs w:val="22"/>
              </w:rPr>
              <w:t>2020</w:t>
            </w:r>
          </w:p>
        </w:tc>
      </w:tr>
    </w:tbl>
    <w:p w14:paraId="69D788AD" w14:textId="77777777" w:rsidR="00DD2E8A" w:rsidRDefault="00DD2E8A" w:rsidP="00DD2E8A">
      <w:pPr>
        <w:jc w:val="both"/>
      </w:pPr>
    </w:p>
    <w:p w14:paraId="0CA34E76" w14:textId="77777777" w:rsidR="00DD2E8A" w:rsidRDefault="00DD2E8A" w:rsidP="00DD2E8A">
      <w:pPr>
        <w:spacing w:before="0" w:after="0"/>
        <w:jc w:val="both"/>
      </w:pPr>
      <w:r>
        <w:br w:type="page"/>
      </w:r>
    </w:p>
    <w:p w14:paraId="7005B0C6" w14:textId="77777777" w:rsidR="00DD2E8A" w:rsidRDefault="00DD2E8A" w:rsidP="00F37F37">
      <w:pPr>
        <w:pStyle w:val="Nadpis3"/>
        <w:tabs>
          <w:tab w:val="clear" w:pos="2411"/>
          <w:tab w:val="num" w:pos="1134"/>
        </w:tabs>
      </w:pPr>
      <w:r>
        <w:lastRenderedPageBreak/>
        <w:t xml:space="preserve">P1 </w:t>
      </w:r>
      <w:r w:rsidRPr="000447EF">
        <w:t>Zjednodušení podmínek připojení výroben biometanu do plynárenské sítě</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6"/>
        <w:gridCol w:w="7385"/>
      </w:tblGrid>
      <w:tr w:rsidR="00DD2E8A" w14:paraId="434B7B16" w14:textId="77777777" w:rsidTr="0054245B">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255B86B4" w14:textId="77777777" w:rsidR="00DD2E8A" w:rsidRDefault="00DD2E8A" w:rsidP="0054245B">
            <w:pPr>
              <w:tabs>
                <w:tab w:val="left" w:pos="1065"/>
              </w:tabs>
              <w:spacing w:before="60" w:after="60"/>
              <w:jc w:val="both"/>
              <w:rPr>
                <w:rFonts w:cs="Arial"/>
                <w:b/>
                <w:color w:val="FFFFFF" w:themeColor="background1"/>
              </w:rPr>
            </w:pPr>
            <w:r>
              <w:rPr>
                <w:rFonts w:cs="Arial"/>
                <w:b/>
                <w:color w:val="FFFFFF" w:themeColor="background1"/>
              </w:rPr>
              <w:t>P1 Zjednodušení podmínek připojení výroben biometanu do plynárenské sítě</w:t>
            </w:r>
          </w:p>
        </w:tc>
      </w:tr>
      <w:tr w:rsidR="00DD2E8A" w14:paraId="1F52909C" w14:textId="77777777" w:rsidTr="00082A9D">
        <w:tc>
          <w:tcPr>
            <w:tcW w:w="1686" w:type="dxa"/>
            <w:tcBorders>
              <w:top w:val="single" w:sz="12" w:space="0" w:color="auto"/>
              <w:left w:val="single" w:sz="12" w:space="0" w:color="auto"/>
              <w:bottom w:val="single" w:sz="4" w:space="0" w:color="auto"/>
              <w:right w:val="single" w:sz="12" w:space="0" w:color="auto"/>
            </w:tcBorders>
            <w:hideMark/>
          </w:tcPr>
          <w:p w14:paraId="41BDD0B6" w14:textId="77777777" w:rsidR="00DD2E8A" w:rsidRDefault="00DD2E8A" w:rsidP="0054245B">
            <w:pPr>
              <w:pStyle w:val="Normln10"/>
              <w:spacing w:before="60" w:line="240" w:lineRule="auto"/>
              <w:rPr>
                <w:rFonts w:cs="Arial"/>
                <w:sz w:val="22"/>
                <w:szCs w:val="22"/>
              </w:rPr>
            </w:pPr>
            <w:r>
              <w:rPr>
                <w:rFonts w:cs="Arial"/>
                <w:sz w:val="22"/>
                <w:szCs w:val="22"/>
              </w:rPr>
              <w:t>Návaznost na strategický cíl</w:t>
            </w:r>
          </w:p>
        </w:tc>
        <w:tc>
          <w:tcPr>
            <w:tcW w:w="7385" w:type="dxa"/>
            <w:tcBorders>
              <w:top w:val="single" w:sz="12" w:space="0" w:color="auto"/>
              <w:left w:val="single" w:sz="12" w:space="0" w:color="auto"/>
              <w:bottom w:val="single" w:sz="4" w:space="0" w:color="auto"/>
              <w:right w:val="single" w:sz="12" w:space="0" w:color="auto"/>
            </w:tcBorders>
            <w:hideMark/>
          </w:tcPr>
          <w:p w14:paraId="29FCA82A" w14:textId="77777777" w:rsidR="00DD2E8A" w:rsidRDefault="00DD2E8A" w:rsidP="0054245B">
            <w:pPr>
              <w:pStyle w:val="Normln10"/>
              <w:spacing w:before="60" w:line="240" w:lineRule="auto"/>
              <w:rPr>
                <w:rFonts w:cs="Arial"/>
                <w:sz w:val="22"/>
                <w:szCs w:val="22"/>
              </w:rPr>
            </w:pPr>
            <w:r>
              <w:rPr>
                <w:rFonts w:cs="Arial"/>
                <w:sz w:val="22"/>
                <w:szCs w:val="22"/>
              </w:rPr>
              <w:t>Zajištění stabilního regulatorního rámce</w:t>
            </w:r>
          </w:p>
          <w:p w14:paraId="5CCC2920" w14:textId="12917B71" w:rsidR="00DD2E8A" w:rsidRDefault="00DD2E8A" w:rsidP="005A1247">
            <w:pPr>
              <w:pStyle w:val="Normln10"/>
              <w:tabs>
                <w:tab w:val="left" w:pos="1200"/>
              </w:tabs>
              <w:spacing w:before="60" w:line="240" w:lineRule="auto"/>
              <w:rPr>
                <w:rFonts w:cs="Arial"/>
                <w:sz w:val="22"/>
                <w:szCs w:val="22"/>
              </w:rPr>
            </w:pPr>
            <w:r w:rsidRPr="00934D5C">
              <w:rPr>
                <w:rFonts w:cs="Arial"/>
                <w:sz w:val="22"/>
                <w:szCs w:val="22"/>
              </w:rPr>
              <w:t>Rozvoj výroby biometanu pro využití v</w:t>
            </w:r>
            <w:r w:rsidR="005A1247">
              <w:rPr>
                <w:rFonts w:cs="Arial"/>
                <w:sz w:val="22"/>
                <w:szCs w:val="22"/>
              </w:rPr>
              <w:t> </w:t>
            </w:r>
            <w:r w:rsidR="003D46EF">
              <w:rPr>
                <w:rFonts w:cs="Arial"/>
                <w:sz w:val="22"/>
                <w:szCs w:val="22"/>
              </w:rPr>
              <w:t> </w:t>
            </w:r>
            <w:r w:rsidRPr="00934D5C">
              <w:rPr>
                <w:rFonts w:cs="Arial"/>
                <w:sz w:val="22"/>
                <w:szCs w:val="22"/>
              </w:rPr>
              <w:t>dopravě</w:t>
            </w:r>
            <w:r w:rsidR="003D46EF">
              <w:rPr>
                <w:rFonts w:cs="Arial"/>
                <w:sz w:val="22"/>
                <w:szCs w:val="22"/>
              </w:rPr>
              <w:t xml:space="preserve"> (kap. </w:t>
            </w:r>
            <w:r w:rsidR="004712D3">
              <w:rPr>
                <w:rFonts w:cs="Arial"/>
                <w:sz w:val="22"/>
                <w:szCs w:val="22"/>
              </w:rPr>
              <w:t>3.3.3.)</w:t>
            </w:r>
            <w:r>
              <w:rPr>
                <w:rFonts w:cs="Arial"/>
                <w:sz w:val="22"/>
                <w:szCs w:val="22"/>
              </w:rPr>
              <w:tab/>
            </w:r>
          </w:p>
        </w:tc>
      </w:tr>
      <w:tr w:rsidR="00DD2E8A" w14:paraId="3A52371C"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3D827E4C" w14:textId="77777777" w:rsidR="00DD2E8A" w:rsidRDefault="00DD2E8A" w:rsidP="0054245B">
            <w:pPr>
              <w:pStyle w:val="Normln10"/>
              <w:spacing w:before="60" w:line="240" w:lineRule="auto"/>
              <w:rPr>
                <w:rFonts w:cs="Arial"/>
                <w:sz w:val="22"/>
                <w:szCs w:val="22"/>
              </w:rPr>
            </w:pPr>
            <w:r>
              <w:rPr>
                <w:rFonts w:cs="Arial"/>
                <w:sz w:val="22"/>
                <w:szCs w:val="22"/>
              </w:rPr>
              <w:t>Cíl opatření</w:t>
            </w:r>
          </w:p>
        </w:tc>
        <w:tc>
          <w:tcPr>
            <w:tcW w:w="7385" w:type="dxa"/>
            <w:tcBorders>
              <w:top w:val="single" w:sz="4" w:space="0" w:color="auto"/>
              <w:left w:val="single" w:sz="12" w:space="0" w:color="auto"/>
              <w:bottom w:val="single" w:sz="4" w:space="0" w:color="auto"/>
              <w:right w:val="single" w:sz="12" w:space="0" w:color="auto"/>
            </w:tcBorders>
            <w:hideMark/>
          </w:tcPr>
          <w:p w14:paraId="52340A57" w14:textId="77777777" w:rsidR="00DD2E8A" w:rsidRDefault="00DD2E8A" w:rsidP="0054245B">
            <w:pPr>
              <w:pStyle w:val="Normln10"/>
              <w:spacing w:before="60" w:line="240" w:lineRule="auto"/>
              <w:rPr>
                <w:rFonts w:cs="Arial"/>
                <w:sz w:val="22"/>
                <w:szCs w:val="22"/>
              </w:rPr>
            </w:pPr>
            <w:r>
              <w:rPr>
                <w:rFonts w:cs="Arial"/>
                <w:sz w:val="22"/>
                <w:szCs w:val="22"/>
              </w:rPr>
              <w:t>Dekarbonizace dopravy, snížení CO</w:t>
            </w:r>
            <w:r w:rsidRPr="000447EF">
              <w:rPr>
                <w:rFonts w:cs="Arial"/>
                <w:sz w:val="22"/>
                <w:szCs w:val="22"/>
                <w:vertAlign w:val="subscript"/>
              </w:rPr>
              <w:t>2</w:t>
            </w:r>
            <w:r>
              <w:rPr>
                <w:rFonts w:cs="Arial"/>
                <w:sz w:val="22"/>
                <w:szCs w:val="22"/>
              </w:rPr>
              <w:t xml:space="preserve"> „ozeleněním“ zemního plynu pokročilým biometanem. Snížit či odstranit bariéry (technického charakteru), které dnes omezují připojení výroben biometanu do plynárenské sítě. </w:t>
            </w:r>
          </w:p>
          <w:p w14:paraId="317D988D" w14:textId="499AA22B" w:rsidR="00DD2E8A" w:rsidRDefault="00DD2E8A" w:rsidP="005A1247">
            <w:pPr>
              <w:pStyle w:val="Normln10"/>
              <w:spacing w:before="60" w:line="240" w:lineRule="auto"/>
              <w:rPr>
                <w:rFonts w:cs="Arial"/>
                <w:sz w:val="22"/>
                <w:szCs w:val="22"/>
              </w:rPr>
            </w:pPr>
            <w:r>
              <w:rPr>
                <w:rFonts w:cs="Arial"/>
                <w:sz w:val="22"/>
                <w:szCs w:val="22"/>
              </w:rPr>
              <w:t>Opatření směřuje zejména k</w:t>
            </w:r>
            <w:r w:rsidR="005A1247">
              <w:rPr>
                <w:rFonts w:cs="Arial"/>
                <w:sz w:val="22"/>
                <w:szCs w:val="22"/>
              </w:rPr>
              <w:t> </w:t>
            </w:r>
            <w:r>
              <w:rPr>
                <w:rFonts w:cs="Arial"/>
                <w:sz w:val="22"/>
                <w:szCs w:val="22"/>
              </w:rPr>
              <w:t>dlouhodobé změně legislativy a</w:t>
            </w:r>
            <w:r w:rsidR="005A1247">
              <w:rPr>
                <w:rFonts w:cs="Arial"/>
                <w:sz w:val="22"/>
                <w:szCs w:val="22"/>
              </w:rPr>
              <w:t> </w:t>
            </w:r>
            <w:r>
              <w:rPr>
                <w:rFonts w:cs="Arial"/>
                <w:sz w:val="22"/>
                <w:szCs w:val="22"/>
              </w:rPr>
              <w:t>systému provozu plynárenských sítí.</w:t>
            </w:r>
          </w:p>
        </w:tc>
      </w:tr>
      <w:tr w:rsidR="00DD2E8A" w14:paraId="1ACC8F3C"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7F18F77F" w14:textId="77777777" w:rsidR="00DD2E8A" w:rsidRDefault="00DD2E8A" w:rsidP="0054245B">
            <w:pPr>
              <w:pStyle w:val="Normln10"/>
              <w:spacing w:before="60" w:line="240" w:lineRule="auto"/>
              <w:rPr>
                <w:rFonts w:cs="Arial"/>
                <w:sz w:val="22"/>
                <w:szCs w:val="22"/>
              </w:rPr>
            </w:pPr>
            <w:r>
              <w:rPr>
                <w:rFonts w:cs="Arial"/>
                <w:sz w:val="22"/>
                <w:szCs w:val="22"/>
              </w:rPr>
              <w:t>Popis opatření</w:t>
            </w:r>
            <w:r>
              <w:rPr>
                <w:rFonts w:cs="Arial"/>
                <w:sz w:val="22"/>
                <w:szCs w:val="22"/>
              </w:rPr>
              <w:tab/>
            </w:r>
          </w:p>
        </w:tc>
        <w:tc>
          <w:tcPr>
            <w:tcW w:w="7385" w:type="dxa"/>
            <w:tcBorders>
              <w:top w:val="single" w:sz="4" w:space="0" w:color="auto"/>
              <w:left w:val="single" w:sz="12" w:space="0" w:color="auto"/>
              <w:bottom w:val="single" w:sz="4" w:space="0" w:color="auto"/>
              <w:right w:val="single" w:sz="12" w:space="0" w:color="auto"/>
            </w:tcBorders>
            <w:hideMark/>
          </w:tcPr>
          <w:p w14:paraId="7BDBCA87" w14:textId="6F8C8D58" w:rsidR="00DD2E8A" w:rsidRDefault="00DD2E8A" w:rsidP="0054245B">
            <w:pPr>
              <w:pStyle w:val="Normln10"/>
              <w:spacing w:before="60" w:line="240" w:lineRule="auto"/>
              <w:rPr>
                <w:rFonts w:cs="Arial"/>
                <w:sz w:val="22"/>
                <w:szCs w:val="22"/>
              </w:rPr>
            </w:pPr>
            <w:r>
              <w:rPr>
                <w:rFonts w:cs="Arial"/>
                <w:sz w:val="22"/>
                <w:szCs w:val="22"/>
              </w:rPr>
              <w:t>Potenciální výrobny biometanu, se dle v</w:t>
            </w:r>
            <w:r w:rsidR="005A1247">
              <w:rPr>
                <w:rFonts w:cs="Arial"/>
                <w:sz w:val="22"/>
                <w:szCs w:val="22"/>
              </w:rPr>
              <w:t> </w:t>
            </w:r>
            <w:r>
              <w:rPr>
                <w:rFonts w:cs="Arial"/>
                <w:sz w:val="22"/>
                <w:szCs w:val="22"/>
              </w:rPr>
              <w:t>současnosti platné legislativy připojují k</w:t>
            </w:r>
            <w:r w:rsidR="005A1247">
              <w:rPr>
                <w:rFonts w:cs="Arial"/>
                <w:sz w:val="22"/>
                <w:szCs w:val="22"/>
              </w:rPr>
              <w:t> </w:t>
            </w:r>
            <w:r>
              <w:rPr>
                <w:rFonts w:cs="Arial"/>
                <w:sz w:val="22"/>
                <w:szCs w:val="22"/>
              </w:rPr>
              <w:t>distribuční soustavě, přepravní soustavě nebo podzemnímu zásobníku plynu podle pravidel které vymezuje vyhláška č. 459/2012 Sb., vyhláška č. 108/2011 Sb. a</w:t>
            </w:r>
            <w:r w:rsidR="005A1247">
              <w:rPr>
                <w:rFonts w:cs="Arial"/>
                <w:sz w:val="22"/>
                <w:szCs w:val="22"/>
              </w:rPr>
              <w:t> </w:t>
            </w:r>
            <w:r>
              <w:rPr>
                <w:rFonts w:cs="Arial"/>
                <w:sz w:val="22"/>
                <w:szCs w:val="22"/>
              </w:rPr>
              <w:t>TPG 902 02. Toto probíhá v</w:t>
            </w:r>
            <w:r w:rsidR="005A1247">
              <w:rPr>
                <w:rFonts w:cs="Arial"/>
                <w:sz w:val="22"/>
                <w:szCs w:val="22"/>
              </w:rPr>
              <w:t> </w:t>
            </w:r>
            <w:r>
              <w:rPr>
                <w:rFonts w:cs="Arial"/>
                <w:sz w:val="22"/>
                <w:szCs w:val="22"/>
              </w:rPr>
              <w:t>„režimu“ příslušných ustanovení a</w:t>
            </w:r>
            <w:r w:rsidR="005A1247">
              <w:rPr>
                <w:rFonts w:cs="Arial"/>
                <w:sz w:val="22"/>
                <w:szCs w:val="22"/>
              </w:rPr>
              <w:t> </w:t>
            </w:r>
            <w:r>
              <w:rPr>
                <w:rFonts w:cs="Arial"/>
                <w:sz w:val="22"/>
                <w:szCs w:val="22"/>
              </w:rPr>
              <w:t>postupů zákona č. 458/2000 Sb. (energetický zákon) včetně určení místa připojení. Podle připravované novely zákona č. 165/2012 Sb. o</w:t>
            </w:r>
            <w:r w:rsidR="005A1247">
              <w:rPr>
                <w:rFonts w:cs="Arial"/>
                <w:sz w:val="22"/>
                <w:szCs w:val="22"/>
              </w:rPr>
              <w:t> </w:t>
            </w:r>
            <w:r>
              <w:rPr>
                <w:rFonts w:cs="Arial"/>
                <w:sz w:val="22"/>
                <w:szCs w:val="22"/>
              </w:rPr>
              <w:t>podporovaných zdrojích energie bude některé další podmínky pro připojení výroben biometanu upravovat i</w:t>
            </w:r>
            <w:r w:rsidR="005A1247">
              <w:rPr>
                <w:rFonts w:cs="Arial"/>
                <w:sz w:val="22"/>
                <w:szCs w:val="22"/>
              </w:rPr>
              <w:t> </w:t>
            </w:r>
            <w:r>
              <w:rPr>
                <w:rFonts w:cs="Arial"/>
                <w:sz w:val="22"/>
                <w:szCs w:val="22"/>
              </w:rPr>
              <w:t xml:space="preserve">tento zákon. </w:t>
            </w:r>
          </w:p>
          <w:p w14:paraId="39F5A5F0" w14:textId="3F3D7FA7" w:rsidR="00DD2E8A" w:rsidRDefault="00DD2E8A" w:rsidP="0054245B">
            <w:pPr>
              <w:pStyle w:val="Normln10"/>
              <w:spacing w:before="60" w:line="240" w:lineRule="auto"/>
              <w:rPr>
                <w:rFonts w:cs="Arial"/>
                <w:sz w:val="22"/>
                <w:szCs w:val="22"/>
              </w:rPr>
            </w:pPr>
            <w:r>
              <w:rPr>
                <w:rFonts w:cs="Arial"/>
                <w:sz w:val="22"/>
                <w:szCs w:val="22"/>
              </w:rPr>
              <w:t>Vzhledem k</w:t>
            </w:r>
            <w:r w:rsidR="005A1247">
              <w:rPr>
                <w:rFonts w:cs="Arial"/>
                <w:sz w:val="22"/>
                <w:szCs w:val="22"/>
              </w:rPr>
              <w:t> </w:t>
            </w:r>
            <w:r>
              <w:rPr>
                <w:rFonts w:cs="Arial"/>
                <w:sz w:val="22"/>
                <w:szCs w:val="22"/>
              </w:rPr>
              <w:t>tomu, že výrobny biometanu mají prakticky konstantní objem vyráběného biometanu, tak nejsou schopny reagovat na výkyvy ve spotřebě plynu zákazníků jak v</w:t>
            </w:r>
            <w:r w:rsidR="005A1247">
              <w:rPr>
                <w:rFonts w:cs="Arial"/>
                <w:sz w:val="22"/>
                <w:szCs w:val="22"/>
              </w:rPr>
              <w:t> </w:t>
            </w:r>
            <w:r>
              <w:rPr>
                <w:rFonts w:cs="Arial"/>
                <w:sz w:val="22"/>
                <w:szCs w:val="22"/>
              </w:rPr>
              <w:t>průběhu dne, tak i</w:t>
            </w:r>
            <w:r w:rsidR="005A1247">
              <w:rPr>
                <w:rFonts w:cs="Arial"/>
                <w:sz w:val="22"/>
                <w:szCs w:val="22"/>
              </w:rPr>
              <w:t> </w:t>
            </w:r>
            <w:r>
              <w:rPr>
                <w:rFonts w:cs="Arial"/>
                <w:sz w:val="22"/>
                <w:szCs w:val="22"/>
              </w:rPr>
              <w:t>v průběhu roku. Z</w:t>
            </w:r>
            <w:r w:rsidR="005A1247">
              <w:rPr>
                <w:rFonts w:cs="Arial"/>
                <w:sz w:val="22"/>
                <w:szCs w:val="22"/>
              </w:rPr>
              <w:t> </w:t>
            </w:r>
            <w:r>
              <w:rPr>
                <w:rFonts w:cs="Arial"/>
                <w:sz w:val="22"/>
                <w:szCs w:val="22"/>
              </w:rPr>
              <w:t>této skutečnosti pak vyplývají specifické možnosti připojení výroben biometanu k</w:t>
            </w:r>
            <w:r w:rsidR="005A1247">
              <w:rPr>
                <w:rFonts w:cs="Arial"/>
                <w:sz w:val="22"/>
                <w:szCs w:val="22"/>
              </w:rPr>
              <w:t> </w:t>
            </w:r>
            <w:r>
              <w:rPr>
                <w:rFonts w:cs="Arial"/>
                <w:sz w:val="22"/>
                <w:szCs w:val="22"/>
              </w:rPr>
              <w:t>distribuční soustavě, při respektování požadavku výrobců biometanu na dodávku veškerého vyrobeného množství biometanu do této soustavy, které jsou odvislé od hodinového výkonu výrobny, minimálních odběrů dané sítě v</w:t>
            </w:r>
            <w:r w:rsidR="005A1247">
              <w:rPr>
                <w:rFonts w:cs="Arial"/>
                <w:sz w:val="22"/>
                <w:szCs w:val="22"/>
              </w:rPr>
              <w:t> </w:t>
            </w:r>
            <w:r>
              <w:rPr>
                <w:rFonts w:cs="Arial"/>
                <w:sz w:val="22"/>
                <w:szCs w:val="22"/>
              </w:rPr>
              <w:t>průběhu celého roku a</w:t>
            </w:r>
            <w:r w:rsidR="005A1247">
              <w:rPr>
                <w:rFonts w:cs="Arial"/>
                <w:sz w:val="22"/>
                <w:szCs w:val="22"/>
              </w:rPr>
              <w:t> </w:t>
            </w:r>
            <w:r>
              <w:rPr>
                <w:rFonts w:cs="Arial"/>
                <w:sz w:val="22"/>
                <w:szCs w:val="22"/>
              </w:rPr>
              <w:t xml:space="preserve">volné akumulaci této sítě. </w:t>
            </w:r>
          </w:p>
          <w:p w14:paraId="1FEBBCA2" w14:textId="5330E865" w:rsidR="00DD2E8A" w:rsidRDefault="00DD2E8A" w:rsidP="0054245B">
            <w:pPr>
              <w:pStyle w:val="Normln10"/>
              <w:spacing w:before="60" w:line="240" w:lineRule="auto"/>
              <w:rPr>
                <w:rFonts w:cs="Arial"/>
                <w:sz w:val="22"/>
                <w:szCs w:val="22"/>
              </w:rPr>
            </w:pPr>
            <w:r>
              <w:rPr>
                <w:rFonts w:cs="Arial"/>
                <w:sz w:val="22"/>
                <w:szCs w:val="22"/>
              </w:rPr>
              <w:t>Připojení výroben biometanu na vysokotlakou plynovodní síť o</w:t>
            </w:r>
            <w:r w:rsidR="005A1247">
              <w:rPr>
                <w:rFonts w:cs="Arial"/>
                <w:sz w:val="22"/>
                <w:szCs w:val="22"/>
              </w:rPr>
              <w:t> </w:t>
            </w:r>
            <w:r>
              <w:rPr>
                <w:rFonts w:cs="Arial"/>
                <w:sz w:val="22"/>
                <w:szCs w:val="22"/>
              </w:rPr>
              <w:t>tlaku 25 případně 40 barů, která svým rozsahem, výší minimálních odběrů i</w:t>
            </w:r>
            <w:r w:rsidR="005A1247">
              <w:rPr>
                <w:rFonts w:cs="Arial"/>
                <w:sz w:val="22"/>
                <w:szCs w:val="22"/>
              </w:rPr>
              <w:t> </w:t>
            </w:r>
            <w:r>
              <w:rPr>
                <w:rFonts w:cs="Arial"/>
                <w:sz w:val="22"/>
                <w:szCs w:val="22"/>
              </w:rPr>
              <w:t>v letních měsících a</w:t>
            </w:r>
            <w:r w:rsidR="005A1247">
              <w:rPr>
                <w:rFonts w:cs="Arial"/>
                <w:sz w:val="22"/>
                <w:szCs w:val="22"/>
              </w:rPr>
              <w:t> </w:t>
            </w:r>
            <w:r>
              <w:rPr>
                <w:rFonts w:cs="Arial"/>
                <w:sz w:val="22"/>
                <w:szCs w:val="22"/>
              </w:rPr>
              <w:t>v porovnání k</w:t>
            </w:r>
            <w:r w:rsidR="005A1247">
              <w:rPr>
                <w:rFonts w:cs="Arial"/>
                <w:sz w:val="22"/>
                <w:szCs w:val="22"/>
              </w:rPr>
              <w:t> </w:t>
            </w:r>
            <w:r>
              <w:rPr>
                <w:rFonts w:cs="Arial"/>
                <w:sz w:val="22"/>
                <w:szCs w:val="22"/>
              </w:rPr>
              <w:t>hodinovým výkonům biometanových stanic velkou volnou kapacitou, je možné v</w:t>
            </w:r>
            <w:r w:rsidR="005A1247">
              <w:rPr>
                <w:rFonts w:cs="Arial"/>
                <w:sz w:val="22"/>
                <w:szCs w:val="22"/>
              </w:rPr>
              <w:t> </w:t>
            </w:r>
            <w:r>
              <w:rPr>
                <w:rFonts w:cs="Arial"/>
                <w:sz w:val="22"/>
                <w:szCs w:val="22"/>
              </w:rPr>
              <w:t>jakémkoliv technicky odpovídajícím místě. Zcela opačným případem je otázka připojení těchto výroben na tzv. místní síť o</w:t>
            </w:r>
            <w:r w:rsidR="005A1247">
              <w:rPr>
                <w:rFonts w:cs="Arial"/>
                <w:sz w:val="22"/>
                <w:szCs w:val="22"/>
              </w:rPr>
              <w:t> </w:t>
            </w:r>
            <w:r>
              <w:rPr>
                <w:rFonts w:cs="Arial"/>
                <w:sz w:val="22"/>
                <w:szCs w:val="22"/>
              </w:rPr>
              <w:t>tlaku do 4 bar, která je zásobována z</w:t>
            </w:r>
            <w:r w:rsidR="005A1247">
              <w:rPr>
                <w:rFonts w:cs="Arial"/>
                <w:sz w:val="22"/>
                <w:szCs w:val="22"/>
              </w:rPr>
              <w:t> </w:t>
            </w:r>
            <w:r>
              <w:rPr>
                <w:rFonts w:cs="Arial"/>
                <w:sz w:val="22"/>
                <w:szCs w:val="22"/>
              </w:rPr>
              <w:t>vysokotlaké sítě prostřednictvím regulačních stanic. U</w:t>
            </w:r>
            <w:r w:rsidR="005A1247">
              <w:rPr>
                <w:rFonts w:cs="Arial"/>
                <w:sz w:val="22"/>
                <w:szCs w:val="22"/>
              </w:rPr>
              <w:t> </w:t>
            </w:r>
            <w:r>
              <w:rPr>
                <w:rFonts w:cs="Arial"/>
                <w:sz w:val="22"/>
                <w:szCs w:val="22"/>
              </w:rPr>
              <w:t>nich je nutné důsledně posuzovat výše uvedené podmínky, takže daná síť musí mít, s</w:t>
            </w:r>
            <w:r w:rsidR="005A1247">
              <w:rPr>
                <w:rFonts w:cs="Arial"/>
                <w:sz w:val="22"/>
                <w:szCs w:val="22"/>
              </w:rPr>
              <w:t> </w:t>
            </w:r>
            <w:r>
              <w:rPr>
                <w:rFonts w:cs="Arial"/>
                <w:sz w:val="22"/>
                <w:szCs w:val="22"/>
              </w:rPr>
              <w:t>ohledem na velice nízkou volnou akumulaci, prokazatelně vyšší minimální hodinové odběry i</w:t>
            </w:r>
            <w:r w:rsidR="005A1247">
              <w:rPr>
                <w:rFonts w:cs="Arial"/>
                <w:sz w:val="22"/>
                <w:szCs w:val="22"/>
              </w:rPr>
              <w:t> </w:t>
            </w:r>
            <w:r>
              <w:rPr>
                <w:rFonts w:cs="Arial"/>
                <w:sz w:val="22"/>
                <w:szCs w:val="22"/>
              </w:rPr>
              <w:t>v nočních hodinách v</w:t>
            </w:r>
            <w:r w:rsidR="005A1247">
              <w:rPr>
                <w:rFonts w:cs="Arial"/>
                <w:sz w:val="22"/>
                <w:szCs w:val="22"/>
              </w:rPr>
              <w:t> </w:t>
            </w:r>
            <w:r>
              <w:rPr>
                <w:rFonts w:cs="Arial"/>
                <w:sz w:val="22"/>
                <w:szCs w:val="22"/>
              </w:rPr>
              <w:t>létě, než je hodinový výkon dané výrobny biometanu. Tuto podmínku splňují jen ojedinělé případy stávajících místních sítí, kde mohou být biometanové stanice připojeny, v</w:t>
            </w:r>
            <w:r w:rsidR="005A1247">
              <w:rPr>
                <w:rFonts w:cs="Arial"/>
                <w:sz w:val="22"/>
                <w:szCs w:val="22"/>
              </w:rPr>
              <w:t> </w:t>
            </w:r>
            <w:r>
              <w:rPr>
                <w:rFonts w:cs="Arial"/>
                <w:sz w:val="22"/>
                <w:szCs w:val="22"/>
              </w:rPr>
              <w:t>ostatních případech je povolováno připojení s</w:t>
            </w:r>
            <w:r w:rsidR="005A1247">
              <w:rPr>
                <w:rFonts w:cs="Arial"/>
                <w:sz w:val="22"/>
                <w:szCs w:val="22"/>
              </w:rPr>
              <w:t> </w:t>
            </w:r>
            <w:r>
              <w:rPr>
                <w:rFonts w:cs="Arial"/>
                <w:sz w:val="22"/>
                <w:szCs w:val="22"/>
              </w:rPr>
              <w:t xml:space="preserve">přerušitelnou kapacitou. </w:t>
            </w:r>
          </w:p>
          <w:p w14:paraId="31B06187" w14:textId="504066E5" w:rsidR="00DD2E8A" w:rsidRDefault="00DD2E8A" w:rsidP="0054245B">
            <w:pPr>
              <w:pStyle w:val="Normln10"/>
              <w:spacing w:before="60" w:line="240" w:lineRule="auto"/>
              <w:rPr>
                <w:rFonts w:cs="Arial"/>
                <w:sz w:val="22"/>
                <w:szCs w:val="22"/>
              </w:rPr>
            </w:pPr>
            <w:r>
              <w:rPr>
                <w:rFonts w:cs="Arial"/>
                <w:sz w:val="22"/>
                <w:szCs w:val="22"/>
              </w:rPr>
              <w:t>Otázka připojení výroben biometanu na vysokotlakou nebo místní síť má ale významný ekonomický rozměr jak z</w:t>
            </w:r>
            <w:r w:rsidR="005A1247">
              <w:rPr>
                <w:rFonts w:cs="Arial"/>
                <w:sz w:val="22"/>
                <w:szCs w:val="22"/>
              </w:rPr>
              <w:t> </w:t>
            </w:r>
            <w:r>
              <w:rPr>
                <w:rFonts w:cs="Arial"/>
                <w:sz w:val="22"/>
                <w:szCs w:val="22"/>
              </w:rPr>
              <w:t>pohledu investičních, tak i</w:t>
            </w:r>
            <w:r w:rsidR="005A1247">
              <w:rPr>
                <w:rFonts w:cs="Arial"/>
                <w:sz w:val="22"/>
                <w:szCs w:val="22"/>
              </w:rPr>
              <w:t> </w:t>
            </w:r>
            <w:r>
              <w:rPr>
                <w:rFonts w:cs="Arial"/>
                <w:sz w:val="22"/>
                <w:szCs w:val="22"/>
              </w:rPr>
              <w:t>provozních nákladů, a</w:t>
            </w:r>
            <w:r w:rsidR="005A1247">
              <w:rPr>
                <w:rFonts w:cs="Arial"/>
                <w:sz w:val="22"/>
                <w:szCs w:val="22"/>
              </w:rPr>
              <w:t> </w:t>
            </w:r>
            <w:r>
              <w:rPr>
                <w:rFonts w:cs="Arial"/>
                <w:sz w:val="22"/>
                <w:szCs w:val="22"/>
              </w:rPr>
              <w:t>to nejenom pro výrobce biometanu, ale i</w:t>
            </w:r>
            <w:r w:rsidR="005A1247">
              <w:rPr>
                <w:rFonts w:cs="Arial"/>
                <w:sz w:val="22"/>
                <w:szCs w:val="22"/>
              </w:rPr>
              <w:t> </w:t>
            </w:r>
            <w:r>
              <w:rPr>
                <w:rFonts w:cs="Arial"/>
                <w:sz w:val="22"/>
                <w:szCs w:val="22"/>
              </w:rPr>
              <w:t>provozovatele distribuční soustavy. Možnost připojení do místních sítí by tak v</w:t>
            </w:r>
            <w:r w:rsidR="005A1247">
              <w:rPr>
                <w:rFonts w:cs="Arial"/>
                <w:sz w:val="22"/>
                <w:szCs w:val="22"/>
              </w:rPr>
              <w:t> </w:t>
            </w:r>
            <w:r>
              <w:rPr>
                <w:rFonts w:cs="Arial"/>
                <w:sz w:val="22"/>
                <w:szCs w:val="22"/>
              </w:rPr>
              <w:t>průměru snížilo potřebnou délku těžebního plynovodu i</w:t>
            </w:r>
            <w:r w:rsidR="005A1247">
              <w:rPr>
                <w:rFonts w:cs="Arial"/>
                <w:sz w:val="22"/>
                <w:szCs w:val="22"/>
              </w:rPr>
              <w:t> </w:t>
            </w:r>
            <w:r>
              <w:rPr>
                <w:rFonts w:cs="Arial"/>
                <w:sz w:val="22"/>
                <w:szCs w:val="22"/>
              </w:rPr>
              <w:t>o několik set metrů a</w:t>
            </w:r>
            <w:r w:rsidR="005A1247">
              <w:rPr>
                <w:rFonts w:cs="Arial"/>
                <w:sz w:val="22"/>
                <w:szCs w:val="22"/>
              </w:rPr>
              <w:t> </w:t>
            </w:r>
            <w:r>
              <w:rPr>
                <w:rFonts w:cs="Arial"/>
                <w:sz w:val="22"/>
                <w:szCs w:val="22"/>
              </w:rPr>
              <w:t>tím i</w:t>
            </w:r>
            <w:r w:rsidR="005A1247">
              <w:rPr>
                <w:rFonts w:cs="Arial"/>
                <w:sz w:val="22"/>
                <w:szCs w:val="22"/>
              </w:rPr>
              <w:t> </w:t>
            </w:r>
            <w:r>
              <w:rPr>
                <w:rFonts w:cs="Arial"/>
                <w:sz w:val="22"/>
                <w:szCs w:val="22"/>
              </w:rPr>
              <w:t>náklady na jeho vybudování, zkrátil by se tím i</w:t>
            </w:r>
            <w:r w:rsidR="005A1247">
              <w:rPr>
                <w:rFonts w:cs="Arial"/>
                <w:sz w:val="22"/>
                <w:szCs w:val="22"/>
              </w:rPr>
              <w:t> </w:t>
            </w:r>
            <w:r>
              <w:rPr>
                <w:rFonts w:cs="Arial"/>
                <w:sz w:val="22"/>
                <w:szCs w:val="22"/>
              </w:rPr>
              <w:t xml:space="preserve">proces </w:t>
            </w:r>
            <w:r>
              <w:rPr>
                <w:rFonts w:cs="Arial"/>
                <w:sz w:val="22"/>
                <w:szCs w:val="22"/>
              </w:rPr>
              <w:lastRenderedPageBreak/>
              <w:t>přípravy stavby těžebního plynovodu, protože zajistit souhlasná stanoviska vlastníků dotčených pozemků je s</w:t>
            </w:r>
            <w:r w:rsidR="005A1247">
              <w:rPr>
                <w:rFonts w:cs="Arial"/>
                <w:sz w:val="22"/>
                <w:szCs w:val="22"/>
              </w:rPr>
              <w:t> </w:t>
            </w:r>
            <w:r>
              <w:rPr>
                <w:rFonts w:cs="Arial"/>
                <w:sz w:val="22"/>
                <w:szCs w:val="22"/>
              </w:rPr>
              <w:t>ohledem na členitost vlastnictví půdy u</w:t>
            </w:r>
            <w:r w:rsidR="005A1247">
              <w:rPr>
                <w:rFonts w:cs="Arial"/>
                <w:sz w:val="22"/>
                <w:szCs w:val="22"/>
              </w:rPr>
              <w:t> </w:t>
            </w:r>
            <w:r>
              <w:rPr>
                <w:rFonts w:cs="Arial"/>
                <w:sz w:val="22"/>
                <w:szCs w:val="22"/>
              </w:rPr>
              <w:t>nás velice obtížné a</w:t>
            </w:r>
            <w:r w:rsidR="005A1247">
              <w:rPr>
                <w:rFonts w:cs="Arial"/>
                <w:sz w:val="22"/>
                <w:szCs w:val="22"/>
              </w:rPr>
              <w:t> </w:t>
            </w:r>
            <w:r>
              <w:rPr>
                <w:rFonts w:cs="Arial"/>
                <w:sz w:val="22"/>
                <w:szCs w:val="22"/>
              </w:rPr>
              <w:t>zdlouhavé. Současně by se tím u</w:t>
            </w:r>
            <w:r w:rsidR="005A1247">
              <w:rPr>
                <w:rFonts w:cs="Arial"/>
                <w:sz w:val="22"/>
                <w:szCs w:val="22"/>
              </w:rPr>
              <w:t> </w:t>
            </w:r>
            <w:r>
              <w:rPr>
                <w:rFonts w:cs="Arial"/>
                <w:sz w:val="22"/>
                <w:szCs w:val="22"/>
              </w:rPr>
              <w:t>výrobce biometanu snížily investiční i</w:t>
            </w:r>
            <w:r w:rsidR="005A1247">
              <w:rPr>
                <w:rFonts w:cs="Arial"/>
                <w:sz w:val="22"/>
                <w:szCs w:val="22"/>
              </w:rPr>
              <w:t> </w:t>
            </w:r>
            <w:r>
              <w:rPr>
                <w:rFonts w:cs="Arial"/>
                <w:sz w:val="22"/>
                <w:szCs w:val="22"/>
              </w:rPr>
              <w:t>provozní náklady, protože stlačení na tlakovou úroveň 25/40 bar by zajišťoval provozovatel distribuční soustavy. Naopak u</w:t>
            </w:r>
            <w:r w:rsidR="005A1247">
              <w:rPr>
                <w:rFonts w:cs="Arial"/>
                <w:sz w:val="22"/>
                <w:szCs w:val="22"/>
              </w:rPr>
              <w:t> </w:t>
            </w:r>
            <w:r>
              <w:rPr>
                <w:rFonts w:cs="Arial"/>
                <w:sz w:val="22"/>
                <w:szCs w:val="22"/>
              </w:rPr>
              <w:t>provozovatelů distribučních soustav by to znamenalo významné navýšení investičních nákladů na úpravu stávající technologie regulační stanice na obrácený tok plynu a</w:t>
            </w:r>
            <w:r w:rsidR="005A1247">
              <w:rPr>
                <w:rFonts w:cs="Arial"/>
                <w:sz w:val="22"/>
                <w:szCs w:val="22"/>
              </w:rPr>
              <w:t> </w:t>
            </w:r>
            <w:r>
              <w:rPr>
                <w:rFonts w:cs="Arial"/>
                <w:sz w:val="22"/>
                <w:szCs w:val="22"/>
              </w:rPr>
              <w:t>instalaci nové kompresní stanice včetně souvisejícího nárůstu provozních nákladů. Základní opatření předjímané touto kartou je tedy:</w:t>
            </w:r>
          </w:p>
          <w:p w14:paraId="569A473E" w14:textId="0F8BA67E" w:rsidR="00DD2E8A" w:rsidRDefault="00DD2E8A" w:rsidP="0054245B">
            <w:pPr>
              <w:pStyle w:val="Bullet1"/>
              <w:spacing w:before="60" w:after="0"/>
              <w:jc w:val="both"/>
            </w:pPr>
            <w:r>
              <w:t>Zpracovat varianty technického řešení vtláčení biometanu, který byl vyroben ve výrobně připojené k</w:t>
            </w:r>
            <w:r w:rsidR="005A1247">
              <w:t> </w:t>
            </w:r>
            <w:r>
              <w:t>místní síti, do vysokotlakých sítí (například adaptace stávající technologie regulačních stanic na obrácený tok plynu a</w:t>
            </w:r>
            <w:r w:rsidR="005A1247">
              <w:t> </w:t>
            </w:r>
            <w:r>
              <w:t>osazení kompresní stanice apod.) včetně vyčíslení jejich nákladů.</w:t>
            </w:r>
          </w:p>
          <w:p w14:paraId="77ABEF22" w14:textId="4EB87639" w:rsidR="00DD2E8A" w:rsidRDefault="00DD2E8A" w:rsidP="0054245B">
            <w:pPr>
              <w:pStyle w:val="Bullet1"/>
              <w:spacing w:before="60" w:after="0"/>
              <w:jc w:val="both"/>
            </w:pPr>
            <w:r>
              <w:t>Zpracovat varianty možností financování technického řešení dle předchozího bodu (tj. investičních i</w:t>
            </w:r>
            <w:r w:rsidR="005A1247">
              <w:t> </w:t>
            </w:r>
            <w:r>
              <w:t>provozních výdajů).</w:t>
            </w:r>
          </w:p>
          <w:p w14:paraId="1A01F4D9" w14:textId="77777777" w:rsidR="00DD2E8A" w:rsidRDefault="00DD2E8A" w:rsidP="0054245B">
            <w:pPr>
              <w:pStyle w:val="Bullet1"/>
              <w:spacing w:before="60" w:after="0"/>
              <w:jc w:val="both"/>
            </w:pPr>
            <w:r>
              <w:t xml:space="preserve">U obou předchozích bodů předložit návrhy souvisejících legislativních úprav.  </w:t>
            </w:r>
          </w:p>
          <w:p w14:paraId="581AE84C" w14:textId="77777777" w:rsidR="00DD2E8A" w:rsidRDefault="00DD2E8A" w:rsidP="0054245B">
            <w:pPr>
              <w:pStyle w:val="Normln10"/>
              <w:spacing w:before="60" w:line="240" w:lineRule="auto"/>
              <w:rPr>
                <w:rFonts w:cs="Arial"/>
                <w:sz w:val="22"/>
                <w:szCs w:val="22"/>
              </w:rPr>
            </w:pPr>
            <w:r>
              <w:rPr>
                <w:rFonts w:cs="Arial"/>
                <w:sz w:val="22"/>
                <w:szCs w:val="22"/>
              </w:rPr>
              <w:t>Dalším opatřením je:</w:t>
            </w:r>
          </w:p>
          <w:p w14:paraId="1B4E7FAE" w14:textId="1235DF82" w:rsidR="00DD2E8A" w:rsidRDefault="00DD2E8A" w:rsidP="0054245B">
            <w:pPr>
              <w:pStyle w:val="Bullet1"/>
              <w:spacing w:before="60" w:after="0"/>
              <w:jc w:val="both"/>
            </w:pPr>
            <w:r>
              <w:t>Zvážit možnost kompletní změny systému měření a</w:t>
            </w:r>
            <w:r w:rsidR="005A1247">
              <w:t> </w:t>
            </w:r>
            <w:r>
              <w:t>fakturace plynu v</w:t>
            </w:r>
            <w:r w:rsidR="005A1247">
              <w:t> </w:t>
            </w:r>
            <w:r>
              <w:t>ČR a</w:t>
            </w:r>
            <w:r w:rsidR="005A1247">
              <w:t> </w:t>
            </w:r>
            <w:r>
              <w:t>tím možnost eliminace propanizace/karburace biometanu dodávaného do sítě a</w:t>
            </w:r>
            <w:r w:rsidR="005A1247">
              <w:t> </w:t>
            </w:r>
            <w:r>
              <w:t xml:space="preserve">tím tedy akceptovat jeho nižší spalné teplo, než jaké má dnes zemní plyn. </w:t>
            </w:r>
          </w:p>
          <w:p w14:paraId="2D850869" w14:textId="0DDE53BD" w:rsidR="00DD2E8A" w:rsidRDefault="00DD2E8A" w:rsidP="0054245B">
            <w:pPr>
              <w:pStyle w:val="Bullet1"/>
              <w:spacing w:before="60" w:after="0"/>
              <w:jc w:val="both"/>
            </w:pPr>
            <w:r>
              <w:t>Provozovatelé distribuční sítě by však souběžně s</w:t>
            </w:r>
            <w:r w:rsidR="005A1247">
              <w:t> </w:t>
            </w:r>
            <w:r>
              <w:t>tím museli provádět monitoring či modelování toků biometanu soustavou a</w:t>
            </w:r>
            <w:r w:rsidR="005A1247">
              <w:t> </w:t>
            </w:r>
            <w:r>
              <w:t>zákazníkům, kteří jej skutečně ze sítě odeberou a</w:t>
            </w:r>
            <w:r w:rsidR="005A1247">
              <w:t> </w:t>
            </w:r>
            <w:r>
              <w:t>spotřebují, v</w:t>
            </w:r>
            <w:r w:rsidR="005A1247">
              <w:t> </w:t>
            </w:r>
            <w:r>
              <w:t>rámci vyúčtování uvádět specifickou hodnotu spalného tepla dle skutečnosti. Tato změna by předpokládala zásadní změnu současné legislativy včetně zásadního navýšení provozních nákladů.</w:t>
            </w:r>
          </w:p>
          <w:p w14:paraId="63A06195" w14:textId="257DA52F" w:rsidR="00DD2E8A" w:rsidRDefault="00DD2E8A" w:rsidP="005A1247">
            <w:pPr>
              <w:pStyle w:val="Normln10"/>
              <w:spacing w:before="60" w:line="240" w:lineRule="auto"/>
              <w:rPr>
                <w:rFonts w:cs="Arial"/>
                <w:sz w:val="22"/>
                <w:szCs w:val="22"/>
              </w:rPr>
            </w:pPr>
            <w:r>
              <w:rPr>
                <w:rFonts w:cs="Arial"/>
                <w:sz w:val="22"/>
                <w:szCs w:val="22"/>
              </w:rPr>
              <w:t>Výše uvedená opatření je taktéž doporučeno analyzovat v</w:t>
            </w:r>
            <w:r w:rsidR="005A1247">
              <w:rPr>
                <w:rFonts w:cs="Arial"/>
                <w:sz w:val="22"/>
                <w:szCs w:val="22"/>
              </w:rPr>
              <w:t> </w:t>
            </w:r>
            <w:r>
              <w:rPr>
                <w:rFonts w:cs="Arial"/>
                <w:sz w:val="22"/>
                <w:szCs w:val="22"/>
              </w:rPr>
              <w:t>rámci vědecko-výzkumného projektu / studie s</w:t>
            </w:r>
            <w:r w:rsidR="005A1247">
              <w:rPr>
                <w:rFonts w:cs="Arial"/>
                <w:sz w:val="22"/>
                <w:szCs w:val="22"/>
              </w:rPr>
              <w:t> </w:t>
            </w:r>
            <w:r>
              <w:rPr>
                <w:rFonts w:cs="Arial"/>
                <w:sz w:val="22"/>
                <w:szCs w:val="22"/>
              </w:rPr>
              <w:t>cílem posoudit technické možnosti řešení a</w:t>
            </w:r>
            <w:r w:rsidR="005A1247">
              <w:rPr>
                <w:rFonts w:cs="Arial"/>
                <w:sz w:val="22"/>
                <w:szCs w:val="22"/>
              </w:rPr>
              <w:t> </w:t>
            </w:r>
            <w:r>
              <w:rPr>
                <w:rFonts w:cs="Arial"/>
                <w:sz w:val="22"/>
                <w:szCs w:val="22"/>
              </w:rPr>
              <w:t>finanční náklady daného opatření.</w:t>
            </w:r>
          </w:p>
        </w:tc>
      </w:tr>
      <w:tr w:rsidR="00DD2E8A" w14:paraId="166CB496"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349FBF2C" w14:textId="31353524" w:rsidR="00DD2E8A" w:rsidRDefault="00DD2E8A" w:rsidP="005A1247">
            <w:pPr>
              <w:pStyle w:val="Normln10"/>
              <w:spacing w:before="60" w:line="240" w:lineRule="auto"/>
              <w:rPr>
                <w:rFonts w:cs="Arial"/>
                <w:sz w:val="22"/>
                <w:szCs w:val="22"/>
              </w:rPr>
            </w:pPr>
            <w:r>
              <w:rPr>
                <w:rFonts w:cs="Arial"/>
                <w:sz w:val="22"/>
                <w:szCs w:val="22"/>
              </w:rPr>
              <w:lastRenderedPageBreak/>
              <w:t>Využití opatření v</w:t>
            </w:r>
            <w:r w:rsidR="005A1247">
              <w:rPr>
                <w:rFonts w:cs="Arial"/>
                <w:sz w:val="22"/>
                <w:szCs w:val="22"/>
              </w:rPr>
              <w:t> </w:t>
            </w:r>
            <w:r>
              <w:rPr>
                <w:rFonts w:cs="Arial"/>
                <w:sz w:val="22"/>
                <w:szCs w:val="22"/>
              </w:rPr>
              <w:t>Evropě/ve světě</w:t>
            </w:r>
          </w:p>
        </w:tc>
        <w:tc>
          <w:tcPr>
            <w:tcW w:w="7385" w:type="dxa"/>
            <w:tcBorders>
              <w:top w:val="single" w:sz="4" w:space="0" w:color="auto"/>
              <w:left w:val="single" w:sz="12" w:space="0" w:color="auto"/>
              <w:bottom w:val="single" w:sz="4" w:space="0" w:color="auto"/>
              <w:right w:val="single" w:sz="12" w:space="0" w:color="auto"/>
            </w:tcBorders>
            <w:hideMark/>
          </w:tcPr>
          <w:p w14:paraId="6F75D4AC" w14:textId="042EBEFC" w:rsidR="00DD2E8A" w:rsidRDefault="00DD2E8A" w:rsidP="005A1247">
            <w:pPr>
              <w:pStyle w:val="Normln10"/>
              <w:tabs>
                <w:tab w:val="left" w:pos="1050"/>
              </w:tabs>
              <w:spacing w:before="60" w:line="240" w:lineRule="auto"/>
              <w:rPr>
                <w:rFonts w:cs="Arial"/>
                <w:sz w:val="22"/>
                <w:szCs w:val="22"/>
              </w:rPr>
            </w:pPr>
            <w:r>
              <w:rPr>
                <w:rFonts w:cs="Arial"/>
                <w:sz w:val="22"/>
                <w:szCs w:val="22"/>
              </w:rPr>
              <w:t>Problematika kvality plynu včetně výhřevnosti se v</w:t>
            </w:r>
            <w:r w:rsidR="005A1247">
              <w:rPr>
                <w:rFonts w:cs="Arial"/>
                <w:sz w:val="22"/>
                <w:szCs w:val="22"/>
              </w:rPr>
              <w:t> </w:t>
            </w:r>
            <w:r>
              <w:rPr>
                <w:rFonts w:cs="Arial"/>
                <w:sz w:val="22"/>
                <w:szCs w:val="22"/>
              </w:rPr>
              <w:t>současné době řeší v</w:t>
            </w:r>
            <w:r w:rsidR="005A1247">
              <w:rPr>
                <w:rFonts w:cs="Arial"/>
                <w:sz w:val="22"/>
                <w:szCs w:val="22"/>
              </w:rPr>
              <w:t> </w:t>
            </w:r>
            <w:r>
              <w:rPr>
                <w:rFonts w:cs="Arial"/>
                <w:sz w:val="22"/>
                <w:szCs w:val="22"/>
              </w:rPr>
              <w:t>Německu (nasazení systému SmartSim) a</w:t>
            </w:r>
            <w:r w:rsidR="005A1247">
              <w:rPr>
                <w:rFonts w:cs="Arial"/>
                <w:sz w:val="22"/>
                <w:szCs w:val="22"/>
              </w:rPr>
              <w:t> </w:t>
            </w:r>
            <w:r>
              <w:rPr>
                <w:rFonts w:cs="Arial"/>
                <w:sz w:val="22"/>
                <w:szCs w:val="22"/>
              </w:rPr>
              <w:t>ve Francii.</w:t>
            </w:r>
            <w:r>
              <w:rPr>
                <w:rFonts w:cs="Arial"/>
                <w:sz w:val="22"/>
                <w:szCs w:val="22"/>
              </w:rPr>
              <w:tab/>
            </w:r>
          </w:p>
        </w:tc>
      </w:tr>
      <w:tr w:rsidR="00DD2E8A" w14:paraId="46C64539"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635899C2" w14:textId="77777777" w:rsidR="00DD2E8A" w:rsidRDefault="00DD2E8A" w:rsidP="0054245B">
            <w:pPr>
              <w:pStyle w:val="Normln10"/>
              <w:spacing w:before="60" w:line="240" w:lineRule="auto"/>
              <w:rPr>
                <w:rFonts w:cs="Arial"/>
                <w:sz w:val="22"/>
                <w:szCs w:val="22"/>
              </w:rPr>
            </w:pPr>
            <w:r>
              <w:rPr>
                <w:rFonts w:cs="Arial"/>
                <w:sz w:val="22"/>
                <w:szCs w:val="22"/>
              </w:rPr>
              <w:t>Vazba na další opatření</w:t>
            </w:r>
          </w:p>
        </w:tc>
        <w:tc>
          <w:tcPr>
            <w:tcW w:w="7385" w:type="dxa"/>
            <w:tcBorders>
              <w:top w:val="single" w:sz="4" w:space="0" w:color="auto"/>
              <w:left w:val="single" w:sz="12" w:space="0" w:color="auto"/>
              <w:bottom w:val="single" w:sz="4" w:space="0" w:color="auto"/>
              <w:right w:val="single" w:sz="12" w:space="0" w:color="auto"/>
            </w:tcBorders>
          </w:tcPr>
          <w:p w14:paraId="590F9B51" w14:textId="77777777" w:rsidR="00DD2E8A" w:rsidRDefault="00DD2E8A" w:rsidP="0054245B">
            <w:pPr>
              <w:pStyle w:val="Normln10"/>
              <w:spacing w:before="60" w:line="240" w:lineRule="auto"/>
              <w:rPr>
                <w:rFonts w:cs="Arial"/>
                <w:sz w:val="22"/>
                <w:szCs w:val="22"/>
              </w:rPr>
            </w:pPr>
          </w:p>
        </w:tc>
      </w:tr>
      <w:tr w:rsidR="00DD2E8A" w14:paraId="79A865DD"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3F5A6A88" w14:textId="77777777" w:rsidR="00DD2E8A" w:rsidRDefault="00DD2E8A" w:rsidP="0054245B">
            <w:pPr>
              <w:pStyle w:val="Normln10"/>
              <w:spacing w:before="60" w:line="240" w:lineRule="auto"/>
              <w:rPr>
                <w:rFonts w:cs="Arial"/>
                <w:sz w:val="22"/>
                <w:szCs w:val="22"/>
              </w:rPr>
            </w:pPr>
            <w:r>
              <w:rPr>
                <w:rFonts w:cs="Arial"/>
                <w:sz w:val="22"/>
                <w:szCs w:val="22"/>
              </w:rPr>
              <w:t>Rozpočtový dopad / financování</w:t>
            </w:r>
          </w:p>
        </w:tc>
        <w:tc>
          <w:tcPr>
            <w:tcW w:w="7385" w:type="dxa"/>
            <w:tcBorders>
              <w:top w:val="single" w:sz="4" w:space="0" w:color="auto"/>
              <w:left w:val="single" w:sz="12" w:space="0" w:color="auto"/>
              <w:bottom w:val="single" w:sz="4" w:space="0" w:color="auto"/>
              <w:right w:val="single" w:sz="12" w:space="0" w:color="auto"/>
            </w:tcBorders>
            <w:hideMark/>
          </w:tcPr>
          <w:p w14:paraId="0AB5C08C" w14:textId="57698CE9" w:rsidR="00DD2E8A" w:rsidRDefault="00DD2E8A" w:rsidP="0054245B">
            <w:pPr>
              <w:pStyle w:val="Normln10"/>
              <w:spacing w:before="60" w:line="240" w:lineRule="auto"/>
              <w:rPr>
                <w:rFonts w:cs="Arial"/>
                <w:sz w:val="22"/>
                <w:szCs w:val="22"/>
              </w:rPr>
            </w:pPr>
            <w:r>
              <w:rPr>
                <w:rFonts w:cs="Arial"/>
                <w:sz w:val="22"/>
                <w:szCs w:val="22"/>
              </w:rPr>
              <w:t>Jednotky milionů Kč – vědecko-výzkumný projekt</w:t>
            </w:r>
            <w:r w:rsidR="00F909F1">
              <w:rPr>
                <w:rFonts w:cs="Arial"/>
                <w:sz w:val="22"/>
                <w:szCs w:val="22"/>
              </w:rPr>
              <w:t xml:space="preserve"> (TA ČR)</w:t>
            </w:r>
          </w:p>
        </w:tc>
      </w:tr>
      <w:tr w:rsidR="00DD2E8A" w14:paraId="50E00C3D"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4C58D987" w14:textId="77777777" w:rsidR="00DD2E8A" w:rsidRDefault="00DD2E8A" w:rsidP="0054245B">
            <w:pPr>
              <w:pStyle w:val="Normln10"/>
              <w:spacing w:before="60" w:line="240" w:lineRule="auto"/>
              <w:rPr>
                <w:rFonts w:cs="Arial"/>
                <w:sz w:val="22"/>
                <w:szCs w:val="22"/>
              </w:rPr>
            </w:pPr>
            <w:r>
              <w:rPr>
                <w:rFonts w:cs="Arial"/>
                <w:sz w:val="22"/>
                <w:szCs w:val="22"/>
              </w:rPr>
              <w:t>Odpovědnost</w:t>
            </w:r>
          </w:p>
        </w:tc>
        <w:tc>
          <w:tcPr>
            <w:tcW w:w="7385" w:type="dxa"/>
            <w:tcBorders>
              <w:top w:val="single" w:sz="4" w:space="0" w:color="auto"/>
              <w:left w:val="single" w:sz="12" w:space="0" w:color="auto"/>
              <w:bottom w:val="single" w:sz="4" w:space="0" w:color="auto"/>
              <w:right w:val="single" w:sz="12" w:space="0" w:color="auto"/>
            </w:tcBorders>
            <w:hideMark/>
          </w:tcPr>
          <w:p w14:paraId="079DEED5" w14:textId="77777777" w:rsidR="00DD2E8A" w:rsidRDefault="00DD2E8A" w:rsidP="0054245B">
            <w:pPr>
              <w:pStyle w:val="Normln10"/>
              <w:spacing w:before="60" w:line="240" w:lineRule="auto"/>
              <w:rPr>
                <w:rFonts w:cs="Arial"/>
                <w:sz w:val="22"/>
                <w:szCs w:val="22"/>
              </w:rPr>
            </w:pPr>
            <w:r>
              <w:rPr>
                <w:rFonts w:cs="Arial"/>
                <w:sz w:val="22"/>
                <w:szCs w:val="22"/>
              </w:rPr>
              <w:t>MPO</w:t>
            </w:r>
          </w:p>
        </w:tc>
      </w:tr>
      <w:tr w:rsidR="00DD2E8A" w14:paraId="7411B48E" w14:textId="77777777" w:rsidTr="00082A9D">
        <w:tc>
          <w:tcPr>
            <w:tcW w:w="1686" w:type="dxa"/>
            <w:tcBorders>
              <w:top w:val="single" w:sz="4" w:space="0" w:color="auto"/>
              <w:left w:val="single" w:sz="12" w:space="0" w:color="auto"/>
              <w:bottom w:val="single" w:sz="4" w:space="0" w:color="auto"/>
              <w:right w:val="single" w:sz="12" w:space="0" w:color="auto"/>
            </w:tcBorders>
            <w:hideMark/>
          </w:tcPr>
          <w:p w14:paraId="3E42561A" w14:textId="77777777" w:rsidR="00DD2E8A" w:rsidRDefault="00DD2E8A" w:rsidP="0054245B">
            <w:pPr>
              <w:pStyle w:val="Normln10"/>
              <w:spacing w:before="60" w:line="240" w:lineRule="auto"/>
              <w:rPr>
                <w:rFonts w:cs="Arial"/>
                <w:sz w:val="22"/>
                <w:szCs w:val="22"/>
              </w:rPr>
            </w:pPr>
            <w:r>
              <w:rPr>
                <w:rFonts w:cs="Arial"/>
                <w:sz w:val="22"/>
                <w:szCs w:val="22"/>
              </w:rPr>
              <w:t>Spolupráce</w:t>
            </w:r>
          </w:p>
        </w:tc>
        <w:tc>
          <w:tcPr>
            <w:tcW w:w="7385" w:type="dxa"/>
            <w:tcBorders>
              <w:top w:val="single" w:sz="4" w:space="0" w:color="auto"/>
              <w:left w:val="single" w:sz="12" w:space="0" w:color="auto"/>
              <w:bottom w:val="single" w:sz="4" w:space="0" w:color="auto"/>
              <w:right w:val="single" w:sz="12" w:space="0" w:color="auto"/>
            </w:tcBorders>
            <w:hideMark/>
          </w:tcPr>
          <w:p w14:paraId="11EE0A66" w14:textId="7E848643" w:rsidR="00DD2E8A" w:rsidRDefault="00DD2E8A" w:rsidP="0054245B">
            <w:pPr>
              <w:pStyle w:val="Normln10"/>
              <w:spacing w:before="60" w:line="240" w:lineRule="auto"/>
              <w:rPr>
                <w:rFonts w:cs="Arial"/>
                <w:sz w:val="22"/>
                <w:szCs w:val="22"/>
              </w:rPr>
            </w:pPr>
            <w:r>
              <w:rPr>
                <w:rFonts w:cs="Arial"/>
                <w:sz w:val="22"/>
                <w:szCs w:val="22"/>
              </w:rPr>
              <w:t>ČPS, TA</w:t>
            </w:r>
            <w:r w:rsidR="00FA66DA">
              <w:rPr>
                <w:rFonts w:cs="Arial"/>
                <w:sz w:val="22"/>
                <w:szCs w:val="22"/>
              </w:rPr>
              <w:t xml:space="preserve"> </w:t>
            </w:r>
            <w:r>
              <w:rPr>
                <w:rFonts w:cs="Arial"/>
                <w:sz w:val="22"/>
                <w:szCs w:val="22"/>
              </w:rPr>
              <w:t>ČR</w:t>
            </w:r>
          </w:p>
        </w:tc>
      </w:tr>
      <w:tr w:rsidR="00DD2E8A" w14:paraId="321BAFDF" w14:textId="77777777" w:rsidTr="00082A9D">
        <w:tc>
          <w:tcPr>
            <w:tcW w:w="1686" w:type="dxa"/>
            <w:tcBorders>
              <w:top w:val="single" w:sz="4" w:space="0" w:color="auto"/>
              <w:left w:val="single" w:sz="12" w:space="0" w:color="auto"/>
              <w:bottom w:val="single" w:sz="12" w:space="0" w:color="auto"/>
              <w:right w:val="single" w:sz="12" w:space="0" w:color="auto"/>
            </w:tcBorders>
            <w:hideMark/>
          </w:tcPr>
          <w:p w14:paraId="6648B30E" w14:textId="77777777" w:rsidR="00DD2E8A" w:rsidRDefault="00DD2E8A" w:rsidP="0054245B">
            <w:pPr>
              <w:pStyle w:val="Normln10"/>
              <w:spacing w:before="60" w:line="240" w:lineRule="auto"/>
              <w:rPr>
                <w:rFonts w:cs="Arial"/>
                <w:sz w:val="22"/>
                <w:szCs w:val="22"/>
              </w:rPr>
            </w:pPr>
            <w:r>
              <w:rPr>
                <w:rFonts w:cs="Arial"/>
                <w:sz w:val="22"/>
                <w:szCs w:val="22"/>
              </w:rPr>
              <w:t>Termín</w:t>
            </w:r>
          </w:p>
        </w:tc>
        <w:tc>
          <w:tcPr>
            <w:tcW w:w="7385" w:type="dxa"/>
            <w:tcBorders>
              <w:top w:val="single" w:sz="4" w:space="0" w:color="auto"/>
              <w:left w:val="single" w:sz="12" w:space="0" w:color="auto"/>
              <w:bottom w:val="single" w:sz="12" w:space="0" w:color="auto"/>
              <w:right w:val="single" w:sz="12" w:space="0" w:color="auto"/>
            </w:tcBorders>
            <w:hideMark/>
          </w:tcPr>
          <w:p w14:paraId="0E0A0983" w14:textId="77777777" w:rsidR="00DD2E8A" w:rsidRDefault="00DD2E8A" w:rsidP="0054245B">
            <w:pPr>
              <w:pStyle w:val="Normln10"/>
              <w:spacing w:before="60" w:line="240" w:lineRule="auto"/>
              <w:rPr>
                <w:rFonts w:cs="Arial"/>
                <w:sz w:val="22"/>
                <w:szCs w:val="22"/>
              </w:rPr>
            </w:pPr>
            <w:r>
              <w:rPr>
                <w:rFonts w:cs="Arial"/>
                <w:sz w:val="22"/>
                <w:szCs w:val="22"/>
              </w:rPr>
              <w:t>2022</w:t>
            </w:r>
          </w:p>
        </w:tc>
      </w:tr>
    </w:tbl>
    <w:p w14:paraId="6B36CA36" w14:textId="77777777" w:rsidR="00DD2E8A" w:rsidRDefault="00DD2E8A" w:rsidP="00DD2E8A">
      <w:pPr>
        <w:jc w:val="both"/>
      </w:pPr>
    </w:p>
    <w:p w14:paraId="2FF86F68" w14:textId="098CE3C2" w:rsidR="00C80078" w:rsidRDefault="005C2937" w:rsidP="00F37F37">
      <w:pPr>
        <w:pStyle w:val="Nadpis3"/>
        <w:tabs>
          <w:tab w:val="clear" w:pos="2411"/>
          <w:tab w:val="num" w:pos="1276"/>
        </w:tabs>
        <w:jc w:val="both"/>
      </w:pPr>
      <w:r>
        <w:lastRenderedPageBreak/>
        <w:t>V</w:t>
      </w:r>
      <w:r w:rsidR="000F63E1">
        <w:t xml:space="preserve">1 </w:t>
      </w:r>
      <w:r>
        <w:t xml:space="preserve">Zlepšení regulatorního rámce </w:t>
      </w:r>
      <w:r w:rsidR="00C80078" w:rsidRPr="000447EF">
        <w:t>v</w:t>
      </w:r>
      <w:r w:rsidR="005A1247">
        <w:t> </w:t>
      </w:r>
      <w:r w:rsidR="00C80078" w:rsidRPr="000447EF">
        <w:t>rámci technologických norem</w:t>
      </w:r>
      <w:bookmarkEnd w:id="83"/>
    </w:p>
    <w:tbl>
      <w:tblPr>
        <w:tblStyle w:val="Mkatabulky4"/>
        <w:tblpPr w:leftFromText="141" w:rightFromText="141" w:vertAnchor="text" w:horzAnchor="margin" w:tblpY="2"/>
        <w:tblW w:w="4883"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87"/>
        <w:gridCol w:w="7143"/>
      </w:tblGrid>
      <w:tr w:rsidR="00C80078" w14:paraId="0F4EBDF5" w14:textId="77777777" w:rsidTr="00B502A0">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68D6B0EF" w14:textId="0BC5DA58" w:rsidR="00C80078" w:rsidRDefault="005C2937" w:rsidP="005A1247">
            <w:pPr>
              <w:spacing w:before="60" w:after="60"/>
              <w:jc w:val="both"/>
            </w:pPr>
            <w:r>
              <w:rPr>
                <w:b/>
                <w:color w:val="FFFFFF" w:themeColor="background1"/>
              </w:rPr>
              <w:t>V</w:t>
            </w:r>
            <w:r w:rsidR="000F63E1">
              <w:rPr>
                <w:b/>
                <w:color w:val="FFFFFF" w:themeColor="background1"/>
              </w:rPr>
              <w:t xml:space="preserve">1 </w:t>
            </w:r>
            <w:r>
              <w:rPr>
                <w:b/>
                <w:color w:val="FFFFFF" w:themeColor="background1"/>
              </w:rPr>
              <w:t xml:space="preserve">Zlepšení regulatorního rámce </w:t>
            </w:r>
            <w:r w:rsidR="00C80078">
              <w:rPr>
                <w:b/>
                <w:color w:val="FFFFFF" w:themeColor="background1"/>
              </w:rPr>
              <w:t>v</w:t>
            </w:r>
            <w:r w:rsidR="005A1247">
              <w:rPr>
                <w:b/>
                <w:color w:val="FFFFFF" w:themeColor="background1"/>
              </w:rPr>
              <w:t> </w:t>
            </w:r>
            <w:r w:rsidR="00C80078">
              <w:rPr>
                <w:b/>
                <w:color w:val="FFFFFF" w:themeColor="background1"/>
              </w:rPr>
              <w:t>rámci technologických norem</w:t>
            </w:r>
          </w:p>
        </w:tc>
      </w:tr>
      <w:tr w:rsidR="000F63E1" w14:paraId="0F10A06D" w14:textId="77777777" w:rsidTr="00082A9D">
        <w:trPr>
          <w:trHeight w:val="717"/>
        </w:trPr>
        <w:tc>
          <w:tcPr>
            <w:tcW w:w="955" w:type="pct"/>
            <w:tcBorders>
              <w:top w:val="single" w:sz="12" w:space="0" w:color="auto"/>
              <w:left w:val="single" w:sz="12" w:space="0" w:color="auto"/>
              <w:bottom w:val="single" w:sz="4" w:space="0" w:color="auto"/>
              <w:right w:val="single" w:sz="12" w:space="0" w:color="auto"/>
            </w:tcBorders>
          </w:tcPr>
          <w:p w14:paraId="5ADA2084" w14:textId="77777777" w:rsidR="005C2937" w:rsidRDefault="005C2937" w:rsidP="009A3B7E">
            <w:pPr>
              <w:jc w:val="both"/>
            </w:pPr>
            <w:r>
              <w:t>Návaznost na strategický cíl</w:t>
            </w:r>
          </w:p>
        </w:tc>
        <w:tc>
          <w:tcPr>
            <w:tcW w:w="4045" w:type="pct"/>
            <w:tcBorders>
              <w:top w:val="single" w:sz="12" w:space="0" w:color="auto"/>
              <w:left w:val="single" w:sz="12" w:space="0" w:color="auto"/>
              <w:bottom w:val="single" w:sz="4" w:space="0" w:color="auto"/>
              <w:right w:val="single" w:sz="12" w:space="0" w:color="auto"/>
            </w:tcBorders>
            <w:vAlign w:val="center"/>
          </w:tcPr>
          <w:p w14:paraId="7D1E50D9" w14:textId="77777777" w:rsidR="005C2937" w:rsidRPr="00504C8E" w:rsidDel="005C2937" w:rsidRDefault="005C2937" w:rsidP="00B502A0">
            <w:pPr>
              <w:rPr>
                <w:rFonts w:cs="Arial"/>
                <w:szCs w:val="22"/>
              </w:rPr>
            </w:pPr>
            <w:r>
              <w:rPr>
                <w:rFonts w:cs="Arial"/>
                <w:szCs w:val="22"/>
              </w:rPr>
              <w:t>Zlepšení regulatorního rámce vodíkové elektromobility</w:t>
            </w:r>
            <w:r w:rsidR="004712D3">
              <w:rPr>
                <w:rFonts w:cs="Arial"/>
                <w:szCs w:val="22"/>
              </w:rPr>
              <w:t xml:space="preserve"> (kap. 4.3.4.)</w:t>
            </w:r>
          </w:p>
        </w:tc>
      </w:tr>
      <w:tr w:rsidR="000F63E1" w14:paraId="3BF0357D" w14:textId="77777777" w:rsidTr="00082A9D">
        <w:trPr>
          <w:trHeight w:val="52"/>
        </w:trPr>
        <w:tc>
          <w:tcPr>
            <w:tcW w:w="955" w:type="pct"/>
            <w:tcBorders>
              <w:top w:val="single" w:sz="4" w:space="0" w:color="auto"/>
              <w:left w:val="single" w:sz="12" w:space="0" w:color="auto"/>
              <w:bottom w:val="single" w:sz="4" w:space="0" w:color="auto"/>
              <w:right w:val="single" w:sz="12" w:space="0" w:color="auto"/>
            </w:tcBorders>
            <w:hideMark/>
          </w:tcPr>
          <w:p w14:paraId="0BE7385D" w14:textId="77777777" w:rsidR="00C80078" w:rsidRDefault="00C80078" w:rsidP="009A3B7E">
            <w:pPr>
              <w:jc w:val="both"/>
            </w:pPr>
            <w:r>
              <w:t xml:space="preserve">Cíl opatření </w:t>
            </w:r>
          </w:p>
        </w:tc>
        <w:tc>
          <w:tcPr>
            <w:tcW w:w="4045" w:type="pct"/>
            <w:tcBorders>
              <w:top w:val="single" w:sz="4" w:space="0" w:color="auto"/>
              <w:left w:val="single" w:sz="12" w:space="0" w:color="auto"/>
              <w:bottom w:val="single" w:sz="4" w:space="0" w:color="auto"/>
              <w:right w:val="single" w:sz="12" w:space="0" w:color="auto"/>
            </w:tcBorders>
            <w:vAlign w:val="center"/>
            <w:hideMark/>
          </w:tcPr>
          <w:p w14:paraId="4069F531" w14:textId="3C9794CD" w:rsidR="00C80078" w:rsidRDefault="00C80078" w:rsidP="005A1247">
            <w:r>
              <w:t>Cílem opatření je zjednodušení vstupu vodíkových technologií na trh v</w:t>
            </w:r>
            <w:r w:rsidR="005A1247">
              <w:t> </w:t>
            </w:r>
            <w:r>
              <w:t>rámci revize legislativy a</w:t>
            </w:r>
            <w:r w:rsidR="005A1247">
              <w:t> </w:t>
            </w:r>
            <w:r>
              <w:t>technických norem.</w:t>
            </w:r>
          </w:p>
        </w:tc>
      </w:tr>
      <w:tr w:rsidR="000F63E1" w14:paraId="0E913548" w14:textId="77777777" w:rsidTr="00082A9D">
        <w:trPr>
          <w:trHeight w:val="52"/>
        </w:trPr>
        <w:tc>
          <w:tcPr>
            <w:tcW w:w="955" w:type="pct"/>
            <w:tcBorders>
              <w:top w:val="single" w:sz="4" w:space="0" w:color="auto"/>
              <w:left w:val="single" w:sz="12" w:space="0" w:color="auto"/>
              <w:bottom w:val="single" w:sz="4" w:space="0" w:color="auto"/>
              <w:right w:val="single" w:sz="12" w:space="0" w:color="auto"/>
            </w:tcBorders>
          </w:tcPr>
          <w:p w14:paraId="0940CA57" w14:textId="77777777" w:rsidR="005C2937" w:rsidRDefault="005C2937" w:rsidP="00B502A0">
            <w:r>
              <w:t>Popis opatření</w:t>
            </w:r>
          </w:p>
        </w:tc>
        <w:tc>
          <w:tcPr>
            <w:tcW w:w="4045" w:type="pct"/>
            <w:tcBorders>
              <w:top w:val="single" w:sz="4" w:space="0" w:color="auto"/>
              <w:left w:val="single" w:sz="12" w:space="0" w:color="auto"/>
              <w:bottom w:val="single" w:sz="4" w:space="0" w:color="auto"/>
              <w:right w:val="single" w:sz="12" w:space="0" w:color="auto"/>
            </w:tcBorders>
            <w:vAlign w:val="center"/>
          </w:tcPr>
          <w:p w14:paraId="159F1B7D" w14:textId="3E015C87" w:rsidR="005C2937" w:rsidRDefault="005C2937" w:rsidP="00082A9D">
            <w:pPr>
              <w:spacing w:before="0" w:after="0"/>
              <w:jc w:val="both"/>
            </w:pPr>
            <w:r>
              <w:t>Transponování stávajících ISO norem do českého prostředí (např. ISO 17268:2012 a</w:t>
            </w:r>
            <w:r w:rsidR="005A1247">
              <w:t> </w:t>
            </w:r>
            <w:r>
              <w:t>další v</w:t>
            </w:r>
            <w:r w:rsidR="005A1247">
              <w:t> </w:t>
            </w:r>
            <w:r>
              <w:t>rámci ISO/TC 197)</w:t>
            </w:r>
          </w:p>
          <w:p w14:paraId="13EE4083" w14:textId="02C895A9" w:rsidR="005C2937" w:rsidRDefault="005C2937" w:rsidP="00082A9D">
            <w:pPr>
              <w:spacing w:before="0" w:after="0"/>
              <w:jc w:val="both"/>
            </w:pPr>
            <w:r>
              <w:t>Vyjasnění požadavků s</w:t>
            </w:r>
            <w:r w:rsidR="005A1247">
              <w:t> </w:t>
            </w:r>
            <w:r>
              <w:t>ohledem na servis, životnost a</w:t>
            </w:r>
            <w:r w:rsidR="005A1247">
              <w:t> </w:t>
            </w:r>
            <w:r>
              <w:t>revizi tlakových částí na vodík (STK)</w:t>
            </w:r>
          </w:p>
          <w:p w14:paraId="362D9A9C" w14:textId="77777777" w:rsidR="005C2937" w:rsidRDefault="005C2937" w:rsidP="00082A9D">
            <w:pPr>
              <w:spacing w:before="0" w:after="0"/>
              <w:jc w:val="both"/>
            </w:pPr>
            <w:r>
              <w:t>Příprava norem homologace vodíkových železničních vlaků.</w:t>
            </w:r>
          </w:p>
        </w:tc>
      </w:tr>
      <w:tr w:rsidR="000F63E1" w14:paraId="5FA31A08" w14:textId="77777777" w:rsidTr="00082A9D">
        <w:trPr>
          <w:trHeight w:val="52"/>
        </w:trPr>
        <w:tc>
          <w:tcPr>
            <w:tcW w:w="955" w:type="pct"/>
            <w:tcBorders>
              <w:top w:val="single" w:sz="4" w:space="0" w:color="auto"/>
              <w:left w:val="single" w:sz="12" w:space="0" w:color="auto"/>
              <w:bottom w:val="single" w:sz="4" w:space="0" w:color="auto"/>
              <w:right w:val="single" w:sz="12" w:space="0" w:color="auto"/>
            </w:tcBorders>
            <w:hideMark/>
          </w:tcPr>
          <w:p w14:paraId="73B5C021" w14:textId="0AE24466" w:rsidR="00C80078" w:rsidRDefault="00C80078" w:rsidP="005A1247">
            <w:pPr>
              <w:jc w:val="both"/>
            </w:pPr>
            <w:r>
              <w:t>Příklad z</w:t>
            </w:r>
            <w:r w:rsidR="005A1247">
              <w:t> </w:t>
            </w:r>
            <w:r>
              <w:t>praxe</w:t>
            </w:r>
          </w:p>
        </w:tc>
        <w:tc>
          <w:tcPr>
            <w:tcW w:w="4045" w:type="pct"/>
            <w:tcBorders>
              <w:top w:val="single" w:sz="4" w:space="0" w:color="auto"/>
              <w:left w:val="single" w:sz="12" w:space="0" w:color="auto"/>
              <w:bottom w:val="single" w:sz="4" w:space="0" w:color="auto"/>
              <w:right w:val="single" w:sz="12" w:space="0" w:color="auto"/>
            </w:tcBorders>
            <w:vAlign w:val="center"/>
            <w:hideMark/>
          </w:tcPr>
          <w:p w14:paraId="1E989BF0" w14:textId="77777777" w:rsidR="00C80078" w:rsidRDefault="00C80078" w:rsidP="00B502A0">
            <w:r>
              <w:t>Aplikovat zkušenosti ze sousedních zemí (např. projekt HyLaw)</w:t>
            </w:r>
          </w:p>
        </w:tc>
      </w:tr>
      <w:tr w:rsidR="000F63E1" w14:paraId="574E4384" w14:textId="77777777" w:rsidTr="00082A9D">
        <w:trPr>
          <w:trHeight w:val="52"/>
        </w:trPr>
        <w:tc>
          <w:tcPr>
            <w:tcW w:w="955" w:type="pct"/>
            <w:tcBorders>
              <w:top w:val="single" w:sz="4" w:space="0" w:color="auto"/>
              <w:left w:val="single" w:sz="12" w:space="0" w:color="auto"/>
              <w:bottom w:val="single" w:sz="4" w:space="0" w:color="auto"/>
              <w:right w:val="single" w:sz="12" w:space="0" w:color="auto"/>
            </w:tcBorders>
            <w:hideMark/>
          </w:tcPr>
          <w:p w14:paraId="0F2A8890" w14:textId="77777777" w:rsidR="00C80078" w:rsidRDefault="00C80078" w:rsidP="009A3B7E">
            <w:pPr>
              <w:jc w:val="both"/>
            </w:pPr>
            <w:r>
              <w:t>Rozpočtový dopad / financování</w:t>
            </w:r>
          </w:p>
        </w:tc>
        <w:tc>
          <w:tcPr>
            <w:tcW w:w="4045" w:type="pct"/>
            <w:tcBorders>
              <w:top w:val="single" w:sz="4" w:space="0" w:color="auto"/>
              <w:left w:val="single" w:sz="12" w:space="0" w:color="auto"/>
              <w:bottom w:val="single" w:sz="4" w:space="0" w:color="auto"/>
              <w:right w:val="single" w:sz="12" w:space="0" w:color="auto"/>
            </w:tcBorders>
            <w:vAlign w:val="center"/>
            <w:hideMark/>
          </w:tcPr>
          <w:p w14:paraId="6DC5C61D" w14:textId="77777777" w:rsidR="00C80078" w:rsidRDefault="00C80078" w:rsidP="00B502A0">
            <w:r>
              <w:t>Náklady na úpravu norem.</w:t>
            </w:r>
          </w:p>
        </w:tc>
      </w:tr>
      <w:tr w:rsidR="000F63E1" w14:paraId="4DEDCCB9" w14:textId="77777777" w:rsidTr="00082A9D">
        <w:trPr>
          <w:trHeight w:val="52"/>
        </w:trPr>
        <w:tc>
          <w:tcPr>
            <w:tcW w:w="955" w:type="pct"/>
            <w:tcBorders>
              <w:top w:val="single" w:sz="4" w:space="0" w:color="auto"/>
              <w:left w:val="single" w:sz="12" w:space="0" w:color="auto"/>
              <w:bottom w:val="single" w:sz="4" w:space="0" w:color="auto"/>
              <w:right w:val="single" w:sz="12" w:space="0" w:color="auto"/>
            </w:tcBorders>
            <w:hideMark/>
          </w:tcPr>
          <w:p w14:paraId="7080F7E4" w14:textId="77777777" w:rsidR="00C80078" w:rsidRDefault="00C80078" w:rsidP="009A3B7E">
            <w:pPr>
              <w:jc w:val="both"/>
            </w:pPr>
            <w:r>
              <w:t>Odpovědnost</w:t>
            </w:r>
          </w:p>
        </w:tc>
        <w:tc>
          <w:tcPr>
            <w:tcW w:w="4045" w:type="pct"/>
            <w:tcBorders>
              <w:top w:val="single" w:sz="4" w:space="0" w:color="auto"/>
              <w:left w:val="single" w:sz="12" w:space="0" w:color="auto"/>
              <w:bottom w:val="single" w:sz="4" w:space="0" w:color="auto"/>
              <w:right w:val="single" w:sz="12" w:space="0" w:color="auto"/>
            </w:tcBorders>
            <w:vAlign w:val="center"/>
            <w:hideMark/>
          </w:tcPr>
          <w:p w14:paraId="1EB2D6F9" w14:textId="77777777" w:rsidR="00C80078" w:rsidRDefault="00C80078" w:rsidP="00B502A0">
            <w:r>
              <w:t>MPO, MD</w:t>
            </w:r>
          </w:p>
        </w:tc>
      </w:tr>
      <w:tr w:rsidR="000F63E1" w14:paraId="023EDA78" w14:textId="77777777" w:rsidTr="00082A9D">
        <w:trPr>
          <w:trHeight w:val="292"/>
        </w:trPr>
        <w:tc>
          <w:tcPr>
            <w:tcW w:w="955" w:type="pct"/>
            <w:tcBorders>
              <w:top w:val="single" w:sz="4" w:space="0" w:color="auto"/>
              <w:left w:val="single" w:sz="12" w:space="0" w:color="auto"/>
              <w:bottom w:val="single" w:sz="4" w:space="0" w:color="auto"/>
              <w:right w:val="single" w:sz="12" w:space="0" w:color="auto"/>
            </w:tcBorders>
            <w:hideMark/>
          </w:tcPr>
          <w:p w14:paraId="36D3ACE0" w14:textId="77777777" w:rsidR="00C80078" w:rsidRDefault="00C80078" w:rsidP="009A3B7E">
            <w:pPr>
              <w:jc w:val="both"/>
            </w:pPr>
            <w:r>
              <w:t>Spolupráce</w:t>
            </w:r>
          </w:p>
        </w:tc>
        <w:tc>
          <w:tcPr>
            <w:tcW w:w="4045" w:type="pct"/>
            <w:tcBorders>
              <w:top w:val="single" w:sz="4" w:space="0" w:color="auto"/>
              <w:left w:val="single" w:sz="12" w:space="0" w:color="auto"/>
              <w:bottom w:val="single" w:sz="4" w:space="0" w:color="auto"/>
              <w:right w:val="single" w:sz="12" w:space="0" w:color="auto"/>
            </w:tcBorders>
            <w:vAlign w:val="center"/>
            <w:hideMark/>
          </w:tcPr>
          <w:p w14:paraId="719BD4C7" w14:textId="01B1E5AA" w:rsidR="00C80078" w:rsidRDefault="00C80078" w:rsidP="00B502A0"/>
        </w:tc>
      </w:tr>
      <w:tr w:rsidR="000F63E1" w14:paraId="667455D4" w14:textId="77777777" w:rsidTr="00082A9D">
        <w:trPr>
          <w:trHeight w:val="52"/>
        </w:trPr>
        <w:tc>
          <w:tcPr>
            <w:tcW w:w="955" w:type="pct"/>
            <w:tcBorders>
              <w:top w:val="single" w:sz="4" w:space="0" w:color="auto"/>
              <w:left w:val="single" w:sz="12" w:space="0" w:color="auto"/>
              <w:bottom w:val="single" w:sz="12" w:space="0" w:color="auto"/>
              <w:right w:val="single" w:sz="12" w:space="0" w:color="auto"/>
            </w:tcBorders>
            <w:hideMark/>
          </w:tcPr>
          <w:p w14:paraId="404FF0F4" w14:textId="77777777" w:rsidR="00C80078" w:rsidRDefault="00C80078" w:rsidP="009A3B7E">
            <w:pPr>
              <w:jc w:val="both"/>
            </w:pPr>
            <w:r>
              <w:t>Termín</w:t>
            </w:r>
          </w:p>
        </w:tc>
        <w:tc>
          <w:tcPr>
            <w:tcW w:w="4045" w:type="pct"/>
            <w:tcBorders>
              <w:top w:val="single" w:sz="4" w:space="0" w:color="auto"/>
              <w:left w:val="single" w:sz="12" w:space="0" w:color="auto"/>
              <w:bottom w:val="single" w:sz="12" w:space="0" w:color="auto"/>
              <w:right w:val="single" w:sz="12" w:space="0" w:color="auto"/>
            </w:tcBorders>
            <w:vAlign w:val="center"/>
            <w:hideMark/>
          </w:tcPr>
          <w:p w14:paraId="55DBA5CC" w14:textId="77777777" w:rsidR="00C80078" w:rsidRDefault="00C80078" w:rsidP="00B502A0">
            <w:r>
              <w:t>2020-2021</w:t>
            </w:r>
          </w:p>
        </w:tc>
      </w:tr>
    </w:tbl>
    <w:p w14:paraId="5BFCA30D" w14:textId="2B20CC1B" w:rsidR="00C80078" w:rsidRDefault="00C80078" w:rsidP="009A3B7E">
      <w:pPr>
        <w:spacing w:before="0" w:after="0"/>
        <w:jc w:val="both"/>
      </w:pPr>
    </w:p>
    <w:p w14:paraId="06082116" w14:textId="7210263C" w:rsidR="00C80078" w:rsidRDefault="00C80078" w:rsidP="00082A9D">
      <w:pPr>
        <w:pStyle w:val="Nadpis3"/>
        <w:tabs>
          <w:tab w:val="clear" w:pos="2411"/>
        </w:tabs>
      </w:pPr>
      <w:bookmarkStart w:id="85" w:name="_Toc21589148"/>
      <w:r w:rsidRPr="00776D10">
        <w:t>V</w:t>
      </w:r>
      <w:r w:rsidR="00DD2E8A" w:rsidRPr="006A447D">
        <w:t>2</w:t>
      </w:r>
      <w:r w:rsidRPr="00B86B45">
        <w:t xml:space="preserve"> </w:t>
      </w:r>
      <w:r w:rsidR="00102130" w:rsidRPr="00AD57F9">
        <w:t>Formalizace</w:t>
      </w:r>
      <w:r w:rsidR="00102130">
        <w:t xml:space="preserve"> </w:t>
      </w:r>
      <w:r w:rsidRPr="000447EF">
        <w:t>metodiky výstavby a</w:t>
      </w:r>
      <w:r w:rsidR="005A1247">
        <w:t> </w:t>
      </w:r>
      <w:r w:rsidRPr="000447EF">
        <w:t>provozu plnicích stanic vodíku</w:t>
      </w:r>
      <w:bookmarkEnd w:id="85"/>
    </w:p>
    <w:tbl>
      <w:tblPr>
        <w:tblStyle w:val="Mkatabulky4"/>
        <w:tblpPr w:leftFromText="141" w:rightFromText="141" w:vertAnchor="text" w:horzAnchor="margin" w:tblpY="2"/>
        <w:tblW w:w="4884"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46"/>
        <w:gridCol w:w="7286"/>
      </w:tblGrid>
      <w:tr w:rsidR="00C80078" w14:paraId="2D8FA1DC" w14:textId="77777777" w:rsidTr="00082A9D">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hideMark/>
          </w:tcPr>
          <w:p w14:paraId="00EA0A09" w14:textId="0AAACB7A" w:rsidR="00C80078" w:rsidRDefault="00C80078" w:rsidP="005A1247">
            <w:pPr>
              <w:spacing w:before="60" w:after="60"/>
              <w:jc w:val="both"/>
            </w:pPr>
            <w:r w:rsidRPr="00776D10">
              <w:rPr>
                <w:b/>
                <w:color w:val="FFFFFF" w:themeColor="background1"/>
              </w:rPr>
              <w:t>V</w:t>
            </w:r>
            <w:r w:rsidR="00DD2E8A" w:rsidRPr="006A447D">
              <w:rPr>
                <w:b/>
                <w:color w:val="FFFFFF" w:themeColor="background1"/>
              </w:rPr>
              <w:t>2</w:t>
            </w:r>
            <w:r w:rsidRPr="00B86B45">
              <w:rPr>
                <w:b/>
                <w:color w:val="FFFFFF" w:themeColor="background1"/>
              </w:rPr>
              <w:t xml:space="preserve"> </w:t>
            </w:r>
            <w:r w:rsidR="00102130" w:rsidRPr="00AD57F9">
              <w:rPr>
                <w:b/>
                <w:color w:val="FFFFFF" w:themeColor="background1"/>
              </w:rPr>
              <w:t>Formalizace</w:t>
            </w:r>
            <w:r>
              <w:rPr>
                <w:b/>
                <w:color w:val="FFFFFF" w:themeColor="background1"/>
              </w:rPr>
              <w:t xml:space="preserve"> metodiky výstavby a</w:t>
            </w:r>
            <w:r w:rsidR="005A1247">
              <w:rPr>
                <w:b/>
                <w:color w:val="FFFFFF" w:themeColor="background1"/>
              </w:rPr>
              <w:t> </w:t>
            </w:r>
            <w:r>
              <w:rPr>
                <w:b/>
                <w:color w:val="FFFFFF" w:themeColor="background1"/>
              </w:rPr>
              <w:t>provozu plnících stanic vodíku</w:t>
            </w:r>
          </w:p>
        </w:tc>
      </w:tr>
      <w:tr w:rsidR="004913D7" w14:paraId="6C7CEC2F" w14:textId="77777777" w:rsidTr="00082A9D">
        <w:trPr>
          <w:trHeight w:val="52"/>
        </w:trPr>
        <w:tc>
          <w:tcPr>
            <w:tcW w:w="875" w:type="pct"/>
            <w:tcBorders>
              <w:top w:val="single" w:sz="12" w:space="0" w:color="auto"/>
              <w:left w:val="single" w:sz="12" w:space="0" w:color="auto"/>
              <w:bottom w:val="single" w:sz="4" w:space="0" w:color="auto"/>
              <w:right w:val="single" w:sz="12" w:space="0" w:color="auto"/>
            </w:tcBorders>
            <w:hideMark/>
          </w:tcPr>
          <w:p w14:paraId="7A413D4D" w14:textId="77777777" w:rsidR="00C80078" w:rsidRDefault="00C80078" w:rsidP="009A3B7E">
            <w:pPr>
              <w:jc w:val="both"/>
            </w:pPr>
            <w:r>
              <w:t>Návaznost na strategický cíl</w:t>
            </w:r>
          </w:p>
        </w:tc>
        <w:tc>
          <w:tcPr>
            <w:tcW w:w="4125" w:type="pct"/>
            <w:tcBorders>
              <w:top w:val="single" w:sz="12" w:space="0" w:color="auto"/>
              <w:left w:val="single" w:sz="12" w:space="0" w:color="auto"/>
              <w:bottom w:val="single" w:sz="4" w:space="0" w:color="auto"/>
              <w:right w:val="single" w:sz="12" w:space="0" w:color="auto"/>
            </w:tcBorders>
            <w:hideMark/>
          </w:tcPr>
          <w:p w14:paraId="33D9AA26" w14:textId="77777777" w:rsidR="00C80078" w:rsidRDefault="00C80078" w:rsidP="009A3B7E">
            <w:pPr>
              <w:jc w:val="both"/>
              <w:rPr>
                <w:rFonts w:cs="Arial"/>
                <w:szCs w:val="22"/>
              </w:rPr>
            </w:pPr>
            <w:r w:rsidRPr="00504C8E">
              <w:rPr>
                <w:rFonts w:cs="Arial"/>
                <w:szCs w:val="22"/>
              </w:rPr>
              <w:t>Zlepšení regulatorního rámce vodíkové elektromobility</w:t>
            </w:r>
            <w:r w:rsidR="004712D3">
              <w:rPr>
                <w:rFonts w:cs="Arial"/>
                <w:szCs w:val="22"/>
              </w:rPr>
              <w:t xml:space="preserve"> (kap. 4.3.4.)</w:t>
            </w:r>
          </w:p>
          <w:p w14:paraId="406136B7" w14:textId="77777777" w:rsidR="00C80078" w:rsidRDefault="00C80078" w:rsidP="009A3B7E">
            <w:pPr>
              <w:jc w:val="both"/>
              <w:rPr>
                <w:b/>
              </w:rPr>
            </w:pPr>
          </w:p>
        </w:tc>
      </w:tr>
      <w:tr w:rsidR="004913D7" w14:paraId="68E3865C" w14:textId="77777777" w:rsidTr="00082A9D">
        <w:trPr>
          <w:trHeight w:val="52"/>
        </w:trPr>
        <w:tc>
          <w:tcPr>
            <w:tcW w:w="875" w:type="pct"/>
            <w:tcBorders>
              <w:top w:val="single" w:sz="4" w:space="0" w:color="auto"/>
              <w:left w:val="single" w:sz="12" w:space="0" w:color="auto"/>
              <w:bottom w:val="single" w:sz="4" w:space="0" w:color="auto"/>
              <w:right w:val="single" w:sz="12" w:space="0" w:color="auto"/>
            </w:tcBorders>
            <w:hideMark/>
          </w:tcPr>
          <w:p w14:paraId="0F7DC1E3" w14:textId="77777777" w:rsidR="00C80078" w:rsidRDefault="00C80078" w:rsidP="009A3B7E">
            <w:pPr>
              <w:jc w:val="both"/>
            </w:pPr>
            <w:r>
              <w:t xml:space="preserve">Cíl opatření </w:t>
            </w:r>
          </w:p>
        </w:tc>
        <w:tc>
          <w:tcPr>
            <w:tcW w:w="4125" w:type="pct"/>
            <w:tcBorders>
              <w:top w:val="single" w:sz="4" w:space="0" w:color="auto"/>
              <w:left w:val="single" w:sz="12" w:space="0" w:color="auto"/>
              <w:bottom w:val="single" w:sz="4" w:space="0" w:color="auto"/>
              <w:right w:val="single" w:sz="12" w:space="0" w:color="auto"/>
            </w:tcBorders>
            <w:hideMark/>
          </w:tcPr>
          <w:p w14:paraId="6683C9D9" w14:textId="0DCA92B2" w:rsidR="00C80078" w:rsidRDefault="00C80078" w:rsidP="005A1247">
            <w:pPr>
              <w:spacing w:before="0" w:after="0"/>
              <w:jc w:val="both"/>
            </w:pPr>
            <w:r>
              <w:t>Cílem opatření je zjednodušení vstupu vodíkových technologií na trh v</w:t>
            </w:r>
            <w:r w:rsidR="005A1247">
              <w:t> </w:t>
            </w:r>
            <w:r>
              <w:t>rámci revize legislativy a</w:t>
            </w:r>
            <w:r w:rsidR="005A1247">
              <w:t> </w:t>
            </w:r>
            <w:r>
              <w:t>technických norem.</w:t>
            </w:r>
          </w:p>
        </w:tc>
      </w:tr>
      <w:tr w:rsidR="004913D7" w14:paraId="36459BD7" w14:textId="77777777" w:rsidTr="00082A9D">
        <w:trPr>
          <w:trHeight w:val="52"/>
        </w:trPr>
        <w:tc>
          <w:tcPr>
            <w:tcW w:w="875" w:type="pct"/>
            <w:tcBorders>
              <w:top w:val="single" w:sz="4" w:space="0" w:color="auto"/>
              <w:left w:val="single" w:sz="12" w:space="0" w:color="auto"/>
              <w:bottom w:val="single" w:sz="4" w:space="0" w:color="auto"/>
              <w:right w:val="single" w:sz="12" w:space="0" w:color="auto"/>
            </w:tcBorders>
            <w:hideMark/>
          </w:tcPr>
          <w:p w14:paraId="7BA67346" w14:textId="77777777" w:rsidR="00C80078" w:rsidRDefault="00C80078" w:rsidP="009A3B7E">
            <w:pPr>
              <w:jc w:val="both"/>
            </w:pPr>
            <w:r>
              <w:t>Popis opatření</w:t>
            </w:r>
          </w:p>
        </w:tc>
        <w:tc>
          <w:tcPr>
            <w:tcW w:w="4125" w:type="pct"/>
            <w:tcBorders>
              <w:top w:val="single" w:sz="4" w:space="0" w:color="auto"/>
              <w:left w:val="single" w:sz="12" w:space="0" w:color="auto"/>
              <w:bottom w:val="single" w:sz="4" w:space="0" w:color="auto"/>
              <w:right w:val="single" w:sz="12" w:space="0" w:color="auto"/>
            </w:tcBorders>
            <w:hideMark/>
          </w:tcPr>
          <w:p w14:paraId="3BA14E4C" w14:textId="5B82F4ED" w:rsidR="00C80078" w:rsidRPr="00082A9D" w:rsidRDefault="00902DA0" w:rsidP="005A1247">
            <w:pPr>
              <w:spacing w:before="0" w:after="0"/>
              <w:jc w:val="both"/>
              <w:rPr>
                <w:szCs w:val="22"/>
              </w:rPr>
            </w:pPr>
            <w:r w:rsidRPr="00082A9D">
              <w:rPr>
                <w:color w:val="000000"/>
                <w:szCs w:val="22"/>
              </w:rPr>
              <w:t>Zveřejnění</w:t>
            </w:r>
            <w:r w:rsidR="00C80078" w:rsidRPr="00082A9D">
              <w:rPr>
                <w:color w:val="000000"/>
                <w:szCs w:val="22"/>
              </w:rPr>
              <w:t xml:space="preserve"> m</w:t>
            </w:r>
            <w:r w:rsidR="00C80078" w:rsidRPr="00082A9D">
              <w:rPr>
                <w:szCs w:val="22"/>
              </w:rPr>
              <w:t>etodiky výstavby a</w:t>
            </w:r>
            <w:r w:rsidR="005A1247">
              <w:rPr>
                <w:szCs w:val="22"/>
              </w:rPr>
              <w:t> </w:t>
            </w:r>
            <w:r w:rsidR="00C80078" w:rsidRPr="00082A9D">
              <w:rPr>
                <w:szCs w:val="22"/>
              </w:rPr>
              <w:t>provozu plnících stanic stlačeného vodíku pro mobilní zařízení, kterou připravila v</w:t>
            </w:r>
            <w:r w:rsidR="005A1247">
              <w:rPr>
                <w:szCs w:val="22"/>
              </w:rPr>
              <w:t> </w:t>
            </w:r>
            <w:r w:rsidR="00C80078" w:rsidRPr="00082A9D">
              <w:rPr>
                <w:szCs w:val="22"/>
              </w:rPr>
              <w:t>roce 2018 společnost APT ve spolupráci s</w:t>
            </w:r>
            <w:r w:rsidR="005A1247">
              <w:rPr>
                <w:szCs w:val="22"/>
              </w:rPr>
              <w:t> </w:t>
            </w:r>
            <w:r w:rsidR="00C80078" w:rsidRPr="00082A9D">
              <w:rPr>
                <w:szCs w:val="22"/>
              </w:rPr>
              <w:t>ÚJV Řež a</w:t>
            </w:r>
            <w:r w:rsidR="005A1247">
              <w:rPr>
                <w:szCs w:val="22"/>
              </w:rPr>
              <w:t> </w:t>
            </w:r>
            <w:r w:rsidR="00C80078" w:rsidRPr="00082A9D">
              <w:rPr>
                <w:szCs w:val="22"/>
              </w:rPr>
              <w:t>předal ji k</w:t>
            </w:r>
            <w:r w:rsidR="005A1247">
              <w:rPr>
                <w:szCs w:val="22"/>
              </w:rPr>
              <w:t> </w:t>
            </w:r>
            <w:r w:rsidR="00C80078" w:rsidRPr="00082A9D">
              <w:rPr>
                <w:szCs w:val="22"/>
              </w:rPr>
              <w:t>dalšímu užívání jednotlivým stavebním úřadům, a</w:t>
            </w:r>
            <w:r w:rsidR="005A1247">
              <w:rPr>
                <w:szCs w:val="22"/>
              </w:rPr>
              <w:t> </w:t>
            </w:r>
            <w:r w:rsidR="00C80078" w:rsidRPr="00082A9D">
              <w:rPr>
                <w:szCs w:val="22"/>
              </w:rPr>
              <w:t xml:space="preserve">její stanovení </w:t>
            </w:r>
            <w:r w:rsidR="00C80078" w:rsidRPr="00082A9D">
              <w:rPr>
                <w:color w:val="000000"/>
                <w:szCs w:val="22"/>
              </w:rPr>
              <w:t>za všeobecně platnou ze strany státu.</w:t>
            </w:r>
          </w:p>
        </w:tc>
      </w:tr>
      <w:tr w:rsidR="004913D7" w14:paraId="1DE70B8F" w14:textId="77777777" w:rsidTr="00082A9D">
        <w:trPr>
          <w:trHeight w:val="52"/>
        </w:trPr>
        <w:tc>
          <w:tcPr>
            <w:tcW w:w="875" w:type="pct"/>
            <w:tcBorders>
              <w:top w:val="single" w:sz="4" w:space="0" w:color="auto"/>
              <w:left w:val="single" w:sz="12" w:space="0" w:color="auto"/>
              <w:bottom w:val="single" w:sz="4" w:space="0" w:color="auto"/>
              <w:right w:val="single" w:sz="12" w:space="0" w:color="auto"/>
            </w:tcBorders>
            <w:hideMark/>
          </w:tcPr>
          <w:p w14:paraId="277865F7" w14:textId="77777777" w:rsidR="00C80078" w:rsidRDefault="00C80078" w:rsidP="009A3B7E">
            <w:pPr>
              <w:jc w:val="both"/>
            </w:pPr>
            <w:r>
              <w:t>Rozpočtový dopad / financování</w:t>
            </w:r>
          </w:p>
        </w:tc>
        <w:tc>
          <w:tcPr>
            <w:tcW w:w="4125" w:type="pct"/>
            <w:tcBorders>
              <w:top w:val="single" w:sz="4" w:space="0" w:color="auto"/>
              <w:left w:val="single" w:sz="12" w:space="0" w:color="auto"/>
              <w:bottom w:val="single" w:sz="4" w:space="0" w:color="auto"/>
              <w:right w:val="single" w:sz="12" w:space="0" w:color="auto"/>
            </w:tcBorders>
            <w:hideMark/>
          </w:tcPr>
          <w:p w14:paraId="50EC8CEC" w14:textId="77777777" w:rsidR="00C80078" w:rsidRDefault="00C80078" w:rsidP="009A3B7E">
            <w:pPr>
              <w:jc w:val="both"/>
            </w:pPr>
            <w:r>
              <w:t>Náklady na úpravu norem.</w:t>
            </w:r>
          </w:p>
        </w:tc>
      </w:tr>
      <w:tr w:rsidR="004913D7" w14:paraId="183EEFC7" w14:textId="77777777" w:rsidTr="00082A9D">
        <w:trPr>
          <w:trHeight w:val="52"/>
        </w:trPr>
        <w:tc>
          <w:tcPr>
            <w:tcW w:w="875" w:type="pct"/>
            <w:tcBorders>
              <w:top w:val="single" w:sz="4" w:space="0" w:color="auto"/>
              <w:left w:val="single" w:sz="12" w:space="0" w:color="auto"/>
              <w:bottom w:val="single" w:sz="4" w:space="0" w:color="auto"/>
              <w:right w:val="single" w:sz="12" w:space="0" w:color="auto"/>
            </w:tcBorders>
            <w:hideMark/>
          </w:tcPr>
          <w:p w14:paraId="43B32DEA" w14:textId="77777777" w:rsidR="00C80078" w:rsidRDefault="00C80078" w:rsidP="009A3B7E">
            <w:pPr>
              <w:jc w:val="both"/>
            </w:pPr>
            <w:r>
              <w:t>Odpovědnost</w:t>
            </w:r>
          </w:p>
        </w:tc>
        <w:tc>
          <w:tcPr>
            <w:tcW w:w="4125" w:type="pct"/>
            <w:tcBorders>
              <w:top w:val="single" w:sz="4" w:space="0" w:color="auto"/>
              <w:left w:val="single" w:sz="12" w:space="0" w:color="auto"/>
              <w:bottom w:val="single" w:sz="4" w:space="0" w:color="auto"/>
              <w:right w:val="single" w:sz="12" w:space="0" w:color="auto"/>
            </w:tcBorders>
            <w:hideMark/>
          </w:tcPr>
          <w:p w14:paraId="4BF52FFE" w14:textId="77777777" w:rsidR="00C80078" w:rsidRDefault="00C80078" w:rsidP="009A3B7E">
            <w:pPr>
              <w:jc w:val="both"/>
            </w:pPr>
            <w:r>
              <w:t>MMR</w:t>
            </w:r>
          </w:p>
        </w:tc>
      </w:tr>
      <w:tr w:rsidR="004913D7" w14:paraId="34FE1113" w14:textId="77777777" w:rsidTr="00082A9D">
        <w:trPr>
          <w:trHeight w:val="52"/>
        </w:trPr>
        <w:tc>
          <w:tcPr>
            <w:tcW w:w="875" w:type="pct"/>
            <w:tcBorders>
              <w:top w:val="single" w:sz="4" w:space="0" w:color="auto"/>
              <w:left w:val="single" w:sz="12" w:space="0" w:color="auto"/>
              <w:bottom w:val="single" w:sz="4" w:space="0" w:color="auto"/>
              <w:right w:val="single" w:sz="12" w:space="0" w:color="auto"/>
            </w:tcBorders>
            <w:hideMark/>
          </w:tcPr>
          <w:p w14:paraId="41816A3A" w14:textId="77777777" w:rsidR="00C80078" w:rsidRDefault="00C80078" w:rsidP="009A3B7E">
            <w:pPr>
              <w:jc w:val="both"/>
            </w:pPr>
            <w:r>
              <w:t>Spolupráce</w:t>
            </w:r>
          </w:p>
        </w:tc>
        <w:tc>
          <w:tcPr>
            <w:tcW w:w="4125" w:type="pct"/>
            <w:tcBorders>
              <w:top w:val="single" w:sz="4" w:space="0" w:color="auto"/>
              <w:left w:val="single" w:sz="12" w:space="0" w:color="auto"/>
              <w:bottom w:val="single" w:sz="4" w:space="0" w:color="auto"/>
              <w:right w:val="single" w:sz="12" w:space="0" w:color="auto"/>
            </w:tcBorders>
            <w:hideMark/>
          </w:tcPr>
          <w:p w14:paraId="1CD5111C" w14:textId="77777777" w:rsidR="00C80078" w:rsidRDefault="00C80078" w:rsidP="009A3B7E">
            <w:pPr>
              <w:jc w:val="both"/>
            </w:pPr>
            <w:r>
              <w:t>MPO</w:t>
            </w:r>
            <w:r w:rsidR="00902DA0">
              <w:t>, HYTEP</w:t>
            </w:r>
          </w:p>
        </w:tc>
      </w:tr>
      <w:tr w:rsidR="004913D7" w14:paraId="3F44B496" w14:textId="77777777" w:rsidTr="00082A9D">
        <w:trPr>
          <w:trHeight w:val="52"/>
        </w:trPr>
        <w:tc>
          <w:tcPr>
            <w:tcW w:w="875" w:type="pct"/>
            <w:tcBorders>
              <w:top w:val="single" w:sz="4" w:space="0" w:color="auto"/>
              <w:left w:val="single" w:sz="12" w:space="0" w:color="auto"/>
              <w:bottom w:val="single" w:sz="12" w:space="0" w:color="auto"/>
              <w:right w:val="single" w:sz="12" w:space="0" w:color="auto"/>
            </w:tcBorders>
            <w:hideMark/>
          </w:tcPr>
          <w:p w14:paraId="11E1DEB2" w14:textId="77777777" w:rsidR="00C80078" w:rsidRDefault="00C80078" w:rsidP="009A3B7E">
            <w:pPr>
              <w:jc w:val="both"/>
            </w:pPr>
            <w:r>
              <w:t>Termín</w:t>
            </w:r>
          </w:p>
        </w:tc>
        <w:tc>
          <w:tcPr>
            <w:tcW w:w="4125" w:type="pct"/>
            <w:tcBorders>
              <w:top w:val="single" w:sz="4" w:space="0" w:color="auto"/>
              <w:left w:val="single" w:sz="12" w:space="0" w:color="auto"/>
              <w:bottom w:val="single" w:sz="12" w:space="0" w:color="auto"/>
              <w:right w:val="single" w:sz="12" w:space="0" w:color="auto"/>
            </w:tcBorders>
            <w:hideMark/>
          </w:tcPr>
          <w:p w14:paraId="21290F82" w14:textId="77777777" w:rsidR="00C80078" w:rsidRDefault="00C80078" w:rsidP="009A3B7E">
            <w:pPr>
              <w:jc w:val="both"/>
            </w:pPr>
            <w:r>
              <w:t>2021</w:t>
            </w:r>
          </w:p>
        </w:tc>
      </w:tr>
    </w:tbl>
    <w:p w14:paraId="64B5A3A6" w14:textId="5B75CD38" w:rsidR="00C80078" w:rsidRDefault="00C80078" w:rsidP="009A3B7E">
      <w:pPr>
        <w:spacing w:before="0" w:after="0"/>
        <w:jc w:val="both"/>
      </w:pPr>
    </w:p>
    <w:p w14:paraId="2753F737" w14:textId="3DCB22C2" w:rsidR="001530C0" w:rsidRDefault="001530C0" w:rsidP="009A3B7E">
      <w:pPr>
        <w:pStyle w:val="Nadpis2"/>
        <w:jc w:val="both"/>
      </w:pPr>
      <w:bookmarkStart w:id="86" w:name="_Toc23861934"/>
      <w:bookmarkStart w:id="87" w:name="_Toc23861974"/>
      <w:bookmarkStart w:id="88" w:name="_Toc21589149"/>
      <w:bookmarkStart w:id="89" w:name="_Toc34387155"/>
      <w:bookmarkEnd w:id="86"/>
      <w:bookmarkEnd w:id="87"/>
      <w:r w:rsidRPr="00F60456">
        <w:t>Přímé</w:t>
      </w:r>
      <w:r w:rsidRPr="00055853">
        <w:t xml:space="preserve"> pobídky k</w:t>
      </w:r>
      <w:r w:rsidR="005A1247">
        <w:t> </w:t>
      </w:r>
      <w:r w:rsidRPr="00055853">
        <w:t>nákupu vozidel</w:t>
      </w:r>
      <w:bookmarkEnd w:id="88"/>
      <w:bookmarkEnd w:id="89"/>
    </w:p>
    <w:p w14:paraId="5B3FBFA3" w14:textId="098F4A28" w:rsidR="001530C0" w:rsidRDefault="001530C0" w:rsidP="009A3B7E">
      <w:pPr>
        <w:pStyle w:val="Nadpis3"/>
        <w:jc w:val="both"/>
      </w:pPr>
      <w:bookmarkStart w:id="90" w:name="_Toc21589150"/>
      <w:r>
        <w:t>S</w:t>
      </w:r>
      <w:r w:rsidR="00082A9D">
        <w:t>8</w:t>
      </w:r>
      <w:r>
        <w:t xml:space="preserve"> </w:t>
      </w:r>
      <w:r w:rsidRPr="003D13C0">
        <w:t>Pořizování vozidel na alternativní paliva do flotil komunálních podniků provozujících vozidla svozu komunálního odpadu</w:t>
      </w:r>
      <w:bookmarkEnd w:id="90"/>
      <w:r w:rsidR="00F93A0E">
        <w:t xml:space="preserve"> a</w:t>
      </w:r>
      <w:r w:rsidR="005A1247">
        <w:t> </w:t>
      </w:r>
      <w:r w:rsidR="00F93A0E">
        <w:t>obdobné činnosti při správě veřejného prostoru</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1530C0" w:rsidRPr="003A7A2B" w14:paraId="37DA39BF"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cPr>
          <w:p w14:paraId="37A7B512" w14:textId="3ADF45F3" w:rsidR="001530C0" w:rsidRPr="003A7A2B" w:rsidRDefault="001530C0" w:rsidP="005A1247">
            <w:pPr>
              <w:spacing w:before="60" w:after="60"/>
              <w:jc w:val="both"/>
              <w:rPr>
                <w:rFonts w:cs="Arial"/>
                <w:b/>
                <w:color w:val="FFFFFF" w:themeColor="background1"/>
              </w:rPr>
            </w:pPr>
            <w:r w:rsidRPr="001D1C98">
              <w:rPr>
                <w:rFonts w:cs="Arial"/>
                <w:b/>
                <w:color w:val="FFFFFF" w:themeColor="background1"/>
              </w:rPr>
              <w:t>S</w:t>
            </w:r>
            <w:r w:rsidR="00082A9D">
              <w:rPr>
                <w:rFonts w:cs="Arial"/>
                <w:b/>
                <w:color w:val="FFFFFF" w:themeColor="background1"/>
              </w:rPr>
              <w:t>8</w:t>
            </w:r>
            <w:r>
              <w:rPr>
                <w:rFonts w:cs="Arial"/>
                <w:b/>
                <w:color w:val="FFFFFF" w:themeColor="background1"/>
              </w:rPr>
              <w:t xml:space="preserve"> </w:t>
            </w:r>
            <w:r w:rsidRPr="001D1C98">
              <w:rPr>
                <w:rFonts w:cs="Arial"/>
                <w:b/>
                <w:color w:val="FFFFFF" w:themeColor="background1"/>
              </w:rPr>
              <w:t>Pořizování vozidel na alternativní paliva do flotil komunálních podniků provozujících vozidla svozu komunálního odpadu</w:t>
            </w:r>
            <w:r w:rsidR="00F93A0E">
              <w:rPr>
                <w:rFonts w:cs="Arial"/>
                <w:b/>
                <w:color w:val="FFFFFF" w:themeColor="background1"/>
              </w:rPr>
              <w:t xml:space="preserve"> a</w:t>
            </w:r>
            <w:r w:rsidR="005A1247">
              <w:rPr>
                <w:rFonts w:cs="Arial"/>
                <w:b/>
                <w:color w:val="FFFFFF" w:themeColor="background1"/>
              </w:rPr>
              <w:t> </w:t>
            </w:r>
            <w:r w:rsidR="00F93A0E">
              <w:rPr>
                <w:rFonts w:cs="Arial"/>
                <w:b/>
                <w:color w:val="FFFFFF" w:themeColor="background1"/>
              </w:rPr>
              <w:t>obdobné činnosti při správě veřejného prostoru</w:t>
            </w:r>
          </w:p>
        </w:tc>
      </w:tr>
      <w:tr w:rsidR="00E31D72" w:rsidRPr="003A7A2B" w14:paraId="038E5A66" w14:textId="77777777" w:rsidTr="00B502A0">
        <w:tc>
          <w:tcPr>
            <w:tcW w:w="1984" w:type="dxa"/>
            <w:tcBorders>
              <w:top w:val="single" w:sz="12" w:space="0" w:color="auto"/>
              <w:left w:val="single" w:sz="12" w:space="0" w:color="auto"/>
              <w:right w:val="single" w:sz="12" w:space="0" w:color="auto"/>
            </w:tcBorders>
          </w:tcPr>
          <w:p w14:paraId="49E635CB" w14:textId="77777777" w:rsidR="001530C0" w:rsidRPr="003A7A2B" w:rsidRDefault="001530C0" w:rsidP="00B502A0">
            <w:pPr>
              <w:pStyle w:val="Normln10"/>
              <w:spacing w:before="60" w:line="240" w:lineRule="auto"/>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right w:val="single" w:sz="12" w:space="0" w:color="auto"/>
            </w:tcBorders>
          </w:tcPr>
          <w:p w14:paraId="1FAA8BAF" w14:textId="77777777" w:rsidR="001530C0" w:rsidRDefault="001530C0" w:rsidP="00B502A0">
            <w:pPr>
              <w:pStyle w:val="Normln10"/>
              <w:spacing w:before="0" w:line="240" w:lineRule="auto"/>
              <w:rPr>
                <w:rFonts w:cs="Arial"/>
                <w:sz w:val="22"/>
                <w:szCs w:val="22"/>
              </w:rPr>
            </w:pPr>
            <w:r>
              <w:rPr>
                <w:rFonts w:cs="Arial"/>
                <w:sz w:val="22"/>
                <w:szCs w:val="22"/>
              </w:rPr>
              <w:t>Rozvoj trhu elektrických vozidel</w:t>
            </w:r>
            <w:r w:rsidR="00EC10F9">
              <w:rPr>
                <w:rFonts w:cs="Arial"/>
                <w:sz w:val="22"/>
                <w:szCs w:val="22"/>
              </w:rPr>
              <w:t xml:space="preserve"> (kap. 2.4.1.)</w:t>
            </w:r>
          </w:p>
          <w:p w14:paraId="6CBD715E" w14:textId="77777777" w:rsidR="001530C0" w:rsidRDefault="001530C0" w:rsidP="00B502A0">
            <w:pPr>
              <w:pStyle w:val="Normln10"/>
              <w:spacing w:before="0" w:line="240" w:lineRule="auto"/>
              <w:rPr>
                <w:rFonts w:cs="Arial"/>
                <w:sz w:val="22"/>
                <w:szCs w:val="22"/>
              </w:rPr>
            </w:pPr>
            <w:r>
              <w:rPr>
                <w:rFonts w:cs="Arial"/>
                <w:sz w:val="22"/>
                <w:szCs w:val="22"/>
              </w:rPr>
              <w:t>Rozvoj trhu vozidel na zemní plyn</w:t>
            </w:r>
            <w:r w:rsidR="00EC10F9">
              <w:rPr>
                <w:rFonts w:cs="Arial"/>
                <w:sz w:val="22"/>
                <w:szCs w:val="22"/>
              </w:rPr>
              <w:t xml:space="preserve"> (kap. 3.3.1.)</w:t>
            </w:r>
          </w:p>
          <w:p w14:paraId="3AB31737" w14:textId="77777777" w:rsidR="004504CA" w:rsidRPr="003D631D" w:rsidDel="002B095B" w:rsidRDefault="00274653" w:rsidP="00B502A0">
            <w:pPr>
              <w:pStyle w:val="Normln10"/>
              <w:spacing w:before="0" w:line="240" w:lineRule="auto"/>
              <w:rPr>
                <w:rFonts w:cs="Arial"/>
                <w:sz w:val="22"/>
                <w:szCs w:val="22"/>
              </w:rPr>
            </w:pPr>
            <w:r>
              <w:rPr>
                <w:rFonts w:cs="Arial"/>
                <w:sz w:val="22"/>
                <w:szCs w:val="22"/>
              </w:rPr>
              <w:t>Rozvoj trhu vodíkových vozidel (kap. 4.3.1.)</w:t>
            </w:r>
          </w:p>
        </w:tc>
      </w:tr>
      <w:tr w:rsidR="00E31D72" w:rsidRPr="003A7A2B" w14:paraId="79916799" w14:textId="77777777" w:rsidTr="00B502A0">
        <w:tc>
          <w:tcPr>
            <w:tcW w:w="1984" w:type="dxa"/>
            <w:tcBorders>
              <w:top w:val="single" w:sz="4" w:space="0" w:color="auto"/>
              <w:left w:val="single" w:sz="12" w:space="0" w:color="auto"/>
              <w:right w:val="single" w:sz="12" w:space="0" w:color="auto"/>
            </w:tcBorders>
          </w:tcPr>
          <w:p w14:paraId="072E9E20"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Cíl opatření</w:t>
            </w:r>
          </w:p>
        </w:tc>
        <w:tc>
          <w:tcPr>
            <w:tcW w:w="7087" w:type="dxa"/>
            <w:tcBorders>
              <w:top w:val="single" w:sz="4" w:space="0" w:color="auto"/>
              <w:left w:val="single" w:sz="12" w:space="0" w:color="auto"/>
              <w:right w:val="single" w:sz="12" w:space="0" w:color="auto"/>
            </w:tcBorders>
          </w:tcPr>
          <w:p w14:paraId="2274E567" w14:textId="77777777" w:rsidR="001530C0" w:rsidRPr="003A7A2B" w:rsidRDefault="001530C0" w:rsidP="00B502A0">
            <w:pPr>
              <w:pStyle w:val="Normln10"/>
              <w:spacing w:before="0" w:line="240" w:lineRule="auto"/>
              <w:rPr>
                <w:rFonts w:cs="Arial"/>
                <w:sz w:val="22"/>
                <w:szCs w:val="22"/>
              </w:rPr>
            </w:pPr>
            <w:r w:rsidRPr="001D1C98">
              <w:rPr>
                <w:rFonts w:cs="Arial"/>
                <w:sz w:val="22"/>
                <w:szCs w:val="22"/>
              </w:rPr>
              <w:t>Podpora nákupu vozidel na alternativní paliva</w:t>
            </w:r>
          </w:p>
        </w:tc>
      </w:tr>
      <w:tr w:rsidR="00E31D72" w:rsidRPr="003A7A2B" w14:paraId="7D5E9B97" w14:textId="77777777" w:rsidTr="00B502A0">
        <w:tc>
          <w:tcPr>
            <w:tcW w:w="1984" w:type="dxa"/>
            <w:tcBorders>
              <w:left w:val="single" w:sz="12" w:space="0" w:color="auto"/>
              <w:right w:val="single" w:sz="12" w:space="0" w:color="auto"/>
            </w:tcBorders>
          </w:tcPr>
          <w:p w14:paraId="5A4047D9"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Popis opatření</w:t>
            </w:r>
            <w:r w:rsidRPr="003A7A2B">
              <w:rPr>
                <w:rFonts w:cs="Arial"/>
                <w:sz w:val="22"/>
                <w:szCs w:val="22"/>
              </w:rPr>
              <w:tab/>
            </w:r>
          </w:p>
        </w:tc>
        <w:tc>
          <w:tcPr>
            <w:tcW w:w="7087" w:type="dxa"/>
            <w:tcBorders>
              <w:left w:val="single" w:sz="12" w:space="0" w:color="auto"/>
              <w:right w:val="single" w:sz="12" w:space="0" w:color="auto"/>
            </w:tcBorders>
          </w:tcPr>
          <w:p w14:paraId="6F1145FE" w14:textId="0CDC27FE" w:rsidR="001530C0" w:rsidRPr="001D1C98" w:rsidRDefault="001530C0" w:rsidP="00B502A0">
            <w:pPr>
              <w:pStyle w:val="Normln10"/>
              <w:spacing w:before="0" w:line="240" w:lineRule="auto"/>
              <w:rPr>
                <w:rFonts w:cs="Arial"/>
                <w:sz w:val="22"/>
                <w:szCs w:val="22"/>
              </w:rPr>
            </w:pPr>
            <w:r w:rsidRPr="001D1C98">
              <w:rPr>
                <w:rFonts w:cs="Arial"/>
                <w:sz w:val="22"/>
                <w:szCs w:val="22"/>
              </w:rPr>
              <w:t>Motivovat místní samosprávy, aby z</w:t>
            </w:r>
            <w:r w:rsidR="005A1247">
              <w:rPr>
                <w:rFonts w:cs="Arial"/>
                <w:sz w:val="22"/>
                <w:szCs w:val="22"/>
              </w:rPr>
              <w:t> </w:t>
            </w:r>
            <w:r w:rsidRPr="001D1C98">
              <w:rPr>
                <w:rFonts w:cs="Arial"/>
                <w:sz w:val="22"/>
                <w:szCs w:val="22"/>
              </w:rPr>
              <w:t xml:space="preserve">vlastních rozpočtů, případně dotačních programů EU, NPŽP, </w:t>
            </w:r>
            <w:r w:rsidR="00042582">
              <w:rPr>
                <w:rFonts w:cs="Arial"/>
                <w:sz w:val="22"/>
                <w:szCs w:val="22"/>
              </w:rPr>
              <w:t>OP TAK</w:t>
            </w:r>
            <w:r w:rsidR="007E7A32">
              <w:rPr>
                <w:rFonts w:cs="Arial"/>
                <w:sz w:val="22"/>
                <w:szCs w:val="22"/>
              </w:rPr>
              <w:t> </w:t>
            </w:r>
            <w:r w:rsidRPr="001D1C98">
              <w:rPr>
                <w:rFonts w:cs="Arial"/>
                <w:sz w:val="22"/>
                <w:szCs w:val="22"/>
              </w:rPr>
              <w:t>a</w:t>
            </w:r>
            <w:r w:rsidR="005A1247">
              <w:rPr>
                <w:rFonts w:cs="Arial"/>
                <w:sz w:val="22"/>
                <w:szCs w:val="22"/>
              </w:rPr>
              <w:t> </w:t>
            </w:r>
            <w:r w:rsidRPr="001D1C98">
              <w:rPr>
                <w:rFonts w:cs="Arial"/>
                <w:sz w:val="22"/>
                <w:szCs w:val="22"/>
              </w:rPr>
              <w:t>dalších, podporovali nákup nových ekologických vozidel pro svoz komunálního odpadu a</w:t>
            </w:r>
            <w:r w:rsidR="005A1247">
              <w:rPr>
                <w:rFonts w:cs="Arial"/>
                <w:sz w:val="22"/>
                <w:szCs w:val="22"/>
              </w:rPr>
              <w:t> </w:t>
            </w:r>
            <w:r w:rsidRPr="001D1C98">
              <w:rPr>
                <w:rFonts w:cs="Arial"/>
                <w:sz w:val="22"/>
                <w:szCs w:val="22"/>
              </w:rPr>
              <w:t>dalších komunálních vozidel s</w:t>
            </w:r>
            <w:r w:rsidR="005A1247">
              <w:rPr>
                <w:rFonts w:cs="Arial"/>
                <w:sz w:val="22"/>
                <w:szCs w:val="22"/>
              </w:rPr>
              <w:t> </w:t>
            </w:r>
            <w:r w:rsidRPr="001D1C98">
              <w:rPr>
                <w:rFonts w:cs="Arial"/>
                <w:sz w:val="22"/>
                <w:szCs w:val="22"/>
              </w:rPr>
              <w:t>pohonem na CNG</w:t>
            </w:r>
            <w:r>
              <w:rPr>
                <w:rFonts w:cs="Arial"/>
                <w:sz w:val="22"/>
                <w:szCs w:val="22"/>
              </w:rPr>
              <w:t>/bio CNG</w:t>
            </w:r>
            <w:r w:rsidRPr="001D1C98">
              <w:rPr>
                <w:rFonts w:cs="Arial"/>
                <w:sz w:val="22"/>
                <w:szCs w:val="22"/>
              </w:rPr>
              <w:t xml:space="preserve"> a</w:t>
            </w:r>
            <w:r w:rsidR="005A1247">
              <w:rPr>
                <w:rFonts w:cs="Arial"/>
                <w:sz w:val="22"/>
                <w:szCs w:val="22"/>
              </w:rPr>
              <w:t> </w:t>
            </w:r>
            <w:r w:rsidR="00F93A0E">
              <w:rPr>
                <w:rFonts w:cs="Arial"/>
                <w:sz w:val="22"/>
                <w:szCs w:val="22"/>
              </w:rPr>
              <w:t>užitkové</w:t>
            </w:r>
            <w:r w:rsidRPr="001D1C98">
              <w:rPr>
                <w:rFonts w:cs="Arial"/>
                <w:sz w:val="22"/>
                <w:szCs w:val="22"/>
              </w:rPr>
              <w:t xml:space="preserve"> vozy na LNG</w:t>
            </w:r>
            <w:r w:rsidR="00274653">
              <w:rPr>
                <w:rFonts w:cs="Arial"/>
                <w:sz w:val="22"/>
                <w:szCs w:val="22"/>
              </w:rPr>
              <w:t>,</w:t>
            </w:r>
            <w:r w:rsidR="00061FB2">
              <w:rPr>
                <w:rFonts w:cs="Arial"/>
                <w:sz w:val="22"/>
                <w:szCs w:val="22"/>
              </w:rPr>
              <w:t> </w:t>
            </w:r>
            <w:r w:rsidRPr="001D1C98">
              <w:rPr>
                <w:rFonts w:cs="Arial"/>
                <w:sz w:val="22"/>
                <w:szCs w:val="22"/>
              </w:rPr>
              <w:t>elektřinu</w:t>
            </w:r>
            <w:r w:rsidR="00274653">
              <w:rPr>
                <w:rFonts w:cs="Arial"/>
                <w:sz w:val="22"/>
                <w:szCs w:val="22"/>
              </w:rPr>
              <w:t>, vodík</w:t>
            </w:r>
            <w:r w:rsidRPr="001D1C98">
              <w:rPr>
                <w:rFonts w:cs="Arial"/>
                <w:sz w:val="22"/>
                <w:szCs w:val="22"/>
              </w:rPr>
              <w:t xml:space="preserve"> – např. v</w:t>
            </w:r>
            <w:r w:rsidR="005A1247">
              <w:rPr>
                <w:rFonts w:cs="Arial"/>
                <w:sz w:val="22"/>
                <w:szCs w:val="22"/>
              </w:rPr>
              <w:t> </w:t>
            </w:r>
            <w:r w:rsidRPr="001D1C98">
              <w:rPr>
                <w:rFonts w:cs="Arial"/>
                <w:sz w:val="22"/>
                <w:szCs w:val="22"/>
              </w:rPr>
              <w:t>rámci obnovy vozového parku TS.</w:t>
            </w:r>
          </w:p>
          <w:p w14:paraId="04B70C46" w14:textId="6ED47F44" w:rsidR="001530C0" w:rsidRPr="003A7A2B" w:rsidRDefault="001530C0" w:rsidP="005A1247">
            <w:pPr>
              <w:pStyle w:val="Normln10"/>
              <w:spacing w:before="0" w:line="240" w:lineRule="auto"/>
              <w:rPr>
                <w:rFonts w:cs="Arial"/>
                <w:sz w:val="22"/>
                <w:szCs w:val="22"/>
              </w:rPr>
            </w:pPr>
            <w:r w:rsidRPr="001D1C98">
              <w:rPr>
                <w:rFonts w:cs="Arial"/>
                <w:sz w:val="22"/>
                <w:szCs w:val="22"/>
              </w:rPr>
              <w:t>Řešit v</w:t>
            </w:r>
            <w:r w:rsidR="005A1247">
              <w:rPr>
                <w:rFonts w:cs="Arial"/>
                <w:sz w:val="22"/>
                <w:szCs w:val="22"/>
              </w:rPr>
              <w:t> </w:t>
            </w:r>
            <w:r w:rsidRPr="001D1C98">
              <w:rPr>
                <w:rFonts w:cs="Arial"/>
                <w:sz w:val="22"/>
                <w:szCs w:val="22"/>
              </w:rPr>
              <w:t xml:space="preserve">rámci NPŽP, </w:t>
            </w:r>
            <w:r w:rsidR="00042582">
              <w:rPr>
                <w:rFonts w:cs="Arial"/>
                <w:sz w:val="22"/>
                <w:szCs w:val="22"/>
              </w:rPr>
              <w:t>OP TAK</w:t>
            </w:r>
            <w:r w:rsidR="007E7A32">
              <w:rPr>
                <w:rFonts w:cs="Arial"/>
                <w:sz w:val="22"/>
                <w:szCs w:val="22"/>
              </w:rPr>
              <w:t> </w:t>
            </w:r>
            <w:r w:rsidRPr="001D1C98">
              <w:rPr>
                <w:rFonts w:cs="Arial"/>
                <w:sz w:val="22"/>
                <w:szCs w:val="22"/>
              </w:rPr>
              <w:t>– motivovat firmy provozující vozidla na svoz komunálního odpadu a</w:t>
            </w:r>
            <w:r w:rsidR="005A1247">
              <w:rPr>
                <w:rFonts w:cs="Arial"/>
                <w:sz w:val="22"/>
                <w:szCs w:val="22"/>
              </w:rPr>
              <w:t> </w:t>
            </w:r>
            <w:r w:rsidRPr="001D1C98">
              <w:rPr>
                <w:rFonts w:cs="Arial"/>
                <w:sz w:val="22"/>
                <w:szCs w:val="22"/>
              </w:rPr>
              <w:t>další smluvní služby pro města, aby využívaly výzev pro získání prostředků na pořízení nových ekologických vozů.</w:t>
            </w:r>
          </w:p>
        </w:tc>
      </w:tr>
      <w:tr w:rsidR="00E31D72" w:rsidRPr="003A7A2B" w14:paraId="1A3817EB" w14:textId="77777777" w:rsidTr="00B502A0">
        <w:tc>
          <w:tcPr>
            <w:tcW w:w="1984" w:type="dxa"/>
            <w:tcBorders>
              <w:left w:val="single" w:sz="12" w:space="0" w:color="auto"/>
              <w:right w:val="single" w:sz="12" w:space="0" w:color="auto"/>
            </w:tcBorders>
          </w:tcPr>
          <w:p w14:paraId="3183D89B" w14:textId="07D5E562" w:rsidR="001530C0" w:rsidRPr="003A7A2B" w:rsidRDefault="001530C0" w:rsidP="005A1247">
            <w:pPr>
              <w:pStyle w:val="Normln10"/>
              <w:spacing w:before="60" w:line="240" w:lineRule="auto"/>
              <w:rPr>
                <w:rFonts w:cs="Arial"/>
                <w:sz w:val="22"/>
                <w:szCs w:val="22"/>
              </w:rPr>
            </w:pPr>
            <w:r w:rsidRPr="003A7A2B">
              <w:rPr>
                <w:rFonts w:cs="Arial"/>
                <w:sz w:val="22"/>
                <w:szCs w:val="22"/>
              </w:rPr>
              <w:t>Příklad z</w:t>
            </w:r>
            <w:r w:rsidR="005A1247">
              <w:rPr>
                <w:rFonts w:cs="Arial"/>
                <w:sz w:val="22"/>
                <w:szCs w:val="22"/>
              </w:rPr>
              <w:t> </w:t>
            </w:r>
            <w:r w:rsidRPr="003A7A2B">
              <w:rPr>
                <w:rFonts w:cs="Arial"/>
                <w:sz w:val="22"/>
                <w:szCs w:val="22"/>
              </w:rPr>
              <w:t>praxe</w:t>
            </w:r>
          </w:p>
        </w:tc>
        <w:tc>
          <w:tcPr>
            <w:tcW w:w="7087" w:type="dxa"/>
            <w:tcBorders>
              <w:left w:val="single" w:sz="12" w:space="0" w:color="auto"/>
              <w:right w:val="single" w:sz="12" w:space="0" w:color="auto"/>
            </w:tcBorders>
          </w:tcPr>
          <w:p w14:paraId="2A1989C0" w14:textId="6EE7C9C2" w:rsidR="001530C0" w:rsidRPr="008267E7" w:rsidRDefault="001530C0" w:rsidP="00082A9D">
            <w:pPr>
              <w:pStyle w:val="Bullet1"/>
              <w:tabs>
                <w:tab w:val="clear" w:pos="567"/>
                <w:tab w:val="num" w:pos="303"/>
              </w:tabs>
              <w:spacing w:before="0" w:after="0"/>
              <w:ind w:left="303" w:hanging="303"/>
              <w:jc w:val="both"/>
            </w:pPr>
            <w:r w:rsidRPr="008267E7">
              <w:t>Pražské služby, a.s. provozují již více než 150 komunálních vozidel na CNG a</w:t>
            </w:r>
            <w:r w:rsidR="005A1247">
              <w:t> </w:t>
            </w:r>
            <w:r w:rsidRPr="008267E7">
              <w:t xml:space="preserve">pořízení dalších připravují. </w:t>
            </w:r>
          </w:p>
          <w:p w14:paraId="30C6639E" w14:textId="77777777" w:rsidR="001530C0" w:rsidRPr="008267E7" w:rsidRDefault="001530C0" w:rsidP="00082A9D">
            <w:pPr>
              <w:pStyle w:val="Bullet1"/>
              <w:tabs>
                <w:tab w:val="clear" w:pos="567"/>
                <w:tab w:val="num" w:pos="303"/>
              </w:tabs>
              <w:spacing w:before="0" w:after="0"/>
              <w:ind w:left="303" w:hanging="303"/>
              <w:jc w:val="both"/>
            </w:pPr>
            <w:r w:rsidRPr="008267E7">
              <w:t xml:space="preserve">Technické služby města Tábora využívají 12 vozidel na CNG. </w:t>
            </w:r>
          </w:p>
          <w:p w14:paraId="45E86835" w14:textId="5E5E4F58" w:rsidR="001530C0" w:rsidRPr="008267E7" w:rsidRDefault="001530C0" w:rsidP="00082A9D">
            <w:pPr>
              <w:pStyle w:val="Bullet1"/>
              <w:tabs>
                <w:tab w:val="clear" w:pos="567"/>
                <w:tab w:val="num" w:pos="303"/>
              </w:tabs>
              <w:spacing w:before="0" w:after="0"/>
              <w:ind w:left="303" w:hanging="303"/>
              <w:jc w:val="both"/>
            </w:pPr>
            <w:r w:rsidRPr="008267E7">
              <w:t>Další firmy provozující CNG komunální vozidla v</w:t>
            </w:r>
            <w:r w:rsidR="005A1247">
              <w:t> </w:t>
            </w:r>
            <w:r w:rsidRPr="008267E7">
              <w:t>ČR: AVE, A.S.A., Marius Pedersen nebo Komwag.</w:t>
            </w:r>
          </w:p>
          <w:p w14:paraId="7FF2A1DA" w14:textId="77777777" w:rsidR="001530C0" w:rsidRPr="003A7A2B" w:rsidRDefault="001530C0" w:rsidP="00082A9D">
            <w:pPr>
              <w:pStyle w:val="Bullet1"/>
              <w:tabs>
                <w:tab w:val="clear" w:pos="567"/>
                <w:tab w:val="num" w:pos="303"/>
              </w:tabs>
              <w:spacing w:before="0" w:after="0"/>
              <w:ind w:left="303" w:hanging="303"/>
              <w:jc w:val="both"/>
            </w:pPr>
            <w:r w:rsidRPr="008267E7">
              <w:t>Francie – Paříž plně elektrická vozidla na svoz komunálního odpadu (SITA).</w:t>
            </w:r>
          </w:p>
        </w:tc>
      </w:tr>
      <w:tr w:rsidR="00A35026" w:rsidRPr="003A7A2B" w14:paraId="5C6F57A4" w14:textId="77777777" w:rsidTr="00E31D72">
        <w:tc>
          <w:tcPr>
            <w:tcW w:w="1984" w:type="dxa"/>
            <w:tcBorders>
              <w:left w:val="single" w:sz="12" w:space="0" w:color="auto"/>
              <w:right w:val="single" w:sz="12" w:space="0" w:color="auto"/>
            </w:tcBorders>
          </w:tcPr>
          <w:p w14:paraId="74FA3F40" w14:textId="77777777" w:rsidR="00A35026" w:rsidRPr="003A7A2B" w:rsidRDefault="00A35026" w:rsidP="00E31D72">
            <w:pPr>
              <w:pStyle w:val="Normln10"/>
              <w:spacing w:before="60" w:line="240" w:lineRule="auto"/>
              <w:rPr>
                <w:rFonts w:cs="Arial"/>
                <w:sz w:val="22"/>
                <w:szCs w:val="22"/>
              </w:rPr>
            </w:pPr>
            <w:r w:rsidRPr="003A7A2B">
              <w:rPr>
                <w:rFonts w:cs="Arial"/>
                <w:sz w:val="22"/>
                <w:szCs w:val="22"/>
              </w:rPr>
              <w:t>Rozpočtový dopad / financování</w:t>
            </w:r>
          </w:p>
        </w:tc>
        <w:tc>
          <w:tcPr>
            <w:tcW w:w="7087" w:type="dxa"/>
            <w:tcBorders>
              <w:left w:val="single" w:sz="12" w:space="0" w:color="auto"/>
              <w:right w:val="single" w:sz="12" w:space="0" w:color="auto"/>
            </w:tcBorders>
          </w:tcPr>
          <w:p w14:paraId="3F5972E3" w14:textId="7CB4A794" w:rsidR="00A35026" w:rsidRPr="001D1C98" w:rsidRDefault="00A35026" w:rsidP="00A35026">
            <w:pPr>
              <w:pStyle w:val="Normln10"/>
              <w:spacing w:before="60" w:line="240" w:lineRule="auto"/>
              <w:rPr>
                <w:rFonts w:cs="Arial"/>
                <w:sz w:val="22"/>
                <w:szCs w:val="22"/>
              </w:rPr>
            </w:pPr>
            <w:r w:rsidRPr="001D1C98">
              <w:rPr>
                <w:rFonts w:cs="Arial"/>
                <w:sz w:val="22"/>
                <w:szCs w:val="22"/>
              </w:rPr>
              <w:t>Města a</w:t>
            </w:r>
            <w:r w:rsidR="005A1247">
              <w:rPr>
                <w:rFonts w:cs="Arial"/>
                <w:sz w:val="22"/>
                <w:szCs w:val="22"/>
              </w:rPr>
              <w:t> </w:t>
            </w:r>
            <w:r w:rsidRPr="001D1C98">
              <w:rPr>
                <w:rFonts w:cs="Arial"/>
                <w:sz w:val="22"/>
                <w:szCs w:val="22"/>
              </w:rPr>
              <w:t>obce dle svých rozpočtů vyčlení prostředky a:</w:t>
            </w:r>
          </w:p>
          <w:p w14:paraId="65993306" w14:textId="77777777" w:rsidR="00A35026" w:rsidRPr="001D1C98" w:rsidRDefault="00A35026" w:rsidP="00082A9D">
            <w:pPr>
              <w:pStyle w:val="Normln10"/>
              <w:numPr>
                <w:ilvl w:val="0"/>
                <w:numId w:val="59"/>
              </w:numPr>
              <w:spacing w:before="0" w:line="240" w:lineRule="auto"/>
              <w:ind w:left="303" w:hanging="303"/>
              <w:rPr>
                <w:rFonts w:cs="Arial"/>
                <w:sz w:val="22"/>
                <w:szCs w:val="22"/>
              </w:rPr>
            </w:pPr>
            <w:r w:rsidRPr="001D1C98">
              <w:rPr>
                <w:rFonts w:cs="Arial"/>
                <w:sz w:val="22"/>
                <w:szCs w:val="22"/>
              </w:rPr>
              <w:t>stanoví maximální částku podpory na snížení nákladů na pořízení nového ekologického vozu podle pořizovací ceny jeho srovnatelné naftové verze</w:t>
            </w:r>
          </w:p>
          <w:p w14:paraId="41474EBD" w14:textId="77777777" w:rsidR="00A35026" w:rsidRPr="001D1C98" w:rsidRDefault="00A35026" w:rsidP="00082A9D">
            <w:pPr>
              <w:pStyle w:val="Normln10"/>
              <w:numPr>
                <w:ilvl w:val="0"/>
                <w:numId w:val="59"/>
              </w:numPr>
              <w:spacing w:before="0" w:line="240" w:lineRule="auto"/>
              <w:ind w:left="303" w:hanging="303"/>
              <w:rPr>
                <w:rFonts w:cs="Arial"/>
                <w:sz w:val="22"/>
                <w:szCs w:val="22"/>
              </w:rPr>
            </w:pPr>
            <w:r w:rsidRPr="001D1C98">
              <w:rPr>
                <w:rFonts w:cs="Arial"/>
                <w:sz w:val="22"/>
                <w:szCs w:val="22"/>
              </w:rPr>
              <w:t>definují oprávněné žadatele</w:t>
            </w:r>
          </w:p>
          <w:p w14:paraId="67A46F2A" w14:textId="5C0BE9E6" w:rsidR="00A35026" w:rsidRPr="001D1C98" w:rsidRDefault="00A35026" w:rsidP="00082A9D">
            <w:pPr>
              <w:pStyle w:val="Normln10"/>
              <w:numPr>
                <w:ilvl w:val="0"/>
                <w:numId w:val="59"/>
              </w:numPr>
              <w:spacing w:before="0" w:line="240" w:lineRule="auto"/>
              <w:ind w:left="303" w:hanging="303"/>
              <w:rPr>
                <w:rFonts w:cs="Arial"/>
                <w:sz w:val="22"/>
                <w:szCs w:val="22"/>
              </w:rPr>
            </w:pPr>
            <w:r w:rsidRPr="001D1C98">
              <w:rPr>
                <w:rFonts w:cs="Arial"/>
                <w:sz w:val="22"/>
                <w:szCs w:val="22"/>
              </w:rPr>
              <w:t>stanoví lhůtu, po kterou takto pořízená vozidla musí zůstat ve službě pro město, případně v</w:t>
            </w:r>
            <w:r w:rsidR="005A1247">
              <w:rPr>
                <w:rFonts w:cs="Arial"/>
                <w:sz w:val="22"/>
                <w:szCs w:val="22"/>
              </w:rPr>
              <w:t> </w:t>
            </w:r>
            <w:r w:rsidRPr="001D1C98">
              <w:rPr>
                <w:rFonts w:cs="Arial"/>
                <w:sz w:val="22"/>
                <w:szCs w:val="22"/>
              </w:rPr>
              <w:t>majetku žadatele o</w:t>
            </w:r>
            <w:r w:rsidR="005A1247">
              <w:rPr>
                <w:rFonts w:cs="Arial"/>
                <w:sz w:val="22"/>
                <w:szCs w:val="22"/>
              </w:rPr>
              <w:t> </w:t>
            </w:r>
            <w:r w:rsidRPr="001D1C98">
              <w:rPr>
                <w:rFonts w:cs="Arial"/>
                <w:sz w:val="22"/>
                <w:szCs w:val="22"/>
              </w:rPr>
              <w:t>podporu</w:t>
            </w:r>
          </w:p>
          <w:p w14:paraId="2A499B8A" w14:textId="6DA1F636" w:rsidR="00A35026" w:rsidRPr="001D1C98" w:rsidRDefault="00A35026" w:rsidP="00082A9D">
            <w:pPr>
              <w:pStyle w:val="Normln10"/>
              <w:numPr>
                <w:ilvl w:val="0"/>
                <w:numId w:val="59"/>
              </w:numPr>
              <w:spacing w:before="0" w:line="240" w:lineRule="auto"/>
              <w:ind w:left="303" w:hanging="303"/>
              <w:rPr>
                <w:rFonts w:cs="Arial"/>
                <w:sz w:val="22"/>
                <w:szCs w:val="22"/>
              </w:rPr>
            </w:pPr>
            <w:r w:rsidRPr="001D1C98">
              <w:rPr>
                <w:rFonts w:cs="Arial"/>
                <w:sz w:val="22"/>
                <w:szCs w:val="22"/>
              </w:rPr>
              <w:t>podle výše, stanovených podmínek a</w:t>
            </w:r>
            <w:r w:rsidR="005A1247">
              <w:rPr>
                <w:rFonts w:cs="Arial"/>
                <w:sz w:val="22"/>
                <w:szCs w:val="22"/>
              </w:rPr>
              <w:t> </w:t>
            </w:r>
            <w:r w:rsidRPr="001D1C98">
              <w:rPr>
                <w:rFonts w:cs="Arial"/>
                <w:sz w:val="22"/>
                <w:szCs w:val="22"/>
              </w:rPr>
              <w:t>ve vazbě ke svým investičním plánům si města a</w:t>
            </w:r>
            <w:r w:rsidR="005A1247">
              <w:rPr>
                <w:rFonts w:cs="Arial"/>
                <w:sz w:val="22"/>
                <w:szCs w:val="22"/>
              </w:rPr>
              <w:t> </w:t>
            </w:r>
            <w:r w:rsidRPr="001D1C98">
              <w:rPr>
                <w:rFonts w:cs="Arial"/>
                <w:sz w:val="22"/>
                <w:szCs w:val="22"/>
              </w:rPr>
              <w:t>obce každoročně přehodnotí novou výši podpory.</w:t>
            </w:r>
          </w:p>
          <w:p w14:paraId="64E0CB95" w14:textId="77777777" w:rsidR="00A35026" w:rsidRPr="001D1C98" w:rsidRDefault="00A35026" w:rsidP="00B502A0">
            <w:pPr>
              <w:pStyle w:val="Normln10"/>
              <w:spacing w:before="0" w:line="240" w:lineRule="auto"/>
              <w:rPr>
                <w:rFonts w:cs="Arial"/>
                <w:sz w:val="22"/>
                <w:szCs w:val="22"/>
              </w:rPr>
            </w:pPr>
            <w:r w:rsidRPr="001D1C98">
              <w:rPr>
                <w:rFonts w:cs="Arial"/>
                <w:sz w:val="22"/>
                <w:szCs w:val="22"/>
              </w:rPr>
              <w:t>Spolufinancování prostřednictvím:</w:t>
            </w:r>
          </w:p>
          <w:p w14:paraId="1EEEF3CA" w14:textId="3F142425" w:rsidR="00A35026" w:rsidRPr="001D1C98" w:rsidRDefault="00A35026" w:rsidP="00082A9D">
            <w:pPr>
              <w:pStyle w:val="Bullet1"/>
              <w:tabs>
                <w:tab w:val="clear" w:pos="567"/>
                <w:tab w:val="num" w:pos="303"/>
              </w:tabs>
              <w:spacing w:before="0" w:after="0"/>
              <w:ind w:left="303" w:hanging="283"/>
              <w:jc w:val="both"/>
            </w:pPr>
            <w:r>
              <w:t>NP</w:t>
            </w:r>
            <w:r w:rsidR="00042582">
              <w:t>ŽP</w:t>
            </w:r>
            <w:r w:rsidRPr="001D1C98">
              <w:t xml:space="preserve"> využít dotace na vozidla s</w:t>
            </w:r>
            <w:r w:rsidR="005A1247">
              <w:t> </w:t>
            </w:r>
            <w:r w:rsidRPr="001D1C98">
              <w:t>nízkými nebo nulovými emisemi.</w:t>
            </w:r>
          </w:p>
          <w:p w14:paraId="500B4BFF" w14:textId="6333149F" w:rsidR="00A35026" w:rsidRPr="001D1C98" w:rsidRDefault="00042582" w:rsidP="005A1247">
            <w:pPr>
              <w:pStyle w:val="Bullet1"/>
              <w:tabs>
                <w:tab w:val="clear" w:pos="567"/>
                <w:tab w:val="num" w:pos="303"/>
              </w:tabs>
              <w:spacing w:before="0" w:after="0"/>
              <w:ind w:left="303" w:hanging="283"/>
              <w:rPr>
                <w:rFonts w:cs="Arial"/>
                <w:szCs w:val="22"/>
              </w:rPr>
            </w:pPr>
            <w:r>
              <w:t>OP TAK</w:t>
            </w:r>
            <w:r w:rsidR="007E7A32">
              <w:t> </w:t>
            </w:r>
            <w:r w:rsidR="00A35026" w:rsidRPr="001D1C98">
              <w:t>– podniky, které smluvně zajišťují komunální služby pro města a</w:t>
            </w:r>
            <w:r w:rsidR="005A1247">
              <w:t> </w:t>
            </w:r>
            <w:r w:rsidR="00A35026" w:rsidRPr="001D1C98">
              <w:t xml:space="preserve">obce mají možnost využít výzvy </w:t>
            </w:r>
            <w:r>
              <w:t>OP TAK</w:t>
            </w:r>
            <w:r w:rsidR="007E7A32">
              <w:t> </w:t>
            </w:r>
            <w:r w:rsidR="00A35026" w:rsidRPr="001D1C98">
              <w:t>pro získání prostředků na pořízení vozidel na alternativní pohon v</w:t>
            </w:r>
            <w:r w:rsidR="005A1247">
              <w:t> </w:t>
            </w:r>
            <w:r w:rsidR="00A35026" w:rsidRPr="001D1C98">
              <w:t>rámci obnovy svého vozového parku.</w:t>
            </w:r>
          </w:p>
        </w:tc>
      </w:tr>
      <w:tr w:rsidR="00E31D72" w:rsidRPr="003A7A2B" w14:paraId="3B7D3F16" w14:textId="77777777" w:rsidTr="00B502A0">
        <w:tc>
          <w:tcPr>
            <w:tcW w:w="1984" w:type="dxa"/>
            <w:tcBorders>
              <w:left w:val="single" w:sz="12" w:space="0" w:color="auto"/>
              <w:right w:val="single" w:sz="12" w:space="0" w:color="auto"/>
            </w:tcBorders>
          </w:tcPr>
          <w:p w14:paraId="36821EE6" w14:textId="77777777" w:rsidR="001530C0" w:rsidRPr="003A7A2B" w:rsidRDefault="001530C0" w:rsidP="00B502A0">
            <w:pPr>
              <w:pStyle w:val="Normln10"/>
              <w:spacing w:before="0" w:line="240" w:lineRule="auto"/>
              <w:rPr>
                <w:rFonts w:cs="Arial"/>
                <w:sz w:val="22"/>
                <w:szCs w:val="22"/>
              </w:rPr>
            </w:pPr>
            <w:r w:rsidRPr="003A7A2B">
              <w:rPr>
                <w:rFonts w:cs="Arial"/>
                <w:sz w:val="22"/>
                <w:szCs w:val="22"/>
              </w:rPr>
              <w:t>Odpovědnost</w:t>
            </w:r>
          </w:p>
        </w:tc>
        <w:tc>
          <w:tcPr>
            <w:tcW w:w="7087" w:type="dxa"/>
            <w:tcBorders>
              <w:left w:val="single" w:sz="12" w:space="0" w:color="auto"/>
              <w:right w:val="single" w:sz="12" w:space="0" w:color="auto"/>
            </w:tcBorders>
            <w:vAlign w:val="center"/>
          </w:tcPr>
          <w:p w14:paraId="38E81BBF" w14:textId="77777777" w:rsidR="001530C0" w:rsidRPr="003A7A2B" w:rsidRDefault="001530C0" w:rsidP="00B502A0">
            <w:pPr>
              <w:pStyle w:val="Normln10"/>
              <w:spacing w:before="0" w:line="240" w:lineRule="auto"/>
              <w:jc w:val="left"/>
              <w:rPr>
                <w:rFonts w:cs="Arial"/>
                <w:sz w:val="22"/>
                <w:szCs w:val="22"/>
              </w:rPr>
            </w:pPr>
            <w:r>
              <w:rPr>
                <w:rFonts w:cs="Arial"/>
                <w:sz w:val="22"/>
                <w:szCs w:val="22"/>
              </w:rPr>
              <w:t>MPO</w:t>
            </w:r>
          </w:p>
        </w:tc>
      </w:tr>
      <w:tr w:rsidR="00E31D72" w:rsidRPr="003A7A2B" w14:paraId="0D7CBC00" w14:textId="77777777" w:rsidTr="00B502A0">
        <w:tc>
          <w:tcPr>
            <w:tcW w:w="1984" w:type="dxa"/>
            <w:tcBorders>
              <w:top w:val="single" w:sz="8" w:space="0" w:color="auto"/>
              <w:left w:val="single" w:sz="12" w:space="0" w:color="auto"/>
              <w:bottom w:val="single" w:sz="8" w:space="0" w:color="auto"/>
              <w:right w:val="single" w:sz="12" w:space="0" w:color="auto"/>
            </w:tcBorders>
          </w:tcPr>
          <w:p w14:paraId="4EE9FA85" w14:textId="77777777" w:rsidR="001530C0" w:rsidRPr="003A7A2B" w:rsidRDefault="001530C0" w:rsidP="00B502A0">
            <w:pPr>
              <w:pStyle w:val="Normln10"/>
              <w:spacing w:before="0" w:line="240" w:lineRule="auto"/>
              <w:rPr>
                <w:rFonts w:cs="Arial"/>
                <w:sz w:val="22"/>
                <w:szCs w:val="22"/>
              </w:rPr>
            </w:pPr>
            <w:r w:rsidRPr="003A7A2B">
              <w:rPr>
                <w:rFonts w:cs="Arial"/>
                <w:sz w:val="22"/>
                <w:szCs w:val="22"/>
              </w:rPr>
              <w:t>Spolupráce</w:t>
            </w:r>
          </w:p>
        </w:tc>
        <w:tc>
          <w:tcPr>
            <w:tcW w:w="7087" w:type="dxa"/>
            <w:tcBorders>
              <w:top w:val="single" w:sz="8" w:space="0" w:color="auto"/>
              <w:left w:val="single" w:sz="12" w:space="0" w:color="auto"/>
              <w:bottom w:val="single" w:sz="8" w:space="0" w:color="auto"/>
              <w:right w:val="single" w:sz="12" w:space="0" w:color="auto"/>
            </w:tcBorders>
            <w:vAlign w:val="center"/>
          </w:tcPr>
          <w:p w14:paraId="013C9DC2" w14:textId="77777777" w:rsidR="001530C0" w:rsidRPr="003A7A2B" w:rsidRDefault="001530C0" w:rsidP="00B502A0">
            <w:pPr>
              <w:pStyle w:val="Normln10"/>
              <w:spacing w:before="0" w:line="240" w:lineRule="auto"/>
              <w:jc w:val="left"/>
              <w:rPr>
                <w:rFonts w:cs="Arial"/>
                <w:sz w:val="22"/>
                <w:szCs w:val="22"/>
              </w:rPr>
            </w:pPr>
            <w:r>
              <w:rPr>
                <w:rFonts w:cs="Arial"/>
                <w:sz w:val="22"/>
                <w:szCs w:val="22"/>
              </w:rPr>
              <w:t>MMR, MŽP</w:t>
            </w:r>
          </w:p>
        </w:tc>
      </w:tr>
      <w:tr w:rsidR="00E31D72" w:rsidRPr="003A7A2B" w14:paraId="5DB5DF36" w14:textId="77777777" w:rsidTr="00B502A0">
        <w:tc>
          <w:tcPr>
            <w:tcW w:w="1984" w:type="dxa"/>
            <w:tcBorders>
              <w:top w:val="single" w:sz="8" w:space="0" w:color="auto"/>
              <w:left w:val="single" w:sz="12" w:space="0" w:color="auto"/>
              <w:bottom w:val="single" w:sz="12" w:space="0" w:color="auto"/>
              <w:right w:val="single" w:sz="12" w:space="0" w:color="auto"/>
            </w:tcBorders>
          </w:tcPr>
          <w:p w14:paraId="0544F909" w14:textId="77777777" w:rsidR="001530C0" w:rsidRPr="003A7A2B" w:rsidRDefault="001530C0" w:rsidP="00B502A0">
            <w:pPr>
              <w:pStyle w:val="Normln10"/>
              <w:spacing w:before="0" w:line="240" w:lineRule="auto"/>
              <w:rPr>
                <w:rFonts w:cs="Arial"/>
                <w:sz w:val="22"/>
                <w:szCs w:val="22"/>
              </w:rPr>
            </w:pPr>
            <w:r w:rsidRPr="003A7A2B">
              <w:rPr>
                <w:rFonts w:cs="Arial"/>
                <w:sz w:val="22"/>
                <w:szCs w:val="22"/>
              </w:rPr>
              <w:t>Termín</w:t>
            </w:r>
          </w:p>
        </w:tc>
        <w:tc>
          <w:tcPr>
            <w:tcW w:w="7087" w:type="dxa"/>
            <w:tcBorders>
              <w:top w:val="single" w:sz="8" w:space="0" w:color="auto"/>
              <w:left w:val="single" w:sz="12" w:space="0" w:color="auto"/>
              <w:bottom w:val="single" w:sz="12" w:space="0" w:color="auto"/>
              <w:right w:val="single" w:sz="12" w:space="0" w:color="auto"/>
            </w:tcBorders>
            <w:vAlign w:val="center"/>
          </w:tcPr>
          <w:p w14:paraId="4212939E" w14:textId="77777777" w:rsidR="001530C0" w:rsidRPr="003A7A2B" w:rsidRDefault="001530C0" w:rsidP="00B502A0">
            <w:pPr>
              <w:pStyle w:val="Normln10"/>
              <w:spacing w:before="0" w:line="240" w:lineRule="auto"/>
              <w:jc w:val="left"/>
              <w:rPr>
                <w:rFonts w:cs="Arial"/>
                <w:sz w:val="22"/>
                <w:szCs w:val="22"/>
              </w:rPr>
            </w:pPr>
            <w:r w:rsidRPr="001D1C98">
              <w:rPr>
                <w:rFonts w:cs="Arial"/>
                <w:sz w:val="22"/>
                <w:szCs w:val="22"/>
              </w:rPr>
              <w:t>Průběžně od roku 2020</w:t>
            </w:r>
          </w:p>
        </w:tc>
      </w:tr>
    </w:tbl>
    <w:p w14:paraId="254115CD" w14:textId="6F736210" w:rsidR="001530C0" w:rsidRDefault="001530C0" w:rsidP="00B502A0">
      <w:pPr>
        <w:pStyle w:val="Nadpis3"/>
      </w:pPr>
      <w:bookmarkStart w:id="91" w:name="_Toc21589151"/>
      <w:r>
        <w:lastRenderedPageBreak/>
        <w:t>S</w:t>
      </w:r>
      <w:r w:rsidR="00082A9D">
        <w:t>9</w:t>
      </w:r>
      <w:r>
        <w:t xml:space="preserve"> </w:t>
      </w:r>
      <w:r w:rsidRPr="00E3449F">
        <w:t>Podpora pořízení vozidel na alternativní paliva do flotil dopravních podniků a</w:t>
      </w:r>
      <w:r w:rsidR="005A1247">
        <w:t> </w:t>
      </w:r>
      <w:r w:rsidRPr="00E3449F">
        <w:t>do flotil dopravců zajišťujících veřejnou dopravu</w:t>
      </w:r>
      <w:bookmarkEnd w:id="91"/>
    </w:p>
    <w:tbl>
      <w:tblPr>
        <w:tblW w:w="0" w:type="auto"/>
        <w:jc w:val="center"/>
        <w:tblCellMar>
          <w:left w:w="0" w:type="dxa"/>
          <w:right w:w="0" w:type="dxa"/>
        </w:tblCellMar>
        <w:tblLook w:val="00A0" w:firstRow="1" w:lastRow="0" w:firstColumn="1" w:lastColumn="0" w:noHBand="0" w:noVBand="0"/>
      </w:tblPr>
      <w:tblGrid>
        <w:gridCol w:w="1981"/>
        <w:gridCol w:w="7061"/>
      </w:tblGrid>
      <w:tr w:rsidR="001530C0" w:rsidRPr="00D5678F" w14:paraId="66FFEF15" w14:textId="77777777" w:rsidTr="00B502A0">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4CEE24A0" w14:textId="035A5DA4" w:rsidR="001530C0" w:rsidRPr="00D5678F" w:rsidRDefault="001530C0" w:rsidP="005A1247">
            <w:pPr>
              <w:pStyle w:val="Zhlavtabulky"/>
              <w:spacing w:before="60" w:after="60"/>
              <w:jc w:val="both"/>
              <w:rPr>
                <w:rFonts w:cs="Arial"/>
                <w:szCs w:val="22"/>
              </w:rPr>
            </w:pPr>
            <w:r w:rsidRPr="003A3332">
              <w:rPr>
                <w:rFonts w:cs="Arial"/>
                <w:color w:val="FFFFFF" w:themeColor="background1"/>
                <w:szCs w:val="22"/>
              </w:rPr>
              <w:t>S</w:t>
            </w:r>
            <w:r w:rsidR="00082A9D">
              <w:rPr>
                <w:rFonts w:cs="Arial"/>
                <w:color w:val="FFFFFF" w:themeColor="background1"/>
                <w:szCs w:val="22"/>
              </w:rPr>
              <w:t>9</w:t>
            </w:r>
            <w:r>
              <w:rPr>
                <w:rFonts w:cs="Arial"/>
                <w:color w:val="FFFFFF" w:themeColor="background1"/>
                <w:szCs w:val="22"/>
              </w:rPr>
              <w:t xml:space="preserve"> </w:t>
            </w:r>
            <w:r w:rsidRPr="003A3332">
              <w:rPr>
                <w:rFonts w:cs="Arial"/>
                <w:color w:val="FFFFFF" w:themeColor="background1"/>
                <w:szCs w:val="22"/>
              </w:rPr>
              <w:t>Podpora pořízení vozidel na alternativní paliva do flotil dopravních podniků a</w:t>
            </w:r>
            <w:r w:rsidR="005A1247">
              <w:rPr>
                <w:rFonts w:cs="Arial"/>
                <w:color w:val="FFFFFF" w:themeColor="background1"/>
                <w:szCs w:val="22"/>
              </w:rPr>
              <w:t> </w:t>
            </w:r>
            <w:r w:rsidRPr="003A3332">
              <w:rPr>
                <w:rFonts w:cs="Arial"/>
                <w:color w:val="FFFFFF" w:themeColor="background1"/>
                <w:szCs w:val="22"/>
              </w:rPr>
              <w:t>do flotil dopravců zajišťujících</w:t>
            </w:r>
            <w:r w:rsidR="00210AA9">
              <w:rPr>
                <w:rFonts w:cs="Arial"/>
                <w:color w:val="FFFFFF" w:themeColor="background1"/>
                <w:szCs w:val="22"/>
              </w:rPr>
              <w:t> </w:t>
            </w:r>
            <w:r w:rsidRPr="003A3332">
              <w:rPr>
                <w:rFonts w:cs="Arial"/>
                <w:color w:val="FFFFFF" w:themeColor="background1"/>
                <w:szCs w:val="22"/>
              </w:rPr>
              <w:t xml:space="preserve">veřejnou dopravu </w:t>
            </w:r>
          </w:p>
        </w:tc>
      </w:tr>
      <w:tr w:rsidR="001530C0" w:rsidRPr="00D5678F" w14:paraId="6576CCA7" w14:textId="77777777" w:rsidTr="00B502A0">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0383D41F" w14:textId="77777777" w:rsidR="001530C0" w:rsidRPr="00E3449F" w:rsidRDefault="001530C0" w:rsidP="009A3B7E">
            <w:pPr>
              <w:spacing w:before="60" w:after="60"/>
              <w:jc w:val="both"/>
              <w:rPr>
                <w:rFonts w:cs="Arial"/>
                <w:szCs w:val="22"/>
              </w:rPr>
            </w:pPr>
            <w:r w:rsidRPr="00E3449F">
              <w:rPr>
                <w:rFonts w:cs="Arial"/>
                <w:szCs w:val="22"/>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736D546B" w14:textId="77777777" w:rsidR="001530C0" w:rsidRDefault="001530C0" w:rsidP="00B502A0">
            <w:pPr>
              <w:pStyle w:val="Normln10"/>
              <w:spacing w:before="60" w:line="240" w:lineRule="auto"/>
              <w:rPr>
                <w:rFonts w:cs="Arial"/>
                <w:sz w:val="22"/>
                <w:szCs w:val="22"/>
              </w:rPr>
            </w:pPr>
            <w:r>
              <w:rPr>
                <w:rFonts w:cs="Arial"/>
                <w:sz w:val="22"/>
                <w:szCs w:val="22"/>
              </w:rPr>
              <w:t>Rozvoj trhu elektrických vozidel</w:t>
            </w:r>
            <w:r w:rsidR="00EC10F9">
              <w:rPr>
                <w:rFonts w:cs="Arial"/>
                <w:sz w:val="22"/>
                <w:szCs w:val="22"/>
              </w:rPr>
              <w:t xml:space="preserve"> (kap. 2.4.1.)</w:t>
            </w:r>
          </w:p>
          <w:p w14:paraId="444C7EB0" w14:textId="77777777" w:rsidR="001530C0" w:rsidRDefault="001530C0" w:rsidP="00B502A0">
            <w:pPr>
              <w:pStyle w:val="Normln10"/>
              <w:spacing w:before="60" w:line="240" w:lineRule="auto"/>
              <w:rPr>
                <w:rFonts w:cs="Arial"/>
                <w:sz w:val="22"/>
                <w:szCs w:val="22"/>
              </w:rPr>
            </w:pPr>
            <w:r>
              <w:rPr>
                <w:rFonts w:cs="Arial"/>
                <w:sz w:val="22"/>
                <w:szCs w:val="22"/>
              </w:rPr>
              <w:t>Rozvoj trhu vozidel na zemní plyn</w:t>
            </w:r>
            <w:r w:rsidR="00EC10F9">
              <w:rPr>
                <w:rFonts w:cs="Arial"/>
                <w:sz w:val="22"/>
                <w:szCs w:val="22"/>
              </w:rPr>
              <w:t xml:space="preserve"> (kap. 3.3.1.)</w:t>
            </w:r>
          </w:p>
          <w:p w14:paraId="45A4FC7B" w14:textId="77777777" w:rsidR="006C6305" w:rsidRPr="002B095B" w:rsidRDefault="006C6305" w:rsidP="00B502A0">
            <w:pPr>
              <w:pStyle w:val="Normln10"/>
              <w:spacing w:before="60" w:line="240" w:lineRule="auto"/>
              <w:rPr>
                <w:rFonts w:cs="Arial"/>
                <w:szCs w:val="22"/>
              </w:rPr>
            </w:pPr>
            <w:r w:rsidRPr="00B502A0">
              <w:rPr>
                <w:rFonts w:cs="Arial"/>
                <w:sz w:val="22"/>
              </w:rPr>
              <w:t>Rozvoj trhu vodíkových vozidel</w:t>
            </w:r>
            <w:r w:rsidR="00EC10F9">
              <w:rPr>
                <w:rFonts w:cs="Arial"/>
                <w:sz w:val="22"/>
              </w:rPr>
              <w:t xml:space="preserve"> (kap. 4.3.1.)</w:t>
            </w:r>
          </w:p>
        </w:tc>
      </w:tr>
      <w:tr w:rsidR="001530C0" w:rsidRPr="00D5678F" w14:paraId="3FAD2CED"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99617EF" w14:textId="77777777" w:rsidR="001530C0" w:rsidRPr="00E3449F" w:rsidRDefault="001530C0" w:rsidP="009A3B7E">
            <w:pPr>
              <w:spacing w:before="60" w:after="60"/>
              <w:jc w:val="both"/>
              <w:rPr>
                <w:rFonts w:cs="Arial"/>
                <w:szCs w:val="22"/>
              </w:rPr>
            </w:pPr>
            <w:r w:rsidRPr="00E3449F">
              <w:rPr>
                <w:rFonts w:cs="Arial"/>
                <w:szCs w:val="22"/>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E20E991" w14:textId="3C1E967E" w:rsidR="001530C0" w:rsidRPr="00E3449F" w:rsidRDefault="001530C0" w:rsidP="005A1247">
            <w:pPr>
              <w:spacing w:before="60" w:after="0"/>
              <w:jc w:val="both"/>
              <w:rPr>
                <w:rFonts w:cs="Arial"/>
                <w:szCs w:val="22"/>
              </w:rPr>
            </w:pPr>
            <w:r w:rsidRPr="00D319E0">
              <w:rPr>
                <w:rFonts w:cs="Arial"/>
                <w:szCs w:val="22"/>
              </w:rPr>
              <w:t>Pokračovat v</w:t>
            </w:r>
            <w:r w:rsidR="005A1247">
              <w:rPr>
                <w:rFonts w:cs="Arial"/>
                <w:szCs w:val="22"/>
              </w:rPr>
              <w:t> </w:t>
            </w:r>
            <w:r w:rsidRPr="00D319E0">
              <w:rPr>
                <w:rFonts w:cs="Arial"/>
                <w:szCs w:val="22"/>
              </w:rPr>
              <w:t>podpoře nákupu vozidel na alternativní paliva tak, aby dopravci ve veřejné dopravě provozovali nízkoemisní/bezemisní vozové parky silničních vozidel.</w:t>
            </w:r>
          </w:p>
        </w:tc>
      </w:tr>
      <w:tr w:rsidR="001530C0" w:rsidRPr="00D5678F" w14:paraId="323CFD86"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71A16459" w14:textId="77777777" w:rsidR="001530C0" w:rsidRPr="00E3449F" w:rsidRDefault="001530C0" w:rsidP="009A3B7E">
            <w:pPr>
              <w:spacing w:before="60" w:after="60"/>
              <w:jc w:val="both"/>
              <w:rPr>
                <w:rFonts w:cs="Arial"/>
                <w:szCs w:val="22"/>
              </w:rPr>
            </w:pPr>
            <w:r w:rsidRPr="00E3449F">
              <w:rPr>
                <w:rFonts w:cs="Arial"/>
                <w:szCs w:val="22"/>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793ABE2" w14:textId="5AFBD290" w:rsidR="001530C0" w:rsidRPr="00F37F37" w:rsidRDefault="001530C0" w:rsidP="00B502A0">
            <w:pPr>
              <w:spacing w:before="0" w:after="0"/>
              <w:jc w:val="both"/>
              <w:rPr>
                <w:rFonts w:cs="Arial"/>
                <w:sz w:val="21"/>
                <w:szCs w:val="21"/>
              </w:rPr>
            </w:pPr>
            <w:r w:rsidRPr="00F37F37">
              <w:rPr>
                <w:rFonts w:cs="Arial"/>
                <w:sz w:val="21"/>
                <w:szCs w:val="21"/>
              </w:rPr>
              <w:t>Formou dotace přispět dopravcům poskytujícím veřejné služby v</w:t>
            </w:r>
            <w:r w:rsidR="005A1247">
              <w:rPr>
                <w:rFonts w:cs="Arial"/>
                <w:sz w:val="21"/>
                <w:szCs w:val="21"/>
              </w:rPr>
              <w:t> </w:t>
            </w:r>
            <w:r w:rsidRPr="00F37F37">
              <w:rPr>
                <w:rFonts w:cs="Arial"/>
                <w:sz w:val="21"/>
                <w:szCs w:val="21"/>
              </w:rPr>
              <w:t>přepravě cestujících na pořízení elektrobusů</w:t>
            </w:r>
            <w:r w:rsidR="006C6305" w:rsidRPr="00F37F37">
              <w:rPr>
                <w:rFonts w:cs="Arial"/>
                <w:sz w:val="21"/>
                <w:szCs w:val="21"/>
              </w:rPr>
              <w:t xml:space="preserve"> (i vodíkových)</w:t>
            </w:r>
            <w:r w:rsidRPr="00F37F37">
              <w:rPr>
                <w:rFonts w:cs="Arial"/>
                <w:sz w:val="21"/>
                <w:szCs w:val="21"/>
              </w:rPr>
              <w:t xml:space="preserve"> nebo CNG autobusů.</w:t>
            </w:r>
          </w:p>
          <w:p w14:paraId="47D9E958" w14:textId="1E2599C0" w:rsidR="001530C0" w:rsidRPr="00F37F37" w:rsidRDefault="001530C0" w:rsidP="00B502A0">
            <w:pPr>
              <w:spacing w:before="0" w:after="0"/>
              <w:jc w:val="both"/>
              <w:rPr>
                <w:rFonts w:cs="Arial"/>
                <w:sz w:val="21"/>
                <w:szCs w:val="21"/>
              </w:rPr>
            </w:pPr>
            <w:r w:rsidRPr="00F37F37">
              <w:rPr>
                <w:rFonts w:cs="Arial"/>
                <w:sz w:val="21"/>
                <w:szCs w:val="21"/>
              </w:rPr>
              <w:t>Systém podpory bude nastaven tak, aby zohledňoval výše emisí produkovaných těmito vozidly, v</w:t>
            </w:r>
            <w:r w:rsidR="005A1247">
              <w:rPr>
                <w:rFonts w:cs="Arial"/>
                <w:sz w:val="21"/>
                <w:szCs w:val="21"/>
              </w:rPr>
              <w:t> </w:t>
            </w:r>
            <w:r w:rsidRPr="00F37F37">
              <w:rPr>
                <w:rFonts w:cs="Arial"/>
                <w:sz w:val="21"/>
                <w:szCs w:val="21"/>
              </w:rPr>
              <w:t>případě CNG autobusů budou upřednostňována vozidla využívající biometan.</w:t>
            </w:r>
          </w:p>
          <w:p w14:paraId="0DD9A5D2" w14:textId="398A6B38" w:rsidR="001530C0" w:rsidRPr="00F37F37" w:rsidRDefault="001530C0" w:rsidP="00B502A0">
            <w:pPr>
              <w:spacing w:before="0" w:after="0"/>
              <w:jc w:val="both"/>
              <w:rPr>
                <w:rFonts w:cs="Arial"/>
                <w:sz w:val="21"/>
                <w:szCs w:val="21"/>
              </w:rPr>
            </w:pPr>
            <w:r w:rsidRPr="00F37F37">
              <w:rPr>
                <w:rFonts w:cs="Arial"/>
                <w:sz w:val="21"/>
                <w:szCs w:val="21"/>
              </w:rPr>
              <w:t>V souladu se závazkem veřejné služby zajistit, aby dopravci pořizovali bezemisní vozidla a</w:t>
            </w:r>
            <w:r w:rsidR="005A1247">
              <w:rPr>
                <w:rFonts w:cs="Arial"/>
                <w:sz w:val="21"/>
                <w:szCs w:val="21"/>
              </w:rPr>
              <w:t> </w:t>
            </w:r>
            <w:r w:rsidRPr="00F37F37">
              <w:rPr>
                <w:rFonts w:cs="Arial"/>
                <w:sz w:val="21"/>
                <w:szCs w:val="21"/>
              </w:rPr>
              <w:t>vozidla na alternativní paliva (CNG, elektrobusy</w:t>
            </w:r>
            <w:r w:rsidR="006C6305" w:rsidRPr="00F37F37">
              <w:rPr>
                <w:rFonts w:cs="Arial"/>
                <w:sz w:val="21"/>
                <w:szCs w:val="21"/>
              </w:rPr>
              <w:t xml:space="preserve"> (i vodík)</w:t>
            </w:r>
            <w:r w:rsidRPr="00F37F37">
              <w:rPr>
                <w:rFonts w:cs="Arial"/>
                <w:sz w:val="21"/>
                <w:szCs w:val="21"/>
              </w:rPr>
              <w:t xml:space="preserve">, trolejbusy včetně parciálních trolejbusů) do svých flotil. </w:t>
            </w:r>
          </w:p>
          <w:p w14:paraId="71BB1C63" w14:textId="79A9AEC5" w:rsidR="001530C0" w:rsidRPr="00F37F37" w:rsidRDefault="001530C0" w:rsidP="005A1247">
            <w:pPr>
              <w:pStyle w:val="Normln10"/>
              <w:spacing w:before="0" w:line="240" w:lineRule="auto"/>
              <w:rPr>
                <w:rFonts w:cs="Arial"/>
                <w:sz w:val="21"/>
                <w:szCs w:val="21"/>
              </w:rPr>
            </w:pPr>
            <w:r w:rsidRPr="00F37F37">
              <w:rPr>
                <w:rFonts w:cs="Arial"/>
                <w:sz w:val="21"/>
                <w:szCs w:val="21"/>
              </w:rPr>
              <w:t>Toto opatření se navrhuje v</w:t>
            </w:r>
            <w:r w:rsidR="005A1247">
              <w:rPr>
                <w:rFonts w:cs="Arial"/>
                <w:sz w:val="21"/>
                <w:szCs w:val="21"/>
              </w:rPr>
              <w:t> </w:t>
            </w:r>
            <w:r w:rsidRPr="00F37F37">
              <w:rPr>
                <w:rFonts w:cs="Arial"/>
                <w:sz w:val="21"/>
                <w:szCs w:val="21"/>
              </w:rPr>
              <w:t>návaznosti na požadavek směrnice 2014/94/EU (čl. 3), aby vnitrostátní rámec politiky pro rozvoj trhu obsahoval mj. opatření, jež mohou napomoci při zavádění infrastruktury pro alternativní paliva ve službách veřejné dopravy. Opatření je významné i</w:t>
            </w:r>
            <w:r w:rsidR="005A1247">
              <w:rPr>
                <w:rFonts w:cs="Arial"/>
                <w:sz w:val="21"/>
                <w:szCs w:val="21"/>
              </w:rPr>
              <w:t> </w:t>
            </w:r>
            <w:r w:rsidRPr="00F37F37">
              <w:rPr>
                <w:rFonts w:cs="Arial"/>
                <w:sz w:val="21"/>
                <w:szCs w:val="21"/>
              </w:rPr>
              <w:t>ve vztahu k</w:t>
            </w:r>
            <w:r w:rsidR="005A1247">
              <w:rPr>
                <w:rFonts w:cs="Arial"/>
                <w:sz w:val="21"/>
                <w:szCs w:val="21"/>
              </w:rPr>
              <w:t> </w:t>
            </w:r>
            <w:r w:rsidRPr="00F37F37">
              <w:rPr>
                <w:rFonts w:cs="Arial"/>
                <w:sz w:val="21"/>
                <w:szCs w:val="21"/>
              </w:rPr>
              <w:t>novele směrnice 2009/33/ES o</w:t>
            </w:r>
            <w:r w:rsidR="005A1247">
              <w:rPr>
                <w:rFonts w:cs="Arial"/>
                <w:sz w:val="21"/>
                <w:szCs w:val="21"/>
              </w:rPr>
              <w:t> </w:t>
            </w:r>
            <w:r w:rsidRPr="00F37F37">
              <w:rPr>
                <w:rFonts w:cs="Arial"/>
                <w:sz w:val="21"/>
                <w:szCs w:val="21"/>
              </w:rPr>
              <w:t>podpoře čistých a</w:t>
            </w:r>
            <w:r w:rsidR="005A1247">
              <w:rPr>
                <w:rFonts w:cs="Arial"/>
                <w:sz w:val="21"/>
                <w:szCs w:val="21"/>
              </w:rPr>
              <w:t> </w:t>
            </w:r>
            <w:r w:rsidRPr="00F37F37">
              <w:rPr>
                <w:rFonts w:cs="Arial"/>
                <w:sz w:val="21"/>
                <w:szCs w:val="21"/>
              </w:rPr>
              <w:t>energeticky účinných silničních vozidel, která u</w:t>
            </w:r>
            <w:r w:rsidR="005A1247">
              <w:rPr>
                <w:rFonts w:cs="Arial"/>
                <w:sz w:val="21"/>
                <w:szCs w:val="21"/>
              </w:rPr>
              <w:t> </w:t>
            </w:r>
            <w:r w:rsidRPr="00F37F37">
              <w:rPr>
                <w:rFonts w:cs="Arial"/>
                <w:sz w:val="21"/>
                <w:szCs w:val="21"/>
              </w:rPr>
              <w:t>nově pořizovaných autobusů požaduje poměrně vysoký podíl čistých vozidel.</w:t>
            </w:r>
          </w:p>
        </w:tc>
      </w:tr>
      <w:tr w:rsidR="001530C0" w:rsidRPr="00D5678F" w14:paraId="0F852DFC"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8D6C562" w14:textId="65FEF26A" w:rsidR="001530C0" w:rsidRPr="00E3449F" w:rsidRDefault="001530C0" w:rsidP="005A1247">
            <w:pPr>
              <w:spacing w:before="60" w:after="60"/>
              <w:jc w:val="both"/>
              <w:rPr>
                <w:rFonts w:cs="Arial"/>
                <w:szCs w:val="22"/>
              </w:rPr>
            </w:pPr>
            <w:r w:rsidRPr="00E3449F">
              <w:rPr>
                <w:rFonts w:cs="Arial"/>
                <w:szCs w:val="22"/>
              </w:rPr>
              <w:t>Příklad z</w:t>
            </w:r>
            <w:r w:rsidR="005A1247">
              <w:rPr>
                <w:rFonts w:cs="Arial"/>
                <w:szCs w:val="22"/>
              </w:rPr>
              <w:t> </w:t>
            </w:r>
            <w:r w:rsidRPr="00E3449F">
              <w:rPr>
                <w:rFonts w:cs="Arial"/>
                <w:szCs w:val="22"/>
              </w:rPr>
              <w:t>praxe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25F3A4A" w14:textId="56A94F5A" w:rsidR="001530C0" w:rsidRPr="00F37F37" w:rsidRDefault="001530C0" w:rsidP="00B502A0">
            <w:pPr>
              <w:spacing w:before="0" w:after="0"/>
              <w:jc w:val="both"/>
              <w:rPr>
                <w:rFonts w:cs="Arial"/>
                <w:sz w:val="21"/>
                <w:szCs w:val="21"/>
              </w:rPr>
            </w:pPr>
            <w:r w:rsidRPr="00F37F37">
              <w:rPr>
                <w:rFonts w:cs="Arial"/>
                <w:sz w:val="21"/>
                <w:szCs w:val="21"/>
              </w:rPr>
              <w:t>Dopravní podniky provozující MHD a</w:t>
            </w:r>
            <w:r w:rsidR="005A1247">
              <w:rPr>
                <w:rFonts w:cs="Arial"/>
                <w:sz w:val="21"/>
                <w:szCs w:val="21"/>
              </w:rPr>
              <w:t> </w:t>
            </w:r>
            <w:r w:rsidRPr="00F37F37">
              <w:rPr>
                <w:rFonts w:cs="Arial"/>
                <w:sz w:val="21"/>
                <w:szCs w:val="21"/>
              </w:rPr>
              <w:t>soukromí dopravci provozující autobusy s</w:t>
            </w:r>
            <w:r w:rsidR="005A1247">
              <w:rPr>
                <w:rFonts w:cs="Arial"/>
                <w:sz w:val="21"/>
                <w:szCs w:val="21"/>
              </w:rPr>
              <w:t> </w:t>
            </w:r>
            <w:r w:rsidRPr="00F37F37">
              <w:rPr>
                <w:rFonts w:cs="Arial"/>
                <w:sz w:val="21"/>
                <w:szCs w:val="21"/>
              </w:rPr>
              <w:t>alternativním pohonem v</w:t>
            </w:r>
            <w:r w:rsidR="005A1247">
              <w:rPr>
                <w:rFonts w:cs="Arial"/>
                <w:sz w:val="21"/>
                <w:szCs w:val="21"/>
              </w:rPr>
              <w:t> </w:t>
            </w:r>
            <w:r w:rsidRPr="00F37F37">
              <w:rPr>
                <w:rFonts w:cs="Arial"/>
                <w:sz w:val="21"/>
                <w:szCs w:val="21"/>
              </w:rPr>
              <w:t>ČR v</w:t>
            </w:r>
            <w:r w:rsidR="005A1247">
              <w:rPr>
                <w:rFonts w:cs="Arial"/>
                <w:sz w:val="21"/>
                <w:szCs w:val="21"/>
              </w:rPr>
              <w:t> </w:t>
            </w:r>
            <w:r w:rsidRPr="00F37F37">
              <w:rPr>
                <w:rFonts w:cs="Arial"/>
                <w:sz w:val="21"/>
                <w:szCs w:val="21"/>
              </w:rPr>
              <w:t>rámci závazku veřejné služby.</w:t>
            </w:r>
          </w:p>
          <w:p w14:paraId="6A4BDBC2" w14:textId="157838FD" w:rsidR="001530C0" w:rsidRPr="00F37F37" w:rsidRDefault="001530C0" w:rsidP="00B502A0">
            <w:pPr>
              <w:spacing w:before="0" w:after="0"/>
              <w:jc w:val="both"/>
              <w:rPr>
                <w:rFonts w:cs="Arial"/>
                <w:sz w:val="21"/>
                <w:szCs w:val="21"/>
              </w:rPr>
            </w:pPr>
            <w:r w:rsidRPr="00F37F37">
              <w:rPr>
                <w:rFonts w:cs="Arial"/>
                <w:sz w:val="21"/>
                <w:szCs w:val="21"/>
              </w:rPr>
              <w:t>Dopravní podniky a</w:t>
            </w:r>
            <w:r w:rsidR="005A1247">
              <w:rPr>
                <w:rFonts w:cs="Arial"/>
                <w:sz w:val="21"/>
                <w:szCs w:val="21"/>
              </w:rPr>
              <w:t> </w:t>
            </w:r>
            <w:r w:rsidRPr="00F37F37">
              <w:rPr>
                <w:rFonts w:cs="Arial"/>
                <w:sz w:val="21"/>
                <w:szCs w:val="21"/>
              </w:rPr>
              <w:t>soukromí dopravci provozující autobusy s</w:t>
            </w:r>
            <w:r w:rsidR="005A1247">
              <w:rPr>
                <w:rFonts w:cs="Arial"/>
                <w:sz w:val="21"/>
                <w:szCs w:val="21"/>
              </w:rPr>
              <w:t> </w:t>
            </w:r>
            <w:r w:rsidRPr="00F37F37">
              <w:rPr>
                <w:rFonts w:cs="Arial"/>
                <w:sz w:val="21"/>
                <w:szCs w:val="21"/>
              </w:rPr>
              <w:t>alternativním pohonem na základě smluv o</w:t>
            </w:r>
            <w:r w:rsidR="005A1247">
              <w:rPr>
                <w:rFonts w:cs="Arial"/>
                <w:sz w:val="21"/>
                <w:szCs w:val="21"/>
              </w:rPr>
              <w:t> </w:t>
            </w:r>
            <w:r w:rsidRPr="00F37F37">
              <w:rPr>
                <w:rFonts w:cs="Arial"/>
                <w:sz w:val="21"/>
                <w:szCs w:val="21"/>
              </w:rPr>
              <w:t>veřejných službách v</w:t>
            </w:r>
            <w:r w:rsidR="005A1247">
              <w:rPr>
                <w:rFonts w:cs="Arial"/>
                <w:sz w:val="21"/>
                <w:szCs w:val="21"/>
              </w:rPr>
              <w:t> </w:t>
            </w:r>
            <w:r w:rsidRPr="00F37F37">
              <w:rPr>
                <w:rFonts w:cs="Arial"/>
                <w:sz w:val="21"/>
                <w:szCs w:val="21"/>
              </w:rPr>
              <w:t>přepravě cestujících uzavřených s</w:t>
            </w:r>
            <w:r w:rsidR="005A1247">
              <w:rPr>
                <w:rFonts w:cs="Arial"/>
                <w:sz w:val="21"/>
                <w:szCs w:val="21"/>
              </w:rPr>
              <w:t> </w:t>
            </w:r>
            <w:r w:rsidRPr="00F37F37">
              <w:rPr>
                <w:rFonts w:cs="Arial"/>
                <w:sz w:val="21"/>
                <w:szCs w:val="21"/>
              </w:rPr>
              <w:t>městy nebo kraji.</w:t>
            </w:r>
          </w:p>
          <w:p w14:paraId="7B3A8820" w14:textId="274E9DC3" w:rsidR="001530C0" w:rsidRPr="00F37F37" w:rsidRDefault="001530C0" w:rsidP="005A1247">
            <w:pPr>
              <w:spacing w:before="0" w:after="0"/>
              <w:jc w:val="both"/>
              <w:rPr>
                <w:rFonts w:cs="Arial"/>
                <w:sz w:val="21"/>
                <w:szCs w:val="21"/>
              </w:rPr>
            </w:pPr>
            <w:r w:rsidRPr="00F37F37">
              <w:rPr>
                <w:rFonts w:cs="Arial"/>
                <w:sz w:val="21"/>
                <w:szCs w:val="21"/>
              </w:rPr>
              <w:t>Navázat na podporu z</w:t>
            </w:r>
            <w:r w:rsidR="005A1247">
              <w:rPr>
                <w:rFonts w:cs="Arial"/>
                <w:sz w:val="21"/>
                <w:szCs w:val="21"/>
              </w:rPr>
              <w:t> </w:t>
            </w:r>
            <w:r w:rsidRPr="00F37F37">
              <w:rPr>
                <w:rFonts w:cs="Arial"/>
                <w:sz w:val="21"/>
                <w:szCs w:val="21"/>
              </w:rPr>
              <w:t>Integrovaného regionálního operačního programu 2014-2020, prostřednictvím kterého dopravci do konce roku 2018 pořídili 69 elektrobusů a</w:t>
            </w:r>
            <w:r w:rsidR="005A1247">
              <w:rPr>
                <w:rFonts w:cs="Arial"/>
                <w:sz w:val="21"/>
                <w:szCs w:val="21"/>
              </w:rPr>
              <w:t> </w:t>
            </w:r>
            <w:r w:rsidRPr="00F37F37">
              <w:rPr>
                <w:rFonts w:cs="Arial"/>
                <w:sz w:val="21"/>
                <w:szCs w:val="21"/>
              </w:rPr>
              <w:t>249 CNG autobusů.</w:t>
            </w:r>
          </w:p>
        </w:tc>
      </w:tr>
      <w:tr w:rsidR="001530C0" w:rsidRPr="00D5678F" w14:paraId="4D9A0B3E"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0341E7DB" w14:textId="77777777" w:rsidR="001530C0" w:rsidRPr="00E3449F" w:rsidRDefault="001530C0" w:rsidP="009A3B7E">
            <w:pPr>
              <w:spacing w:before="60" w:after="60"/>
              <w:jc w:val="both"/>
              <w:rPr>
                <w:rFonts w:cs="Arial"/>
                <w:szCs w:val="22"/>
              </w:rPr>
            </w:pPr>
            <w:r w:rsidRPr="00E3449F">
              <w:rPr>
                <w:rFonts w:cs="Arial"/>
                <w:szCs w:val="22"/>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2685EBB" w14:textId="77777777" w:rsidR="006C6305" w:rsidRDefault="001530C0" w:rsidP="00F37F37">
            <w:pPr>
              <w:pStyle w:val="Zpat"/>
              <w:spacing w:before="0" w:after="0"/>
              <w:jc w:val="both"/>
              <w:rPr>
                <w:rFonts w:cs="Arial"/>
                <w:szCs w:val="22"/>
              </w:rPr>
            </w:pPr>
            <w:r w:rsidRPr="00D319E0">
              <w:rPr>
                <w:rFonts w:cs="Arial"/>
                <w:szCs w:val="22"/>
              </w:rPr>
              <w:t>I</w:t>
            </w:r>
            <w:r w:rsidR="006C6305">
              <w:rPr>
                <w:rFonts w:cs="Arial"/>
                <w:szCs w:val="22"/>
              </w:rPr>
              <w:t>ROP</w:t>
            </w:r>
            <w:r w:rsidRPr="00D319E0">
              <w:rPr>
                <w:rFonts w:cs="Arial"/>
                <w:szCs w:val="22"/>
              </w:rPr>
              <w:t xml:space="preserve">, </w:t>
            </w:r>
          </w:p>
          <w:p w14:paraId="4906D8D1" w14:textId="77777777" w:rsidR="001530C0" w:rsidRDefault="001530C0" w:rsidP="00F37F37">
            <w:pPr>
              <w:pStyle w:val="Zpat"/>
              <w:spacing w:before="0" w:after="0"/>
              <w:jc w:val="both"/>
              <w:rPr>
                <w:rFonts w:cs="Arial"/>
                <w:szCs w:val="22"/>
              </w:rPr>
            </w:pPr>
            <w:r w:rsidRPr="00D319E0">
              <w:rPr>
                <w:rFonts w:cs="Arial"/>
                <w:szCs w:val="22"/>
              </w:rPr>
              <w:t>Modernizační Fond</w:t>
            </w:r>
            <w:r w:rsidR="00303A13">
              <w:rPr>
                <w:rFonts w:cs="Arial"/>
                <w:szCs w:val="22"/>
              </w:rPr>
              <w:t xml:space="preserve"> (pokud to bude možné)</w:t>
            </w:r>
          </w:p>
          <w:p w14:paraId="26B8B334" w14:textId="1979063C" w:rsidR="006C6305" w:rsidRPr="006C6305" w:rsidRDefault="006C6305" w:rsidP="00BF2C37">
            <w:pPr>
              <w:spacing w:before="0" w:after="0"/>
              <w:jc w:val="both"/>
            </w:pPr>
            <w:r>
              <w:t>Využití finančních nástrojů a</w:t>
            </w:r>
            <w:r w:rsidR="005A1247">
              <w:t> </w:t>
            </w:r>
            <w:r>
              <w:t>opatření generovaných prostřednictvím platformy pro uhelné regiony v</w:t>
            </w:r>
            <w:r w:rsidR="005A1247">
              <w:t> </w:t>
            </w:r>
            <w:r>
              <w:t>transformaci v</w:t>
            </w:r>
            <w:r w:rsidR="005A1247">
              <w:t> </w:t>
            </w:r>
            <w:r>
              <w:t xml:space="preserve">kontextu implementace programu RE:START </w:t>
            </w:r>
          </w:p>
          <w:p w14:paraId="16BF8D3D" w14:textId="405E5C43" w:rsidR="001530C0" w:rsidRPr="00E3449F" w:rsidRDefault="001530C0" w:rsidP="005A1247">
            <w:pPr>
              <w:pStyle w:val="Zpat"/>
              <w:spacing w:before="0" w:after="0"/>
              <w:jc w:val="both"/>
              <w:rPr>
                <w:rFonts w:cs="Arial"/>
                <w:szCs w:val="22"/>
              </w:rPr>
            </w:pPr>
            <w:r w:rsidRPr="00D319E0">
              <w:rPr>
                <w:rFonts w:cs="Arial"/>
                <w:szCs w:val="22"/>
              </w:rPr>
              <w:t>Stovky milionů až jednotky miliard Kč. Po roce 2021 bude rozpočtový dopad větší v</w:t>
            </w:r>
            <w:r w:rsidR="005A1247">
              <w:rPr>
                <w:rFonts w:cs="Arial"/>
                <w:szCs w:val="22"/>
              </w:rPr>
              <w:t> </w:t>
            </w:r>
            <w:r w:rsidRPr="00D319E0">
              <w:rPr>
                <w:rFonts w:cs="Arial"/>
                <w:szCs w:val="22"/>
              </w:rPr>
              <w:t>návaznosti na Směrnici o</w:t>
            </w:r>
            <w:r w:rsidR="005A1247">
              <w:rPr>
                <w:rFonts w:cs="Arial"/>
                <w:szCs w:val="22"/>
              </w:rPr>
              <w:t> </w:t>
            </w:r>
            <w:r w:rsidRPr="00D319E0">
              <w:rPr>
                <w:rFonts w:cs="Arial"/>
                <w:szCs w:val="22"/>
              </w:rPr>
              <w:t>čistých vozidlech.</w:t>
            </w:r>
          </w:p>
        </w:tc>
      </w:tr>
      <w:tr w:rsidR="001530C0" w:rsidRPr="00D5678F" w14:paraId="24115830"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9AE1833" w14:textId="77777777" w:rsidR="001530C0" w:rsidRPr="00E3449F" w:rsidRDefault="001530C0" w:rsidP="009A3B7E">
            <w:pPr>
              <w:spacing w:before="60" w:after="60"/>
              <w:jc w:val="both"/>
              <w:rPr>
                <w:rFonts w:cs="Arial"/>
                <w:szCs w:val="22"/>
              </w:rPr>
            </w:pPr>
            <w:r w:rsidRPr="00E3449F">
              <w:rPr>
                <w:rFonts w:cs="Arial"/>
                <w:szCs w:val="22"/>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6E32BBB" w14:textId="77777777" w:rsidR="001530C0" w:rsidRPr="00E3449F" w:rsidRDefault="001530C0" w:rsidP="00B502A0">
            <w:pPr>
              <w:pStyle w:val="Zpat"/>
              <w:spacing w:before="60" w:after="0"/>
              <w:jc w:val="both"/>
              <w:rPr>
                <w:rFonts w:cs="Arial"/>
                <w:szCs w:val="22"/>
              </w:rPr>
            </w:pPr>
            <w:r w:rsidRPr="00E3449F">
              <w:rPr>
                <w:rFonts w:cs="Arial"/>
                <w:szCs w:val="22"/>
              </w:rPr>
              <w:t>MMR</w:t>
            </w:r>
            <w:r>
              <w:rPr>
                <w:rFonts w:cs="Arial"/>
                <w:szCs w:val="22"/>
              </w:rPr>
              <w:t>, MŽP</w:t>
            </w:r>
          </w:p>
        </w:tc>
      </w:tr>
      <w:tr w:rsidR="001530C0" w:rsidRPr="00D5678F" w14:paraId="583C0D0B"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870E634" w14:textId="77777777" w:rsidR="001530C0" w:rsidRPr="00E3449F" w:rsidRDefault="001530C0" w:rsidP="009A3B7E">
            <w:pPr>
              <w:spacing w:before="60" w:after="60"/>
              <w:jc w:val="both"/>
              <w:rPr>
                <w:rFonts w:cs="Arial"/>
                <w:szCs w:val="22"/>
              </w:rPr>
            </w:pPr>
            <w:r w:rsidRPr="00E3449F">
              <w:rPr>
                <w:rFonts w:cs="Arial"/>
                <w:szCs w:val="22"/>
              </w:rPr>
              <w:t>Spolupráce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E3C3EA5" w14:textId="77777777" w:rsidR="001530C0" w:rsidRPr="00E3449F" w:rsidRDefault="001530C0" w:rsidP="00B502A0">
            <w:pPr>
              <w:pStyle w:val="Zpat"/>
              <w:spacing w:before="60" w:after="0"/>
              <w:jc w:val="both"/>
              <w:rPr>
                <w:rFonts w:cs="Arial"/>
                <w:szCs w:val="22"/>
              </w:rPr>
            </w:pPr>
            <w:r w:rsidRPr="00D319E0">
              <w:rPr>
                <w:rFonts w:cs="Arial"/>
                <w:szCs w:val="22"/>
              </w:rPr>
              <w:t>Dopravní podniky, soukromí dopravci, objednatelé dopravy (obce, kraje)</w:t>
            </w:r>
            <w:r w:rsidR="006C6305">
              <w:rPr>
                <w:rFonts w:cs="Arial"/>
                <w:szCs w:val="22"/>
              </w:rPr>
              <w:t>, MPO, MD</w:t>
            </w:r>
          </w:p>
        </w:tc>
      </w:tr>
      <w:tr w:rsidR="001530C0" w:rsidRPr="00D5678F" w14:paraId="72A8BA09"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12CD3551" w14:textId="77777777" w:rsidR="001530C0" w:rsidRPr="00E3449F" w:rsidRDefault="001530C0" w:rsidP="009A3B7E">
            <w:pPr>
              <w:spacing w:before="60" w:after="60"/>
              <w:jc w:val="both"/>
              <w:rPr>
                <w:rFonts w:cs="Arial"/>
                <w:szCs w:val="22"/>
              </w:rPr>
            </w:pPr>
            <w:r w:rsidRPr="00E3449F">
              <w:rPr>
                <w:rFonts w:cs="Arial"/>
                <w:szCs w:val="22"/>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6583217E" w14:textId="77777777" w:rsidR="001530C0" w:rsidRPr="00E3449F" w:rsidRDefault="001530C0" w:rsidP="00B502A0">
            <w:pPr>
              <w:spacing w:before="60" w:after="0"/>
              <w:jc w:val="both"/>
              <w:rPr>
                <w:rFonts w:cs="Arial"/>
                <w:szCs w:val="22"/>
              </w:rPr>
            </w:pPr>
            <w:r w:rsidRPr="00E3449F">
              <w:rPr>
                <w:rFonts w:cs="Arial"/>
                <w:szCs w:val="22"/>
              </w:rPr>
              <w:t>2020-202</w:t>
            </w:r>
            <w:r w:rsidR="006C6305">
              <w:rPr>
                <w:rFonts w:cs="Arial"/>
                <w:szCs w:val="22"/>
              </w:rPr>
              <w:t>7</w:t>
            </w:r>
          </w:p>
        </w:tc>
      </w:tr>
    </w:tbl>
    <w:p w14:paraId="4DF5CE40" w14:textId="496E290A" w:rsidR="001530C0" w:rsidRDefault="001530C0" w:rsidP="00B502A0">
      <w:pPr>
        <w:pStyle w:val="Nadpis3"/>
      </w:pPr>
      <w:bookmarkStart w:id="92" w:name="_Toc21589152"/>
      <w:r>
        <w:lastRenderedPageBreak/>
        <w:t>S</w:t>
      </w:r>
      <w:r w:rsidR="00082A9D">
        <w:t>10</w:t>
      </w:r>
      <w:r>
        <w:t xml:space="preserve"> </w:t>
      </w:r>
      <w:r w:rsidRPr="006C7529">
        <w:t>Podpora nákupu vozidla na alternativní paliva pro podnikatele (pro účely podnikání)</w:t>
      </w:r>
      <w:bookmarkEnd w:id="92"/>
    </w:p>
    <w:tbl>
      <w:tblPr>
        <w:tblW w:w="9071" w:type="dxa"/>
        <w:jc w:val="center"/>
        <w:tblCellMar>
          <w:left w:w="0" w:type="dxa"/>
          <w:right w:w="0" w:type="dxa"/>
        </w:tblCellMar>
        <w:tblLook w:val="00A0" w:firstRow="1" w:lastRow="0" w:firstColumn="1" w:lastColumn="0" w:noHBand="0" w:noVBand="0"/>
      </w:tblPr>
      <w:tblGrid>
        <w:gridCol w:w="1984"/>
        <w:gridCol w:w="7087"/>
      </w:tblGrid>
      <w:tr w:rsidR="001530C0" w:rsidRPr="00D5678F" w14:paraId="27C75264" w14:textId="77777777" w:rsidTr="00B502A0">
        <w:trPr>
          <w:cantSplit/>
          <w:trHeight w:val="595"/>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69F64523" w14:textId="22518503" w:rsidR="001530C0" w:rsidRPr="00D5678F" w:rsidRDefault="001530C0" w:rsidP="00B502A0">
            <w:pPr>
              <w:spacing w:before="60" w:after="60"/>
              <w:jc w:val="both"/>
              <w:rPr>
                <w:b/>
              </w:rPr>
            </w:pPr>
            <w:r>
              <w:rPr>
                <w:b/>
                <w:color w:val="FFFFFF" w:themeColor="background1"/>
              </w:rPr>
              <w:t>S</w:t>
            </w:r>
            <w:r w:rsidR="00082A9D">
              <w:rPr>
                <w:b/>
                <w:color w:val="FFFFFF" w:themeColor="background1"/>
              </w:rPr>
              <w:t>10</w:t>
            </w:r>
            <w:r w:rsidR="008D0378">
              <w:rPr>
                <w:b/>
                <w:color w:val="FFFFFF" w:themeColor="background1"/>
              </w:rPr>
              <w:t xml:space="preserve"> </w:t>
            </w:r>
            <w:r w:rsidRPr="003A3332">
              <w:rPr>
                <w:b/>
                <w:color w:val="FFFFFF" w:themeColor="background1"/>
              </w:rPr>
              <w:t>Podpora nákupu vozidla na alternativní paliva pro podnikatele (pro účely podnikání)</w:t>
            </w:r>
          </w:p>
        </w:tc>
      </w:tr>
      <w:tr w:rsidR="001530C0" w:rsidRPr="00D5678F" w14:paraId="617A2579" w14:textId="77777777" w:rsidTr="00B502A0">
        <w:trPr>
          <w:cantSplit/>
          <w:trHeight w:val="578"/>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24B097C7" w14:textId="77777777" w:rsidR="001530C0" w:rsidRPr="006C7529" w:rsidRDefault="001530C0" w:rsidP="009A3B7E">
            <w:pPr>
              <w:spacing w:after="0"/>
              <w:jc w:val="both"/>
              <w:rPr>
                <w:szCs w:val="20"/>
              </w:rPr>
            </w:pPr>
            <w:r w:rsidRPr="006C7529">
              <w:rPr>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25BB71C8" w14:textId="77777777" w:rsidR="001530C0" w:rsidRDefault="001530C0" w:rsidP="00B502A0">
            <w:pPr>
              <w:pStyle w:val="Normln10"/>
              <w:spacing w:before="60" w:after="60" w:line="240" w:lineRule="auto"/>
              <w:rPr>
                <w:rFonts w:cs="Arial"/>
                <w:sz w:val="22"/>
                <w:szCs w:val="22"/>
              </w:rPr>
            </w:pPr>
            <w:r>
              <w:rPr>
                <w:rFonts w:cs="Arial"/>
                <w:sz w:val="22"/>
                <w:szCs w:val="22"/>
              </w:rPr>
              <w:t>Rozvoj trhu elektrických vozidel</w:t>
            </w:r>
          </w:p>
          <w:p w14:paraId="2308B9E2" w14:textId="77777777" w:rsidR="001530C0" w:rsidRDefault="001530C0" w:rsidP="00B502A0">
            <w:pPr>
              <w:pStyle w:val="Normln10"/>
              <w:spacing w:before="60" w:after="60" w:line="240" w:lineRule="auto"/>
              <w:rPr>
                <w:rFonts w:cs="Arial"/>
                <w:sz w:val="22"/>
                <w:szCs w:val="22"/>
              </w:rPr>
            </w:pPr>
            <w:r>
              <w:rPr>
                <w:rFonts w:cs="Arial"/>
                <w:sz w:val="22"/>
                <w:szCs w:val="22"/>
              </w:rPr>
              <w:t>Rozvoj trhu vozidel na zemní plyn</w:t>
            </w:r>
          </w:p>
          <w:p w14:paraId="20CFDDBB" w14:textId="77777777" w:rsidR="001530C0" w:rsidRPr="006C7529" w:rsidRDefault="001530C0" w:rsidP="00B502A0">
            <w:pPr>
              <w:pStyle w:val="Normln10"/>
              <w:spacing w:before="60" w:after="60" w:line="240" w:lineRule="auto"/>
            </w:pPr>
            <w:r>
              <w:rPr>
                <w:rFonts w:cs="Arial"/>
                <w:sz w:val="22"/>
                <w:szCs w:val="22"/>
              </w:rPr>
              <w:t>Rozvoj trhu vodíkových vozidel</w:t>
            </w:r>
          </w:p>
        </w:tc>
      </w:tr>
      <w:tr w:rsidR="001530C0" w:rsidRPr="00D5678F" w14:paraId="7F7EEE8B" w14:textId="77777777" w:rsidTr="00B502A0">
        <w:trPr>
          <w:cantSplit/>
          <w:trHeight w:val="305"/>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25FC8B4B" w14:textId="77777777" w:rsidR="001530C0" w:rsidRPr="006C7529" w:rsidRDefault="001530C0" w:rsidP="009A3B7E">
            <w:pPr>
              <w:spacing w:after="0"/>
              <w:jc w:val="both"/>
              <w:rPr>
                <w:szCs w:val="20"/>
              </w:rPr>
            </w:pPr>
            <w:r w:rsidRPr="006C7529">
              <w:rPr>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64788B25" w14:textId="5191E141" w:rsidR="001530C0" w:rsidRPr="006C7529" w:rsidRDefault="001530C0" w:rsidP="005A1247">
            <w:pPr>
              <w:spacing w:before="60" w:after="60"/>
              <w:jc w:val="both"/>
              <w:rPr>
                <w:szCs w:val="20"/>
              </w:rPr>
            </w:pPr>
            <w:r w:rsidRPr="009E2ECF">
              <w:rPr>
                <w:szCs w:val="20"/>
              </w:rPr>
              <w:t>Podpora nákupu vozide</w:t>
            </w:r>
            <w:r>
              <w:rPr>
                <w:szCs w:val="20"/>
              </w:rPr>
              <w:t>l</w:t>
            </w:r>
            <w:r w:rsidRPr="009E2ECF">
              <w:rPr>
                <w:szCs w:val="20"/>
              </w:rPr>
              <w:t xml:space="preserve"> na alternativní paliva (vozidla na elektrický pohon/</w:t>
            </w:r>
            <w:r w:rsidR="008A79CC">
              <w:rPr>
                <w:szCs w:val="20"/>
              </w:rPr>
              <w:t>baterie a</w:t>
            </w:r>
            <w:r w:rsidR="005A1247">
              <w:rPr>
                <w:szCs w:val="20"/>
              </w:rPr>
              <w:t> </w:t>
            </w:r>
            <w:r w:rsidRPr="009E2ECF">
              <w:rPr>
                <w:szCs w:val="20"/>
              </w:rPr>
              <w:t>palivové články a</w:t>
            </w:r>
            <w:r w:rsidR="005A1247">
              <w:rPr>
                <w:szCs w:val="20"/>
              </w:rPr>
              <w:t> </w:t>
            </w:r>
            <w:r w:rsidR="006A3213">
              <w:rPr>
                <w:szCs w:val="20"/>
              </w:rPr>
              <w:t>zemní plyn</w:t>
            </w:r>
            <w:r>
              <w:rPr>
                <w:szCs w:val="20"/>
              </w:rPr>
              <w:t xml:space="preserve">, včetně komunálních vozidel), </w:t>
            </w:r>
            <w:r w:rsidR="006A3213">
              <w:rPr>
                <w:szCs w:val="20"/>
              </w:rPr>
              <w:t xml:space="preserve">pro podnikatele </w:t>
            </w:r>
            <w:r>
              <w:rPr>
                <w:szCs w:val="20"/>
              </w:rPr>
              <w:t>na celém území ČR.</w:t>
            </w:r>
          </w:p>
        </w:tc>
      </w:tr>
      <w:tr w:rsidR="001530C0" w:rsidRPr="00D5678F" w14:paraId="4131BCA8" w14:textId="77777777" w:rsidTr="00B502A0">
        <w:trPr>
          <w:cantSplit/>
          <w:trHeight w:val="305"/>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3923E1C" w14:textId="77777777" w:rsidR="001530C0" w:rsidRPr="006C7529" w:rsidRDefault="001530C0" w:rsidP="009A3B7E">
            <w:pPr>
              <w:spacing w:after="0"/>
              <w:jc w:val="both"/>
              <w:rPr>
                <w:szCs w:val="20"/>
              </w:rPr>
            </w:pPr>
            <w:r>
              <w:rPr>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C659C80" w14:textId="77777777" w:rsidR="001530C0" w:rsidRPr="009E2ECF" w:rsidRDefault="001530C0" w:rsidP="00B502A0">
            <w:pPr>
              <w:spacing w:before="60" w:after="60"/>
              <w:jc w:val="both"/>
              <w:rPr>
                <w:szCs w:val="20"/>
              </w:rPr>
            </w:pPr>
            <w:r>
              <w:rPr>
                <w:szCs w:val="20"/>
              </w:rPr>
              <w:t>Zajištění podpory nákupu vozidla na alternativní paliva pro podnikatele.</w:t>
            </w:r>
          </w:p>
        </w:tc>
      </w:tr>
      <w:tr w:rsidR="001530C0" w:rsidRPr="00D5678F" w14:paraId="1794ECB0" w14:textId="77777777" w:rsidTr="00B502A0">
        <w:trPr>
          <w:cantSplit/>
          <w:trHeight w:val="2088"/>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C1F50EC" w14:textId="6ACB3328" w:rsidR="001530C0" w:rsidRPr="006C7529" w:rsidRDefault="001530C0" w:rsidP="005A1247">
            <w:pPr>
              <w:spacing w:after="0"/>
              <w:jc w:val="both"/>
              <w:rPr>
                <w:szCs w:val="20"/>
              </w:rPr>
            </w:pPr>
            <w:r>
              <w:rPr>
                <w:szCs w:val="20"/>
              </w:rPr>
              <w:t>Příklad z</w:t>
            </w:r>
            <w:r w:rsidR="005A1247">
              <w:rPr>
                <w:szCs w:val="20"/>
              </w:rPr>
              <w:t> </w:t>
            </w:r>
            <w:r>
              <w:rPr>
                <w:szCs w:val="20"/>
              </w:rPr>
              <w:t>praxe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8704A0C" w14:textId="28E7C93E" w:rsidR="001530C0" w:rsidRPr="009E2ECF" w:rsidRDefault="001530C0" w:rsidP="00B502A0">
            <w:pPr>
              <w:spacing w:before="60" w:after="60"/>
              <w:jc w:val="both"/>
              <w:rPr>
                <w:szCs w:val="20"/>
              </w:rPr>
            </w:pPr>
            <w:r w:rsidRPr="009E2ECF">
              <w:rPr>
                <w:szCs w:val="20"/>
              </w:rPr>
              <w:t>Daňová zvýhodnění při nákupu elektromobilů v</w:t>
            </w:r>
            <w:r w:rsidR="005A1247">
              <w:rPr>
                <w:szCs w:val="20"/>
              </w:rPr>
              <w:t> </w:t>
            </w:r>
            <w:r w:rsidRPr="009E2ECF">
              <w:rPr>
                <w:szCs w:val="20"/>
              </w:rPr>
              <w:t>zemích, kde je zpoplatněna registrace vozidla dle emisní CO</w:t>
            </w:r>
            <w:r w:rsidRPr="00A95AAB">
              <w:rPr>
                <w:szCs w:val="20"/>
                <w:vertAlign w:val="subscript"/>
              </w:rPr>
              <w:t>2</w:t>
            </w:r>
            <w:r w:rsidRPr="009E2ECF">
              <w:rPr>
                <w:szCs w:val="20"/>
              </w:rPr>
              <w:t xml:space="preserve">, dotační programy např. Slovensko, Polsko, Maďarsko. </w:t>
            </w:r>
          </w:p>
          <w:p w14:paraId="16D57FCF" w14:textId="1CBA6814" w:rsidR="001530C0" w:rsidRPr="006C7529" w:rsidRDefault="001530C0" w:rsidP="005A1247">
            <w:pPr>
              <w:spacing w:before="60" w:after="60"/>
              <w:jc w:val="both"/>
              <w:rPr>
                <w:szCs w:val="20"/>
              </w:rPr>
            </w:pPr>
            <w:r w:rsidRPr="009E2ECF">
              <w:rPr>
                <w:szCs w:val="20"/>
              </w:rPr>
              <w:t>V Německu vozidla nad 7,5 tun s</w:t>
            </w:r>
            <w:r w:rsidR="005A1247">
              <w:rPr>
                <w:szCs w:val="20"/>
              </w:rPr>
              <w:t> </w:t>
            </w:r>
            <w:r w:rsidRPr="009E2ECF">
              <w:rPr>
                <w:szCs w:val="20"/>
              </w:rPr>
              <w:t>pohonem na zemní plyn osvobozena od ekologické složky dálničního mýta, a</w:t>
            </w:r>
            <w:r w:rsidR="005A1247">
              <w:rPr>
                <w:szCs w:val="20"/>
              </w:rPr>
              <w:t> </w:t>
            </w:r>
            <w:r w:rsidRPr="009E2ECF">
              <w:rPr>
                <w:szCs w:val="20"/>
              </w:rPr>
              <w:t>to zatím na dvouleté období od 1. ledna 2019 do 31. prosince 2020. Toto zvýhodnění, spolu s</w:t>
            </w:r>
            <w:r w:rsidR="005A1247">
              <w:rPr>
                <w:szCs w:val="20"/>
              </w:rPr>
              <w:t> </w:t>
            </w:r>
            <w:r w:rsidRPr="009E2ECF">
              <w:rPr>
                <w:szCs w:val="20"/>
              </w:rPr>
              <w:t>dotacemi na koupi vozů s</w:t>
            </w:r>
            <w:r w:rsidR="005A1247">
              <w:rPr>
                <w:szCs w:val="20"/>
              </w:rPr>
              <w:t> </w:t>
            </w:r>
            <w:r w:rsidRPr="009E2ECF">
              <w:rPr>
                <w:szCs w:val="20"/>
              </w:rPr>
              <w:t>pohonem na zemní plyn (12 000 € na vozy na LNG). Španělská vláda vyčlenil</w:t>
            </w:r>
            <w:r>
              <w:rPr>
                <w:szCs w:val="20"/>
              </w:rPr>
              <w:t>a</w:t>
            </w:r>
            <w:r w:rsidRPr="009E2ECF">
              <w:rPr>
                <w:szCs w:val="20"/>
              </w:rPr>
              <w:t xml:space="preserve"> 14,26 mil € na podporu nákupu vozidel na alternativní pohon, kde na nákup kamionu lze získat dotaci až 18 000 €.</w:t>
            </w:r>
          </w:p>
        </w:tc>
      </w:tr>
      <w:tr w:rsidR="001530C0" w:rsidRPr="00D5678F" w14:paraId="2FF6CC02" w14:textId="77777777" w:rsidTr="00B502A0">
        <w:trPr>
          <w:cantSplit/>
          <w:trHeight w:val="595"/>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748D02A" w14:textId="08C8C412" w:rsidR="001530C0" w:rsidRPr="006C7529" w:rsidRDefault="001530C0" w:rsidP="005A1247">
            <w:pPr>
              <w:spacing w:after="0"/>
              <w:jc w:val="both"/>
              <w:rPr>
                <w:szCs w:val="20"/>
              </w:rPr>
            </w:pPr>
            <w:r w:rsidRPr="006C7529">
              <w:rPr>
                <w:szCs w:val="20"/>
              </w:rPr>
              <w:t>Analogické opatření v</w:t>
            </w:r>
            <w:r w:rsidR="005A1247">
              <w:rPr>
                <w:szCs w:val="20"/>
              </w:rPr>
              <w:t> </w:t>
            </w:r>
            <w:r w:rsidRPr="006C7529">
              <w:rPr>
                <w:szCs w:val="20"/>
              </w:rPr>
              <w:t>ČR</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F66A5E3" w14:textId="13C335C2" w:rsidR="001530C0" w:rsidRPr="006C7529" w:rsidRDefault="001530C0" w:rsidP="005A1247">
            <w:pPr>
              <w:spacing w:before="60" w:after="60"/>
              <w:jc w:val="both"/>
              <w:rPr>
                <w:szCs w:val="20"/>
              </w:rPr>
            </w:pPr>
            <w:r w:rsidRPr="009E2ECF">
              <w:rPr>
                <w:szCs w:val="20"/>
              </w:rPr>
              <w:t>Investiční dotace na realizace energeticky úsporných opatření v</w:t>
            </w:r>
            <w:r w:rsidR="005A1247">
              <w:rPr>
                <w:szCs w:val="20"/>
              </w:rPr>
              <w:t> </w:t>
            </w:r>
            <w:r w:rsidRPr="009E2ECF">
              <w:rPr>
                <w:szCs w:val="20"/>
              </w:rPr>
              <w:t>OPPI</w:t>
            </w:r>
            <w:r w:rsidR="00A019C6">
              <w:rPr>
                <w:szCs w:val="20"/>
              </w:rPr>
              <w:t>K</w:t>
            </w:r>
            <w:r w:rsidRPr="009E2ECF">
              <w:rPr>
                <w:szCs w:val="20"/>
              </w:rPr>
              <w:t xml:space="preserve"> EkoEnergie.</w:t>
            </w:r>
          </w:p>
        </w:tc>
      </w:tr>
      <w:tr w:rsidR="001530C0" w:rsidRPr="00D5678F" w14:paraId="0C206F35" w14:textId="77777777" w:rsidTr="00B502A0">
        <w:trPr>
          <w:cantSplit/>
          <w:trHeight w:val="595"/>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9FD3AB3" w14:textId="77777777" w:rsidR="001530C0" w:rsidRPr="006C7529" w:rsidRDefault="001530C0" w:rsidP="009A3B7E">
            <w:pPr>
              <w:spacing w:after="0"/>
              <w:jc w:val="both"/>
              <w:rPr>
                <w:szCs w:val="20"/>
              </w:rPr>
            </w:pPr>
            <w:r w:rsidRPr="006C7529">
              <w:rPr>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2C1B3ED" w14:textId="593B393C" w:rsidR="001530C0" w:rsidRPr="006C7529" w:rsidRDefault="001530C0" w:rsidP="005A1247">
            <w:pPr>
              <w:spacing w:before="60" w:after="60"/>
              <w:jc w:val="both"/>
              <w:rPr>
                <w:szCs w:val="20"/>
              </w:rPr>
            </w:pPr>
            <w:r w:rsidRPr="009E2ECF">
              <w:rPr>
                <w:szCs w:val="20"/>
              </w:rPr>
              <w:t xml:space="preserve">V rámci </w:t>
            </w:r>
            <w:r w:rsidR="00042582">
              <w:rPr>
                <w:szCs w:val="20"/>
              </w:rPr>
              <w:t>OP TAK</w:t>
            </w:r>
            <w:r w:rsidRPr="009E2ECF">
              <w:rPr>
                <w:szCs w:val="20"/>
              </w:rPr>
              <w:t xml:space="preserve"> pře</w:t>
            </w:r>
            <w:r w:rsidR="006A3213">
              <w:rPr>
                <w:szCs w:val="20"/>
              </w:rPr>
              <w:t>d</w:t>
            </w:r>
            <w:r w:rsidRPr="009E2ECF">
              <w:rPr>
                <w:szCs w:val="20"/>
              </w:rPr>
              <w:t>pokládáme podporu nákupu elektr</w:t>
            </w:r>
            <w:r w:rsidR="006A3213">
              <w:rPr>
                <w:szCs w:val="20"/>
              </w:rPr>
              <w:t>ických vozidel</w:t>
            </w:r>
            <w:r w:rsidRPr="009E2ECF">
              <w:rPr>
                <w:szCs w:val="20"/>
              </w:rPr>
              <w:t xml:space="preserve"> a</w:t>
            </w:r>
            <w:r w:rsidR="005A1247">
              <w:rPr>
                <w:szCs w:val="20"/>
              </w:rPr>
              <w:t> </w:t>
            </w:r>
            <w:r w:rsidR="006A3213">
              <w:rPr>
                <w:szCs w:val="20"/>
              </w:rPr>
              <w:t>vozidel na zemní plyn</w:t>
            </w:r>
            <w:r w:rsidRPr="009E2ECF">
              <w:rPr>
                <w:szCs w:val="20"/>
              </w:rPr>
              <w:t xml:space="preserve"> pro podnikatele. Celková alokace zatím není známa.</w:t>
            </w:r>
          </w:p>
        </w:tc>
      </w:tr>
      <w:tr w:rsidR="001530C0" w:rsidRPr="00D5678F" w14:paraId="1751A012" w14:textId="77777777" w:rsidTr="00B502A0">
        <w:trPr>
          <w:cantSplit/>
          <w:trHeight w:val="305"/>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356EB24" w14:textId="77777777" w:rsidR="001530C0" w:rsidRPr="006C7529" w:rsidRDefault="001530C0" w:rsidP="009A3B7E">
            <w:pPr>
              <w:spacing w:after="0"/>
              <w:jc w:val="both"/>
              <w:rPr>
                <w:szCs w:val="20"/>
              </w:rPr>
            </w:pPr>
            <w:r w:rsidRPr="006C7529">
              <w:rPr>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887A855" w14:textId="77777777" w:rsidR="001530C0" w:rsidRPr="006C7529" w:rsidRDefault="001530C0" w:rsidP="00B502A0">
            <w:pPr>
              <w:spacing w:before="60" w:after="60"/>
              <w:jc w:val="both"/>
              <w:rPr>
                <w:szCs w:val="20"/>
              </w:rPr>
            </w:pPr>
            <w:r w:rsidRPr="006C7529">
              <w:rPr>
                <w:szCs w:val="20"/>
              </w:rPr>
              <w:t>MPO</w:t>
            </w:r>
          </w:p>
        </w:tc>
      </w:tr>
      <w:tr w:rsidR="001530C0" w:rsidRPr="00D5678F" w14:paraId="3BCAB8D8" w14:textId="77777777" w:rsidTr="00B502A0">
        <w:trPr>
          <w:cantSplit/>
          <w:trHeight w:val="290"/>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31768830" w14:textId="77777777" w:rsidR="001530C0" w:rsidRPr="006C7529" w:rsidRDefault="001530C0" w:rsidP="009A3B7E">
            <w:pPr>
              <w:spacing w:after="0"/>
              <w:jc w:val="both"/>
              <w:rPr>
                <w:szCs w:val="20"/>
              </w:rPr>
            </w:pPr>
            <w:r w:rsidRPr="006C7529">
              <w:rPr>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2B537560" w14:textId="77777777" w:rsidR="001530C0" w:rsidRPr="006C7529" w:rsidRDefault="001530C0" w:rsidP="00B502A0">
            <w:pPr>
              <w:spacing w:before="60" w:after="60"/>
              <w:jc w:val="both"/>
              <w:rPr>
                <w:szCs w:val="20"/>
              </w:rPr>
            </w:pPr>
            <w:r w:rsidRPr="006C7529">
              <w:rPr>
                <w:szCs w:val="20"/>
              </w:rPr>
              <w:t>20</w:t>
            </w:r>
            <w:r>
              <w:rPr>
                <w:szCs w:val="20"/>
              </w:rPr>
              <w:t>20</w:t>
            </w:r>
            <w:r w:rsidRPr="006C7529">
              <w:rPr>
                <w:szCs w:val="20"/>
              </w:rPr>
              <w:t>-202</w:t>
            </w:r>
            <w:r>
              <w:rPr>
                <w:szCs w:val="20"/>
              </w:rPr>
              <w:t>5</w:t>
            </w:r>
          </w:p>
        </w:tc>
      </w:tr>
    </w:tbl>
    <w:p w14:paraId="6B220F8E" w14:textId="77777777" w:rsidR="001530C0" w:rsidRDefault="001530C0" w:rsidP="009A3B7E">
      <w:pPr>
        <w:jc w:val="both"/>
      </w:pPr>
    </w:p>
    <w:p w14:paraId="14BBB9AB" w14:textId="77777777" w:rsidR="001530C0" w:rsidRDefault="001530C0" w:rsidP="009A3B7E">
      <w:pPr>
        <w:spacing w:before="0" w:after="0"/>
        <w:jc w:val="both"/>
      </w:pPr>
      <w:r>
        <w:br w:type="page"/>
      </w:r>
    </w:p>
    <w:p w14:paraId="00CE8B00" w14:textId="5E28E806" w:rsidR="001530C0" w:rsidRDefault="001530C0" w:rsidP="009A3B7E">
      <w:pPr>
        <w:pStyle w:val="Nadpis3"/>
        <w:jc w:val="both"/>
      </w:pPr>
      <w:bookmarkStart w:id="93" w:name="_Toc21589153"/>
      <w:r>
        <w:lastRenderedPageBreak/>
        <w:t>S1</w:t>
      </w:r>
      <w:r w:rsidR="00325840">
        <w:t>1</w:t>
      </w:r>
      <w:r>
        <w:t xml:space="preserve"> </w:t>
      </w:r>
      <w:r w:rsidRPr="006C7529">
        <w:t>Podpora na pořízení vozidla s</w:t>
      </w:r>
      <w:r w:rsidR="005A1247">
        <w:t> </w:t>
      </w:r>
      <w:r>
        <w:t xml:space="preserve">alternativním </w:t>
      </w:r>
      <w:r w:rsidRPr="006C7529">
        <w:t xml:space="preserve">pohonem </w:t>
      </w:r>
      <w:r>
        <w:t>pro</w:t>
      </w:r>
      <w:r w:rsidRPr="006C7529">
        <w:t xml:space="preserve"> subjekty státní správy a</w:t>
      </w:r>
      <w:r w:rsidR="005A1247">
        <w:t> </w:t>
      </w:r>
      <w:r w:rsidRPr="006C7529">
        <w:t>samospráv</w:t>
      </w:r>
      <w:r>
        <w:t>y</w:t>
      </w:r>
      <w:r w:rsidRPr="006C7529">
        <w:t xml:space="preserve"> a</w:t>
      </w:r>
      <w:r w:rsidR="005A1247">
        <w:t> </w:t>
      </w:r>
      <w:r w:rsidRPr="006C7529">
        <w:t>jim</w:t>
      </w:r>
      <w:r>
        <w:t>i</w:t>
      </w:r>
      <w:r w:rsidRPr="006C7529">
        <w:t xml:space="preserve"> zř</w:t>
      </w:r>
      <w:r>
        <w:t xml:space="preserve">ízené </w:t>
      </w:r>
      <w:r w:rsidRPr="006C7529">
        <w:t>organizac</w:t>
      </w:r>
      <w:r>
        <w:t>e</w:t>
      </w:r>
      <w:bookmarkEnd w:id="93"/>
    </w:p>
    <w:tbl>
      <w:tblPr>
        <w:tblW w:w="0" w:type="auto"/>
        <w:jc w:val="center"/>
        <w:tblCellMar>
          <w:left w:w="0" w:type="dxa"/>
          <w:right w:w="0" w:type="dxa"/>
        </w:tblCellMar>
        <w:tblLook w:val="00A0" w:firstRow="1" w:lastRow="0" w:firstColumn="1" w:lastColumn="0" w:noHBand="0" w:noVBand="0"/>
      </w:tblPr>
      <w:tblGrid>
        <w:gridCol w:w="1981"/>
        <w:gridCol w:w="7061"/>
      </w:tblGrid>
      <w:tr w:rsidR="001530C0" w:rsidRPr="00D5678F" w14:paraId="22CAFE82" w14:textId="77777777" w:rsidTr="00B502A0">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0EB7231E" w14:textId="5CF58D15" w:rsidR="001530C0" w:rsidRPr="00D5678F" w:rsidRDefault="001530C0" w:rsidP="005A1247">
            <w:pPr>
              <w:pStyle w:val="Zhlavtabulky"/>
              <w:spacing w:before="60" w:after="60"/>
              <w:jc w:val="both"/>
              <w:rPr>
                <w:rFonts w:cs="Arial"/>
                <w:szCs w:val="22"/>
              </w:rPr>
            </w:pPr>
            <w:r w:rsidRPr="006C7529">
              <w:rPr>
                <w:rFonts w:cs="Arial"/>
                <w:color w:val="FFFFFF" w:themeColor="background1"/>
                <w:szCs w:val="22"/>
              </w:rPr>
              <w:t>S1</w:t>
            </w:r>
            <w:r w:rsidR="00325840">
              <w:rPr>
                <w:rFonts w:cs="Arial"/>
                <w:color w:val="FFFFFF" w:themeColor="background1"/>
                <w:szCs w:val="22"/>
              </w:rPr>
              <w:t>1</w:t>
            </w:r>
            <w:r w:rsidRPr="006C7529">
              <w:rPr>
                <w:rFonts w:cs="Arial"/>
                <w:color w:val="FFFFFF" w:themeColor="background1"/>
                <w:szCs w:val="22"/>
              </w:rPr>
              <w:t xml:space="preserve"> </w:t>
            </w:r>
            <w:r w:rsidRPr="002941A9">
              <w:rPr>
                <w:rFonts w:cs="Arial"/>
                <w:color w:val="FFFFFF" w:themeColor="background1"/>
                <w:szCs w:val="22"/>
              </w:rPr>
              <w:t>Podpora na pořízení vozidla s</w:t>
            </w:r>
            <w:r w:rsidR="005A1247">
              <w:rPr>
                <w:rFonts w:cs="Arial"/>
                <w:color w:val="FFFFFF" w:themeColor="background1"/>
                <w:szCs w:val="22"/>
              </w:rPr>
              <w:t> </w:t>
            </w:r>
            <w:r w:rsidRPr="002941A9">
              <w:rPr>
                <w:rFonts w:cs="Arial"/>
                <w:color w:val="FFFFFF" w:themeColor="background1"/>
                <w:szCs w:val="22"/>
              </w:rPr>
              <w:t>alternativním pohonem pro subjekty státní správy a</w:t>
            </w:r>
            <w:r w:rsidR="005A1247">
              <w:rPr>
                <w:rFonts w:cs="Arial"/>
                <w:color w:val="FFFFFF" w:themeColor="background1"/>
                <w:szCs w:val="22"/>
              </w:rPr>
              <w:t> </w:t>
            </w:r>
            <w:r w:rsidRPr="002941A9">
              <w:rPr>
                <w:rFonts w:cs="Arial"/>
                <w:color w:val="FFFFFF" w:themeColor="background1"/>
                <w:szCs w:val="22"/>
              </w:rPr>
              <w:t>samosprávy a</w:t>
            </w:r>
            <w:r w:rsidR="005A1247">
              <w:rPr>
                <w:rFonts w:cs="Arial"/>
                <w:color w:val="FFFFFF" w:themeColor="background1"/>
                <w:szCs w:val="22"/>
              </w:rPr>
              <w:t> </w:t>
            </w:r>
            <w:r w:rsidRPr="002941A9">
              <w:rPr>
                <w:rFonts w:cs="Arial"/>
                <w:color w:val="FFFFFF" w:themeColor="background1"/>
                <w:szCs w:val="22"/>
              </w:rPr>
              <w:t>jimi zřízené organizace</w:t>
            </w:r>
          </w:p>
        </w:tc>
      </w:tr>
      <w:tr w:rsidR="001530C0" w:rsidRPr="00D5678F" w14:paraId="07128E96" w14:textId="77777777" w:rsidTr="00B502A0">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60928094" w14:textId="77777777" w:rsidR="001530C0" w:rsidRPr="006C7529" w:rsidRDefault="001530C0" w:rsidP="009A3B7E">
            <w:pPr>
              <w:spacing w:before="60" w:after="60"/>
              <w:jc w:val="both"/>
              <w:rPr>
                <w:rFonts w:cs="Arial"/>
                <w:szCs w:val="20"/>
              </w:rPr>
            </w:pPr>
            <w:r w:rsidRPr="006C7529">
              <w:rPr>
                <w:rFonts w:cs="Arial"/>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6F5B8A90" w14:textId="77777777" w:rsidR="001530C0" w:rsidRDefault="001530C0" w:rsidP="00B502A0">
            <w:pPr>
              <w:pStyle w:val="Normln10"/>
              <w:spacing w:before="60" w:after="60" w:line="240" w:lineRule="auto"/>
              <w:rPr>
                <w:rFonts w:cs="Arial"/>
                <w:sz w:val="22"/>
                <w:szCs w:val="22"/>
              </w:rPr>
            </w:pPr>
            <w:r>
              <w:rPr>
                <w:rFonts w:cs="Arial"/>
                <w:sz w:val="22"/>
                <w:szCs w:val="22"/>
              </w:rPr>
              <w:t>Rozvoj trhu elektrických vozidel</w:t>
            </w:r>
            <w:r w:rsidR="00EC10F9">
              <w:rPr>
                <w:rFonts w:cs="Arial"/>
                <w:sz w:val="22"/>
                <w:szCs w:val="22"/>
              </w:rPr>
              <w:t xml:space="preserve"> (kap. 2.4.1.)</w:t>
            </w:r>
          </w:p>
          <w:p w14:paraId="25DFA1E9" w14:textId="77777777" w:rsidR="001530C0" w:rsidRDefault="001530C0" w:rsidP="00B502A0">
            <w:pPr>
              <w:pStyle w:val="Normln10"/>
              <w:spacing w:before="60" w:after="60" w:line="240" w:lineRule="auto"/>
              <w:rPr>
                <w:rFonts w:cs="Arial"/>
                <w:sz w:val="22"/>
                <w:szCs w:val="22"/>
              </w:rPr>
            </w:pPr>
            <w:r>
              <w:rPr>
                <w:rFonts w:cs="Arial"/>
                <w:sz w:val="22"/>
                <w:szCs w:val="22"/>
              </w:rPr>
              <w:t>Rozvoj trhu vozidel na zemní plyn</w:t>
            </w:r>
            <w:r w:rsidR="00EC10F9">
              <w:rPr>
                <w:rFonts w:cs="Arial"/>
                <w:sz w:val="22"/>
                <w:szCs w:val="22"/>
              </w:rPr>
              <w:t xml:space="preserve"> (kap. 3.3.1.)</w:t>
            </w:r>
          </w:p>
          <w:p w14:paraId="0F533B31" w14:textId="77777777" w:rsidR="001530C0" w:rsidRPr="006C7529" w:rsidRDefault="001530C0" w:rsidP="00B502A0">
            <w:pPr>
              <w:spacing w:before="60" w:after="60"/>
              <w:jc w:val="both"/>
              <w:rPr>
                <w:rFonts w:cs="Arial"/>
                <w:szCs w:val="20"/>
              </w:rPr>
            </w:pPr>
            <w:r>
              <w:rPr>
                <w:rFonts w:cs="Arial"/>
                <w:szCs w:val="22"/>
              </w:rPr>
              <w:t>Rozvoj trhu vodíkových vozidel</w:t>
            </w:r>
            <w:r w:rsidR="00EC10F9">
              <w:rPr>
                <w:rFonts w:cs="Arial"/>
                <w:szCs w:val="22"/>
              </w:rPr>
              <w:t xml:space="preserve"> (kap. 4.3.1.)</w:t>
            </w:r>
          </w:p>
        </w:tc>
      </w:tr>
      <w:tr w:rsidR="001530C0" w:rsidRPr="00D5678F" w14:paraId="035EFDF1"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DF4C46A" w14:textId="77777777" w:rsidR="001530C0" w:rsidRPr="006C7529" w:rsidRDefault="001530C0" w:rsidP="009A3B7E">
            <w:pPr>
              <w:spacing w:before="60" w:after="60"/>
              <w:jc w:val="both"/>
              <w:rPr>
                <w:rFonts w:cs="Arial"/>
                <w:szCs w:val="20"/>
              </w:rPr>
            </w:pPr>
            <w:r w:rsidRPr="006C7529">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622011FD" w14:textId="3FC8B4B1" w:rsidR="001530C0" w:rsidRPr="006C7529" w:rsidRDefault="001530C0" w:rsidP="005A1247">
            <w:pPr>
              <w:spacing w:before="60" w:after="60"/>
              <w:jc w:val="both"/>
              <w:rPr>
                <w:rFonts w:cs="Arial"/>
                <w:szCs w:val="20"/>
              </w:rPr>
            </w:pPr>
            <w:r w:rsidRPr="006C7529">
              <w:rPr>
                <w:rFonts w:cs="Arial"/>
                <w:szCs w:val="20"/>
              </w:rPr>
              <w:t>Cílem opatření je podpořit penetraci vozidel s</w:t>
            </w:r>
            <w:r w:rsidR="005A1247">
              <w:rPr>
                <w:rFonts w:cs="Arial"/>
                <w:szCs w:val="20"/>
              </w:rPr>
              <w:t> </w:t>
            </w:r>
            <w:r w:rsidRPr="006C7529">
              <w:rPr>
                <w:rFonts w:cs="Arial"/>
                <w:szCs w:val="20"/>
              </w:rPr>
              <w:t>elektrickým</w:t>
            </w:r>
            <w:r>
              <w:rPr>
                <w:rFonts w:cs="Arial"/>
                <w:szCs w:val="20"/>
              </w:rPr>
              <w:t>/vodíkovým</w:t>
            </w:r>
            <w:r w:rsidRPr="006C7529">
              <w:rPr>
                <w:rFonts w:cs="Arial"/>
                <w:szCs w:val="20"/>
              </w:rPr>
              <w:t xml:space="preserve"> pohonem/vozidel na CNG</w:t>
            </w:r>
            <w:r w:rsidR="004151EF">
              <w:rPr>
                <w:rFonts w:cs="Arial"/>
                <w:szCs w:val="20"/>
              </w:rPr>
              <w:t xml:space="preserve"> a</w:t>
            </w:r>
            <w:r w:rsidR="005A1247">
              <w:rPr>
                <w:rFonts w:cs="Arial"/>
                <w:szCs w:val="20"/>
              </w:rPr>
              <w:t> </w:t>
            </w:r>
            <w:r w:rsidR="004151EF">
              <w:rPr>
                <w:rFonts w:cs="Arial"/>
                <w:szCs w:val="20"/>
              </w:rPr>
              <w:t>LPG</w:t>
            </w:r>
            <w:r w:rsidRPr="006C7529">
              <w:rPr>
                <w:rFonts w:cs="Arial"/>
                <w:szCs w:val="20"/>
              </w:rPr>
              <w:t xml:space="preserve"> do vozového parku odstraněním nevýhody v</w:t>
            </w:r>
            <w:r w:rsidR="005A1247">
              <w:rPr>
                <w:rFonts w:cs="Arial"/>
                <w:szCs w:val="20"/>
              </w:rPr>
              <w:t> </w:t>
            </w:r>
            <w:r w:rsidRPr="006C7529">
              <w:rPr>
                <w:rFonts w:cs="Arial"/>
                <w:szCs w:val="20"/>
              </w:rPr>
              <w:t>celkových nákladech vlastnictví (TCO) v</w:t>
            </w:r>
            <w:r w:rsidR="005A1247">
              <w:rPr>
                <w:rFonts w:cs="Arial"/>
                <w:szCs w:val="20"/>
              </w:rPr>
              <w:t> </w:t>
            </w:r>
            <w:r w:rsidRPr="006C7529">
              <w:rPr>
                <w:rFonts w:cs="Arial"/>
                <w:szCs w:val="20"/>
              </w:rPr>
              <w:t>porovnání s</w:t>
            </w:r>
            <w:r w:rsidR="005A1247">
              <w:rPr>
                <w:rFonts w:cs="Arial"/>
                <w:szCs w:val="20"/>
              </w:rPr>
              <w:t> </w:t>
            </w:r>
            <w:r w:rsidRPr="006C7529">
              <w:rPr>
                <w:rFonts w:cs="Arial"/>
                <w:szCs w:val="20"/>
              </w:rPr>
              <w:t>vozidlem se spalovacím motorem</w:t>
            </w:r>
            <w:r>
              <w:rPr>
                <w:rFonts w:cs="Arial"/>
                <w:szCs w:val="20"/>
              </w:rPr>
              <w:t>, včetně podpory neveřejné dobíjecí infrastruktury.</w:t>
            </w:r>
            <w:r w:rsidRPr="006C7529">
              <w:rPr>
                <w:rFonts w:cs="Arial"/>
                <w:szCs w:val="20"/>
              </w:rPr>
              <w:t xml:space="preserve"> Dalším cílem je snížení emisí, hluku zlepšení kvality ovzduší</w:t>
            </w:r>
            <w:r w:rsidR="006A3213">
              <w:rPr>
                <w:rFonts w:cs="Arial"/>
                <w:szCs w:val="20"/>
              </w:rPr>
              <w:t>.</w:t>
            </w:r>
            <w:r w:rsidR="006A3213">
              <w:t xml:space="preserve"> </w:t>
            </w:r>
            <w:r w:rsidR="006A3213" w:rsidRPr="006A3213">
              <w:rPr>
                <w:rFonts w:cs="Arial"/>
                <w:szCs w:val="20"/>
              </w:rPr>
              <w:t>Důležité bude toto opatření i</w:t>
            </w:r>
            <w:r w:rsidR="005A1247">
              <w:rPr>
                <w:rFonts w:cs="Arial"/>
                <w:szCs w:val="20"/>
              </w:rPr>
              <w:t> </w:t>
            </w:r>
            <w:r w:rsidR="006A3213" w:rsidRPr="006A3213">
              <w:rPr>
                <w:rFonts w:cs="Arial"/>
                <w:szCs w:val="20"/>
              </w:rPr>
              <w:t>z pohledu implementace požadavků směrnice 2009/33/ES o</w:t>
            </w:r>
            <w:r w:rsidR="005A1247">
              <w:rPr>
                <w:rFonts w:cs="Arial"/>
                <w:szCs w:val="20"/>
              </w:rPr>
              <w:t> </w:t>
            </w:r>
            <w:r w:rsidR="006A3213" w:rsidRPr="006A3213">
              <w:rPr>
                <w:rFonts w:cs="Arial"/>
                <w:szCs w:val="20"/>
              </w:rPr>
              <w:t>podpoře čistých vozidel.</w:t>
            </w:r>
          </w:p>
        </w:tc>
      </w:tr>
      <w:tr w:rsidR="001530C0" w:rsidRPr="00D5678F" w14:paraId="45D5131D"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E40B0A8" w14:textId="77777777" w:rsidR="001530C0" w:rsidRPr="006C7529" w:rsidRDefault="001530C0" w:rsidP="009A3B7E">
            <w:pPr>
              <w:spacing w:before="60" w:after="60"/>
              <w:jc w:val="both"/>
              <w:rPr>
                <w:rFonts w:cs="Arial"/>
                <w:szCs w:val="20"/>
              </w:rPr>
            </w:pPr>
            <w:r w:rsidRPr="006C7529">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2C62061" w14:textId="0D483CBF" w:rsidR="001530C0" w:rsidRPr="006C7529" w:rsidRDefault="001530C0" w:rsidP="005A1247">
            <w:pPr>
              <w:spacing w:before="60" w:after="60"/>
              <w:jc w:val="both"/>
              <w:rPr>
                <w:rFonts w:cs="Arial"/>
                <w:i/>
                <w:szCs w:val="20"/>
              </w:rPr>
            </w:pPr>
            <w:r w:rsidRPr="006C7529">
              <w:rPr>
                <w:rFonts w:cs="Arial"/>
                <w:szCs w:val="20"/>
              </w:rPr>
              <w:t>Vytvoření podpůrného finančního mechanismu, který by napomohl k</w:t>
            </w:r>
            <w:r w:rsidR="005A1247">
              <w:rPr>
                <w:rFonts w:cs="Arial"/>
                <w:szCs w:val="20"/>
              </w:rPr>
              <w:t> </w:t>
            </w:r>
            <w:r w:rsidRPr="006C7529">
              <w:rPr>
                <w:rFonts w:cs="Arial"/>
                <w:szCs w:val="20"/>
              </w:rPr>
              <w:t>větší penetraci vozidel s</w:t>
            </w:r>
            <w:r w:rsidR="005A1247">
              <w:rPr>
                <w:rFonts w:cs="Arial"/>
                <w:szCs w:val="20"/>
              </w:rPr>
              <w:t> </w:t>
            </w:r>
            <w:r w:rsidRPr="006C7529">
              <w:rPr>
                <w:rFonts w:cs="Arial"/>
                <w:szCs w:val="20"/>
              </w:rPr>
              <w:t>alternativním pohonem ve státní správě. Ten by ve své optimální podobě mohl představovat kombinaci přímých dotací</w:t>
            </w:r>
            <w:r w:rsidRPr="006C7529">
              <w:rPr>
                <w:rStyle w:val="Znakapoznpodarou"/>
                <w:rFonts w:cs="Arial"/>
                <w:szCs w:val="20"/>
              </w:rPr>
              <w:footnoteReference w:id="14"/>
            </w:r>
            <w:r w:rsidRPr="006C7529">
              <w:rPr>
                <w:rFonts w:cs="Arial"/>
                <w:szCs w:val="20"/>
              </w:rPr>
              <w:t xml:space="preserve"> s</w:t>
            </w:r>
            <w:r w:rsidR="005A1247">
              <w:rPr>
                <w:rFonts w:cs="Arial"/>
                <w:szCs w:val="20"/>
              </w:rPr>
              <w:t> </w:t>
            </w:r>
            <w:r w:rsidRPr="006C7529">
              <w:rPr>
                <w:rFonts w:cs="Arial"/>
                <w:szCs w:val="20"/>
              </w:rPr>
              <w:t xml:space="preserve">inovativními finančními nástroji (tzn. např. bezúročných či nízkoúročených půjček). </w:t>
            </w:r>
            <w:r>
              <w:rPr>
                <w:rFonts w:cs="Arial"/>
                <w:szCs w:val="20"/>
              </w:rPr>
              <w:t>U</w:t>
            </w:r>
            <w:r w:rsidR="005A1247">
              <w:rPr>
                <w:rFonts w:cs="Arial"/>
                <w:szCs w:val="20"/>
              </w:rPr>
              <w:t> </w:t>
            </w:r>
            <w:r>
              <w:rPr>
                <w:rFonts w:cs="Arial"/>
                <w:szCs w:val="20"/>
              </w:rPr>
              <w:t>podpory elektromobility je možná podpora neveřejné dobíjecí infrastruktury.</w:t>
            </w:r>
          </w:p>
        </w:tc>
      </w:tr>
      <w:tr w:rsidR="001530C0" w:rsidRPr="00D5678F" w14:paraId="5904F662"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A4B0C44" w14:textId="2151769B" w:rsidR="001530C0" w:rsidRPr="006C7529" w:rsidRDefault="001530C0" w:rsidP="005A1247">
            <w:pPr>
              <w:spacing w:before="60" w:after="60"/>
              <w:jc w:val="both"/>
              <w:rPr>
                <w:rFonts w:cs="Arial"/>
                <w:szCs w:val="20"/>
              </w:rPr>
            </w:pPr>
            <w:r w:rsidRPr="006C7529">
              <w:rPr>
                <w:rFonts w:cs="Arial"/>
                <w:szCs w:val="20"/>
              </w:rPr>
              <w:t>Využití opatření jinde v</w:t>
            </w:r>
            <w:r w:rsidR="005A1247">
              <w:rPr>
                <w:rFonts w:cs="Arial"/>
                <w:szCs w:val="20"/>
              </w:rPr>
              <w:t> </w:t>
            </w:r>
            <w:r w:rsidRPr="006C7529">
              <w:rPr>
                <w:rFonts w:cs="Arial"/>
                <w:szCs w:val="20"/>
              </w:rPr>
              <w:t>Evropě / ve světě</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C22402E" w14:textId="267EECE8" w:rsidR="001530C0" w:rsidRPr="006C7529" w:rsidRDefault="001530C0" w:rsidP="005A1247">
            <w:pPr>
              <w:pStyle w:val="Zpat"/>
              <w:spacing w:before="60" w:after="60"/>
              <w:jc w:val="both"/>
              <w:rPr>
                <w:rFonts w:cs="Arial"/>
                <w:szCs w:val="20"/>
              </w:rPr>
            </w:pPr>
            <w:r w:rsidRPr="006C7529">
              <w:rPr>
                <w:rFonts w:cs="Arial"/>
                <w:szCs w:val="20"/>
              </w:rPr>
              <w:t>Téměř ve většině zemí EU je podpora pro státní správu na podporu nákupu vozidel s</w:t>
            </w:r>
            <w:r w:rsidR="005A1247">
              <w:rPr>
                <w:rFonts w:cs="Arial"/>
                <w:szCs w:val="20"/>
              </w:rPr>
              <w:t> </w:t>
            </w:r>
            <w:r w:rsidRPr="006C7529">
              <w:rPr>
                <w:rFonts w:cs="Arial"/>
                <w:szCs w:val="20"/>
              </w:rPr>
              <w:t>alternativním pohonem.</w:t>
            </w:r>
          </w:p>
        </w:tc>
      </w:tr>
      <w:tr w:rsidR="001530C0" w:rsidRPr="00D5678F" w14:paraId="7CDD3640"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E6CE6FE" w14:textId="77777777" w:rsidR="001530C0" w:rsidRPr="006C7529" w:rsidRDefault="001530C0" w:rsidP="009A3B7E">
            <w:pPr>
              <w:spacing w:before="60" w:after="60"/>
              <w:jc w:val="both"/>
              <w:rPr>
                <w:rFonts w:cs="Arial"/>
                <w:szCs w:val="20"/>
              </w:rPr>
            </w:pPr>
            <w:r w:rsidRPr="006C7529">
              <w:rPr>
                <w:rFonts w:cs="Arial"/>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2E66C80" w14:textId="17034C9D" w:rsidR="001530C0" w:rsidRPr="006C7529" w:rsidRDefault="001530C0" w:rsidP="005A1247">
            <w:pPr>
              <w:pStyle w:val="Zpat"/>
              <w:spacing w:before="60" w:after="60"/>
              <w:jc w:val="both"/>
              <w:rPr>
                <w:rFonts w:cs="Arial"/>
                <w:i/>
                <w:szCs w:val="20"/>
              </w:rPr>
            </w:pPr>
            <w:r w:rsidRPr="006C7529">
              <w:rPr>
                <w:rFonts w:cs="Arial"/>
                <w:szCs w:val="20"/>
              </w:rPr>
              <w:t>Jedná se o</w:t>
            </w:r>
            <w:r w:rsidR="005A1247">
              <w:rPr>
                <w:rFonts w:cs="Arial"/>
                <w:szCs w:val="20"/>
              </w:rPr>
              <w:t> </w:t>
            </w:r>
            <w:r w:rsidRPr="006C7529">
              <w:rPr>
                <w:rFonts w:cs="Arial"/>
                <w:szCs w:val="20"/>
              </w:rPr>
              <w:t>stovky milionů korun. MŽP každý rok vyhlašuje výzvu s</w:t>
            </w:r>
            <w:r w:rsidR="005A1247">
              <w:rPr>
                <w:rFonts w:cs="Arial"/>
                <w:szCs w:val="20"/>
              </w:rPr>
              <w:t> </w:t>
            </w:r>
            <w:r w:rsidRPr="006C7529">
              <w:rPr>
                <w:rFonts w:cs="Arial"/>
                <w:szCs w:val="20"/>
              </w:rPr>
              <w:t>alokací 100 mil. Kč. Předpokládá se zvýšení zájmu po implementaci Směrnice o</w:t>
            </w:r>
            <w:r w:rsidR="005A1247">
              <w:rPr>
                <w:rFonts w:cs="Arial"/>
                <w:szCs w:val="20"/>
              </w:rPr>
              <w:t> </w:t>
            </w:r>
            <w:r w:rsidRPr="006C7529">
              <w:rPr>
                <w:rFonts w:cs="Arial"/>
                <w:szCs w:val="20"/>
              </w:rPr>
              <w:t>čisté mobilitě, kde budou mít veřejní zadavatelé povinnost preferovat nákupy vozidel s</w:t>
            </w:r>
            <w:r w:rsidR="005A1247">
              <w:rPr>
                <w:rFonts w:cs="Arial"/>
                <w:szCs w:val="20"/>
              </w:rPr>
              <w:t> </w:t>
            </w:r>
            <w:r w:rsidRPr="006C7529">
              <w:rPr>
                <w:rFonts w:cs="Arial"/>
                <w:szCs w:val="20"/>
              </w:rPr>
              <w:t>alternativním pohonem.</w:t>
            </w:r>
          </w:p>
        </w:tc>
      </w:tr>
      <w:tr w:rsidR="001530C0" w:rsidRPr="00D5678F" w14:paraId="1F9362EC" w14:textId="77777777" w:rsidTr="00B502A0">
        <w:trPr>
          <w:cantSplit/>
          <w:jc w:val="center"/>
        </w:trPr>
        <w:tc>
          <w:tcPr>
            <w:tcW w:w="1984" w:type="dxa"/>
            <w:tcBorders>
              <w:top w:val="single" w:sz="4" w:space="0" w:color="auto"/>
              <w:left w:val="single" w:sz="12" w:space="0" w:color="auto"/>
              <w:bottom w:val="single" w:sz="8" w:space="0" w:color="auto"/>
              <w:right w:val="single" w:sz="12" w:space="0" w:color="auto"/>
            </w:tcBorders>
            <w:tcMar>
              <w:top w:w="0" w:type="dxa"/>
              <w:left w:w="70" w:type="dxa"/>
              <w:bottom w:w="0" w:type="dxa"/>
              <w:right w:w="70" w:type="dxa"/>
            </w:tcMar>
          </w:tcPr>
          <w:p w14:paraId="4D772797" w14:textId="77777777" w:rsidR="001530C0" w:rsidRPr="006C7529" w:rsidRDefault="001530C0" w:rsidP="009A3B7E">
            <w:pPr>
              <w:spacing w:before="60" w:after="60"/>
              <w:jc w:val="both"/>
              <w:rPr>
                <w:rFonts w:cs="Arial"/>
                <w:szCs w:val="20"/>
              </w:rPr>
            </w:pPr>
            <w:r w:rsidRPr="006C7529">
              <w:rPr>
                <w:rFonts w:cs="Arial"/>
                <w:szCs w:val="20"/>
              </w:rPr>
              <w:t>Odpovědnost</w:t>
            </w:r>
          </w:p>
        </w:tc>
        <w:tc>
          <w:tcPr>
            <w:tcW w:w="7087" w:type="dxa"/>
            <w:tcBorders>
              <w:top w:val="single" w:sz="4" w:space="0" w:color="auto"/>
              <w:left w:val="nil"/>
              <w:bottom w:val="single" w:sz="8" w:space="0" w:color="auto"/>
              <w:right w:val="single" w:sz="12" w:space="0" w:color="auto"/>
            </w:tcBorders>
            <w:tcMar>
              <w:top w:w="0" w:type="dxa"/>
              <w:left w:w="70" w:type="dxa"/>
              <w:bottom w:w="0" w:type="dxa"/>
              <w:right w:w="70" w:type="dxa"/>
            </w:tcMar>
          </w:tcPr>
          <w:p w14:paraId="6F36ACE3" w14:textId="77777777" w:rsidR="001530C0" w:rsidRPr="006C7529" w:rsidRDefault="001530C0" w:rsidP="00BB6609">
            <w:pPr>
              <w:pStyle w:val="Zpat"/>
              <w:spacing w:before="60" w:after="60"/>
              <w:jc w:val="both"/>
              <w:rPr>
                <w:rFonts w:cs="Arial"/>
                <w:szCs w:val="20"/>
              </w:rPr>
            </w:pPr>
            <w:r w:rsidRPr="006C7529">
              <w:rPr>
                <w:rFonts w:cs="Arial"/>
                <w:szCs w:val="20"/>
              </w:rPr>
              <w:t>MŽP</w:t>
            </w:r>
          </w:p>
        </w:tc>
      </w:tr>
      <w:tr w:rsidR="001530C0" w:rsidRPr="00D5678F" w14:paraId="00B9CA61"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7446C548" w14:textId="77777777" w:rsidR="001530C0" w:rsidRPr="006C7529" w:rsidRDefault="001530C0" w:rsidP="00BB6609">
            <w:pPr>
              <w:spacing w:before="60" w:after="60"/>
              <w:jc w:val="both"/>
              <w:rPr>
                <w:rFonts w:cs="Arial"/>
                <w:szCs w:val="20"/>
              </w:rPr>
            </w:pPr>
            <w:r w:rsidRPr="006C7529">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5A0B5B48" w14:textId="77777777" w:rsidR="001530C0" w:rsidRPr="006C7529" w:rsidRDefault="001530C0" w:rsidP="004512A7">
            <w:pPr>
              <w:spacing w:before="60" w:after="60"/>
              <w:jc w:val="both"/>
              <w:rPr>
                <w:rFonts w:cs="Arial"/>
                <w:szCs w:val="20"/>
              </w:rPr>
            </w:pPr>
            <w:r w:rsidRPr="006C7529">
              <w:rPr>
                <w:rFonts w:cs="Arial"/>
                <w:szCs w:val="20"/>
              </w:rPr>
              <w:t>2020-2024</w:t>
            </w:r>
          </w:p>
        </w:tc>
      </w:tr>
    </w:tbl>
    <w:p w14:paraId="729589F5" w14:textId="77777777" w:rsidR="001530C0" w:rsidRDefault="001530C0" w:rsidP="009A3B7E">
      <w:pPr>
        <w:jc w:val="both"/>
      </w:pPr>
    </w:p>
    <w:p w14:paraId="6DDA67F9" w14:textId="77777777" w:rsidR="001530C0" w:rsidRDefault="001530C0" w:rsidP="009A3B7E">
      <w:pPr>
        <w:spacing w:before="0" w:after="0"/>
        <w:jc w:val="both"/>
      </w:pPr>
      <w:r>
        <w:br w:type="page"/>
      </w:r>
    </w:p>
    <w:p w14:paraId="6ED3BD75" w14:textId="53BCBD52" w:rsidR="001530C0" w:rsidRDefault="001530C0" w:rsidP="009A3B7E">
      <w:pPr>
        <w:pStyle w:val="Nadpis3"/>
        <w:jc w:val="both"/>
      </w:pPr>
      <w:bookmarkStart w:id="94" w:name="_Toc21589154"/>
      <w:r>
        <w:lastRenderedPageBreak/>
        <w:t>S1</w:t>
      </w:r>
      <w:r w:rsidR="00325840">
        <w:t>2</w:t>
      </w:r>
      <w:r>
        <w:t xml:space="preserve"> </w:t>
      </w:r>
      <w:r w:rsidRPr="006C7529">
        <w:t>Podpora pořizování nákladních vozidel - vodík, LNG, elektro</w:t>
      </w:r>
      <w:bookmarkEnd w:id="94"/>
    </w:p>
    <w:tbl>
      <w:tblPr>
        <w:tblStyle w:val="Mkatabulky4"/>
        <w:tblpPr w:leftFromText="141" w:rightFromText="141" w:vertAnchor="text" w:horzAnchor="margin" w:tblpY="2"/>
        <w:tblW w:w="4884"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1"/>
        <w:gridCol w:w="6901"/>
      </w:tblGrid>
      <w:tr w:rsidR="001530C0" w14:paraId="525276E3" w14:textId="77777777" w:rsidTr="00B502A0">
        <w:trPr>
          <w:trHeight w:val="52"/>
        </w:trPr>
        <w:tc>
          <w:tcPr>
            <w:tcW w:w="4999"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4C181109" w14:textId="4B6DE8EA" w:rsidR="001530C0" w:rsidRDefault="001530C0" w:rsidP="00B502A0">
            <w:pPr>
              <w:spacing w:before="60" w:after="60"/>
              <w:jc w:val="both"/>
              <w:rPr>
                <w:b/>
              </w:rPr>
            </w:pPr>
            <w:r>
              <w:rPr>
                <w:b/>
                <w:color w:val="FFFFFF" w:themeColor="background1"/>
              </w:rPr>
              <w:t>S1</w:t>
            </w:r>
            <w:r w:rsidR="00325840">
              <w:rPr>
                <w:b/>
                <w:color w:val="FFFFFF" w:themeColor="background1"/>
              </w:rPr>
              <w:t>2</w:t>
            </w:r>
            <w:r>
              <w:rPr>
                <w:b/>
                <w:color w:val="FFFFFF" w:themeColor="background1"/>
              </w:rPr>
              <w:t xml:space="preserve"> Podpora pořizování nákladních vozidel – vodík, LNG, elektro</w:t>
            </w:r>
          </w:p>
        </w:tc>
      </w:tr>
      <w:tr w:rsidR="00BB6609" w14:paraId="7AAAF27B" w14:textId="77777777" w:rsidTr="00B502A0">
        <w:trPr>
          <w:trHeight w:val="52"/>
        </w:trPr>
        <w:tc>
          <w:tcPr>
            <w:tcW w:w="1093" w:type="pct"/>
            <w:tcBorders>
              <w:top w:val="single" w:sz="12" w:space="0" w:color="auto"/>
              <w:left w:val="single" w:sz="12" w:space="0" w:color="auto"/>
              <w:bottom w:val="single" w:sz="4" w:space="0" w:color="auto"/>
              <w:right w:val="single" w:sz="12" w:space="0" w:color="auto"/>
            </w:tcBorders>
            <w:hideMark/>
          </w:tcPr>
          <w:p w14:paraId="40A7BC87" w14:textId="77777777" w:rsidR="001530C0" w:rsidRDefault="001530C0" w:rsidP="009A3B7E">
            <w:pPr>
              <w:jc w:val="both"/>
            </w:pPr>
            <w:r>
              <w:t>Návaznost na strategický cíl</w:t>
            </w:r>
          </w:p>
        </w:tc>
        <w:tc>
          <w:tcPr>
            <w:tcW w:w="3907" w:type="pct"/>
            <w:tcBorders>
              <w:top w:val="single" w:sz="12" w:space="0" w:color="auto"/>
              <w:left w:val="single" w:sz="12" w:space="0" w:color="auto"/>
              <w:bottom w:val="single" w:sz="4" w:space="0" w:color="auto"/>
              <w:right w:val="single" w:sz="12" w:space="0" w:color="auto"/>
            </w:tcBorders>
            <w:hideMark/>
          </w:tcPr>
          <w:p w14:paraId="7DF86D9E" w14:textId="77777777" w:rsidR="001530C0" w:rsidRPr="0062154C" w:rsidRDefault="001530C0" w:rsidP="00B502A0">
            <w:pPr>
              <w:spacing w:before="60" w:after="60"/>
              <w:jc w:val="both"/>
            </w:pPr>
            <w:r w:rsidRPr="0062154C">
              <w:t>Rozvoj trhu elektrických vozidel</w:t>
            </w:r>
            <w:r w:rsidR="00EC10F9">
              <w:t xml:space="preserve"> (kap. 2.4.1.)</w:t>
            </w:r>
          </w:p>
          <w:p w14:paraId="3E9239CA" w14:textId="77777777" w:rsidR="001530C0" w:rsidRDefault="001530C0" w:rsidP="00B502A0">
            <w:pPr>
              <w:spacing w:before="60" w:after="60"/>
              <w:jc w:val="both"/>
            </w:pPr>
            <w:r>
              <w:t>Rozvoj trhu vozidel na zemní plyn</w:t>
            </w:r>
            <w:r w:rsidR="00EC10F9">
              <w:t xml:space="preserve"> (kap. 3.3.1.)</w:t>
            </w:r>
          </w:p>
          <w:p w14:paraId="0ABFC9BC" w14:textId="77777777" w:rsidR="001530C0" w:rsidRDefault="001530C0" w:rsidP="00B502A0">
            <w:pPr>
              <w:spacing w:before="60" w:after="60"/>
              <w:jc w:val="both"/>
            </w:pPr>
            <w:r>
              <w:t>Rozvoj trhu vodíkových vozidel</w:t>
            </w:r>
            <w:r w:rsidR="00EC10F9">
              <w:t xml:space="preserve"> (kap. 4.3.1.)</w:t>
            </w:r>
          </w:p>
        </w:tc>
      </w:tr>
      <w:tr w:rsidR="00BB6609" w14:paraId="71009871" w14:textId="77777777" w:rsidTr="00B502A0">
        <w:trPr>
          <w:trHeight w:val="783"/>
        </w:trPr>
        <w:tc>
          <w:tcPr>
            <w:tcW w:w="1093" w:type="pct"/>
            <w:tcBorders>
              <w:top w:val="single" w:sz="4" w:space="0" w:color="auto"/>
              <w:left w:val="single" w:sz="12" w:space="0" w:color="auto"/>
              <w:bottom w:val="single" w:sz="4" w:space="0" w:color="auto"/>
              <w:right w:val="single" w:sz="12" w:space="0" w:color="auto"/>
            </w:tcBorders>
            <w:hideMark/>
          </w:tcPr>
          <w:p w14:paraId="0B2559F0" w14:textId="77777777" w:rsidR="001530C0" w:rsidRDefault="001530C0" w:rsidP="009A3B7E">
            <w:pPr>
              <w:jc w:val="both"/>
            </w:pPr>
            <w:r>
              <w:t xml:space="preserve">Cíl opatření </w:t>
            </w:r>
          </w:p>
        </w:tc>
        <w:tc>
          <w:tcPr>
            <w:tcW w:w="3907" w:type="pct"/>
            <w:tcBorders>
              <w:top w:val="single" w:sz="4" w:space="0" w:color="auto"/>
              <w:left w:val="single" w:sz="12" w:space="0" w:color="auto"/>
              <w:bottom w:val="single" w:sz="4" w:space="0" w:color="auto"/>
              <w:right w:val="single" w:sz="12" w:space="0" w:color="auto"/>
            </w:tcBorders>
            <w:hideMark/>
          </w:tcPr>
          <w:p w14:paraId="32F80C67" w14:textId="77777777" w:rsidR="001530C0" w:rsidRDefault="001530C0" w:rsidP="00B502A0">
            <w:pPr>
              <w:spacing w:before="60" w:after="60"/>
              <w:jc w:val="both"/>
            </w:pPr>
            <w:r>
              <w:t>Cílem opatření je podpořit penetraci nákladních vozidel</w:t>
            </w:r>
            <w:r w:rsidR="0062154C">
              <w:t xml:space="preserve"> na alternativní paliva</w:t>
            </w:r>
            <w:r w:rsidR="00ED449F">
              <w:t>.</w:t>
            </w:r>
            <w:r>
              <w:t xml:space="preserve"> </w:t>
            </w:r>
          </w:p>
        </w:tc>
      </w:tr>
      <w:tr w:rsidR="00BB6609" w14:paraId="1E6F5586" w14:textId="77777777" w:rsidTr="00B502A0">
        <w:trPr>
          <w:trHeight w:val="52"/>
        </w:trPr>
        <w:tc>
          <w:tcPr>
            <w:tcW w:w="1093" w:type="pct"/>
            <w:tcBorders>
              <w:top w:val="single" w:sz="4" w:space="0" w:color="auto"/>
              <w:left w:val="single" w:sz="12" w:space="0" w:color="auto"/>
              <w:bottom w:val="single" w:sz="4" w:space="0" w:color="auto"/>
              <w:right w:val="single" w:sz="12" w:space="0" w:color="auto"/>
            </w:tcBorders>
            <w:hideMark/>
          </w:tcPr>
          <w:p w14:paraId="3EE51CC3" w14:textId="77777777" w:rsidR="001530C0" w:rsidRDefault="001530C0" w:rsidP="009A3B7E">
            <w:pPr>
              <w:jc w:val="both"/>
            </w:pPr>
            <w:r>
              <w:t>Popis opatření</w:t>
            </w:r>
          </w:p>
        </w:tc>
        <w:tc>
          <w:tcPr>
            <w:tcW w:w="3907" w:type="pct"/>
            <w:tcBorders>
              <w:top w:val="single" w:sz="4" w:space="0" w:color="auto"/>
              <w:left w:val="single" w:sz="12" w:space="0" w:color="auto"/>
              <w:bottom w:val="single" w:sz="4" w:space="0" w:color="auto"/>
              <w:right w:val="single" w:sz="12" w:space="0" w:color="auto"/>
            </w:tcBorders>
            <w:hideMark/>
          </w:tcPr>
          <w:p w14:paraId="768D4C76" w14:textId="77777777" w:rsidR="001530C0" w:rsidRDefault="001530C0" w:rsidP="00B502A0">
            <w:pPr>
              <w:spacing w:before="60" w:after="60"/>
              <w:jc w:val="both"/>
            </w:pPr>
            <w:r>
              <w:t>Na základě výsledků provedených analýz nastavení podpory na nákup nákladních vozidel</w:t>
            </w:r>
            <w:r w:rsidR="00ED449F">
              <w:t xml:space="preserve"> na alternativní paliva</w:t>
            </w:r>
            <w:r>
              <w:t>.</w:t>
            </w:r>
          </w:p>
          <w:p w14:paraId="25BB5317" w14:textId="5606E32E" w:rsidR="001530C0" w:rsidRDefault="001530C0" w:rsidP="005A1247">
            <w:pPr>
              <w:spacing w:before="60" w:after="60"/>
              <w:jc w:val="both"/>
            </w:pPr>
            <w:r w:rsidRPr="000A49C7">
              <w:t>Nastavení podpory vícenákladů spojených s</w:t>
            </w:r>
            <w:r w:rsidR="005A1247">
              <w:t> </w:t>
            </w:r>
            <w:r w:rsidRPr="000A49C7">
              <w:t>nákupem nákladních vozidel</w:t>
            </w:r>
            <w:r w:rsidR="00ED449F">
              <w:t xml:space="preserve"> na alternativní paliva</w:t>
            </w:r>
            <w:r w:rsidRPr="000A49C7">
              <w:t>. Jedná se o</w:t>
            </w:r>
            <w:r w:rsidR="005A1247">
              <w:t> </w:t>
            </w:r>
            <w:r w:rsidRPr="000A49C7">
              <w:t>rozšířený nástroj, jehož cílem je napomoci prvotnímu rozvoji trhu s</w:t>
            </w:r>
            <w:r w:rsidR="005A1247">
              <w:t> </w:t>
            </w:r>
            <w:r w:rsidRPr="000A49C7">
              <w:t>vozidly</w:t>
            </w:r>
            <w:r w:rsidR="00ED449F">
              <w:t xml:space="preserve"> na alternativní paliva</w:t>
            </w:r>
            <w:r w:rsidRPr="000A49C7">
              <w:t>. Podpora představuje finanční motivaci pro dopravce a</w:t>
            </w:r>
            <w:r w:rsidR="005A1247">
              <w:t> </w:t>
            </w:r>
            <w:r w:rsidRPr="000A49C7">
              <w:t>znamená nejen zkrácení doby návratnosti investice do nové flotily vozidel, ale také pomůže překonat obavy uživatelů z</w:t>
            </w:r>
            <w:r w:rsidR="005A1247">
              <w:t> </w:t>
            </w:r>
            <w:r w:rsidRPr="000A49C7">
              <w:t>pořízení dosud neznámé technologie.</w:t>
            </w:r>
          </w:p>
        </w:tc>
      </w:tr>
      <w:tr w:rsidR="00BB6609" w14:paraId="3994F7D4" w14:textId="77777777" w:rsidTr="00B502A0">
        <w:trPr>
          <w:trHeight w:val="52"/>
        </w:trPr>
        <w:tc>
          <w:tcPr>
            <w:tcW w:w="1093" w:type="pct"/>
            <w:tcBorders>
              <w:top w:val="single" w:sz="4" w:space="0" w:color="auto"/>
              <w:left w:val="single" w:sz="12" w:space="0" w:color="auto"/>
              <w:bottom w:val="single" w:sz="4" w:space="0" w:color="auto"/>
              <w:right w:val="single" w:sz="12" w:space="0" w:color="auto"/>
            </w:tcBorders>
            <w:hideMark/>
          </w:tcPr>
          <w:p w14:paraId="3030CA0D" w14:textId="5CDA7B65" w:rsidR="001530C0" w:rsidRDefault="001530C0" w:rsidP="005A1247">
            <w:pPr>
              <w:jc w:val="both"/>
            </w:pPr>
            <w:r>
              <w:t>Využití opatření v</w:t>
            </w:r>
            <w:r w:rsidR="005A1247">
              <w:t> </w:t>
            </w:r>
            <w:r>
              <w:t>Evropě/ ve světě</w:t>
            </w:r>
          </w:p>
        </w:tc>
        <w:tc>
          <w:tcPr>
            <w:tcW w:w="3907" w:type="pct"/>
            <w:tcBorders>
              <w:top w:val="single" w:sz="4" w:space="0" w:color="auto"/>
              <w:left w:val="single" w:sz="12" w:space="0" w:color="auto"/>
              <w:bottom w:val="single" w:sz="4" w:space="0" w:color="auto"/>
              <w:right w:val="single" w:sz="12" w:space="0" w:color="auto"/>
            </w:tcBorders>
            <w:hideMark/>
          </w:tcPr>
          <w:p w14:paraId="5AC41C6D" w14:textId="77777777" w:rsidR="001530C0" w:rsidRPr="00033FFF" w:rsidRDefault="001530C0" w:rsidP="00B502A0">
            <w:pPr>
              <w:spacing w:before="60" w:after="60"/>
              <w:jc w:val="both"/>
              <w:rPr>
                <w:b/>
              </w:rPr>
            </w:pPr>
            <w:r w:rsidRPr="00033FFF">
              <w:rPr>
                <w:b/>
              </w:rPr>
              <w:t>Vodík:</w:t>
            </w:r>
          </w:p>
          <w:p w14:paraId="30837B48" w14:textId="77777777" w:rsidR="001530C0" w:rsidRDefault="001530C0" w:rsidP="00B502A0">
            <w:pPr>
              <w:spacing w:before="60" w:after="60"/>
              <w:jc w:val="both"/>
            </w:pPr>
            <w:r>
              <w:t>Norsko – pilotní projekt společnosti ASKO (testování dvou nákladních vodíkových vozidel)</w:t>
            </w:r>
          </w:p>
          <w:p w14:paraId="3F1D5265" w14:textId="77777777" w:rsidR="001530C0" w:rsidRDefault="001530C0" w:rsidP="00B502A0">
            <w:pPr>
              <w:spacing w:before="60" w:after="60"/>
              <w:jc w:val="both"/>
            </w:pPr>
            <w:r>
              <w:t>„1000 trucks“ idea na vodík – Švýcarsko do roku 2023, Francie do roku 2028</w:t>
            </w:r>
          </w:p>
          <w:p w14:paraId="62EED357" w14:textId="39C6EE21" w:rsidR="001530C0" w:rsidRDefault="001530C0" w:rsidP="00B502A0">
            <w:pPr>
              <w:spacing w:before="60" w:after="60"/>
              <w:jc w:val="both"/>
            </w:pPr>
            <w:r w:rsidRPr="00BF2C37">
              <w:t>LNG</w:t>
            </w:r>
            <w:r w:rsidR="00C77546">
              <w:t xml:space="preserve"> – finanční</w:t>
            </w:r>
            <w:r>
              <w:t xml:space="preserve"> podpora na nákup každého nového vozidla: </w:t>
            </w:r>
          </w:p>
          <w:p w14:paraId="7F2EAAF6" w14:textId="58F09BB8" w:rsidR="001530C0" w:rsidRDefault="001530C0" w:rsidP="00B502A0">
            <w:pPr>
              <w:spacing w:before="60" w:after="60"/>
              <w:jc w:val="both"/>
            </w:pPr>
            <w:r>
              <w:t>Německo – do roku 2020 podpora 12 tis. EUR, max. míra podpory 40</w:t>
            </w:r>
            <w:r w:rsidR="00BC507E">
              <w:t> </w:t>
            </w:r>
            <w:r>
              <w:t>% ceny vozidla</w:t>
            </w:r>
          </w:p>
          <w:p w14:paraId="3C6190F6" w14:textId="164F4399" w:rsidR="001530C0" w:rsidRDefault="001530C0" w:rsidP="00B502A0">
            <w:pPr>
              <w:spacing w:before="60" w:after="60"/>
              <w:jc w:val="both"/>
            </w:pPr>
            <w:r>
              <w:t>Španělsko – v</w:t>
            </w:r>
            <w:r w:rsidR="005A1247">
              <w:t> </w:t>
            </w:r>
            <w:r>
              <w:t xml:space="preserve">roce 2018 podpora 18 tis. EUR </w:t>
            </w:r>
          </w:p>
          <w:p w14:paraId="0602EEEF" w14:textId="4659EBF7" w:rsidR="001530C0" w:rsidRDefault="001530C0" w:rsidP="005A1247">
            <w:pPr>
              <w:spacing w:before="60" w:after="60"/>
              <w:jc w:val="both"/>
            </w:pPr>
            <w:r>
              <w:t>Itálie – v</w:t>
            </w:r>
            <w:r w:rsidR="005A1247">
              <w:t> </w:t>
            </w:r>
            <w:r>
              <w:t>roce 2018 podpora 20 tis. EUR</w:t>
            </w:r>
          </w:p>
        </w:tc>
      </w:tr>
      <w:tr w:rsidR="00BB6609" w14:paraId="5642F069" w14:textId="77777777" w:rsidTr="00B502A0">
        <w:trPr>
          <w:trHeight w:val="52"/>
        </w:trPr>
        <w:tc>
          <w:tcPr>
            <w:tcW w:w="1093" w:type="pct"/>
            <w:tcBorders>
              <w:top w:val="single" w:sz="4" w:space="0" w:color="auto"/>
              <w:left w:val="single" w:sz="12" w:space="0" w:color="auto"/>
              <w:bottom w:val="single" w:sz="4" w:space="0" w:color="auto"/>
              <w:right w:val="single" w:sz="12" w:space="0" w:color="auto"/>
            </w:tcBorders>
            <w:hideMark/>
          </w:tcPr>
          <w:p w14:paraId="22F451EA" w14:textId="77777777" w:rsidR="001530C0" w:rsidRDefault="001530C0" w:rsidP="009A3B7E">
            <w:pPr>
              <w:jc w:val="both"/>
            </w:pPr>
            <w:r>
              <w:t>Rozpočtový dopad / financování</w:t>
            </w:r>
          </w:p>
        </w:tc>
        <w:tc>
          <w:tcPr>
            <w:tcW w:w="3907" w:type="pct"/>
            <w:tcBorders>
              <w:top w:val="single" w:sz="4" w:space="0" w:color="auto"/>
              <w:left w:val="single" w:sz="12" w:space="0" w:color="auto"/>
              <w:bottom w:val="single" w:sz="4" w:space="0" w:color="auto"/>
              <w:right w:val="single" w:sz="12" w:space="0" w:color="auto"/>
            </w:tcBorders>
            <w:hideMark/>
          </w:tcPr>
          <w:p w14:paraId="11F745F1" w14:textId="77777777" w:rsidR="001530C0" w:rsidRDefault="00042582" w:rsidP="00B502A0">
            <w:pPr>
              <w:spacing w:before="60" w:after="60"/>
              <w:jc w:val="both"/>
            </w:pPr>
            <w:r>
              <w:t>OP TAK</w:t>
            </w:r>
            <w:r w:rsidR="001530C0">
              <w:t>, CEF, NPŽP</w:t>
            </w:r>
          </w:p>
        </w:tc>
      </w:tr>
      <w:tr w:rsidR="00BB6609" w14:paraId="5F1244AB" w14:textId="77777777" w:rsidTr="00B502A0">
        <w:trPr>
          <w:trHeight w:val="52"/>
        </w:trPr>
        <w:tc>
          <w:tcPr>
            <w:tcW w:w="1093" w:type="pct"/>
            <w:tcBorders>
              <w:top w:val="single" w:sz="4" w:space="0" w:color="auto"/>
              <w:left w:val="single" w:sz="12" w:space="0" w:color="auto"/>
              <w:bottom w:val="single" w:sz="4" w:space="0" w:color="auto"/>
              <w:right w:val="single" w:sz="12" w:space="0" w:color="auto"/>
            </w:tcBorders>
            <w:hideMark/>
          </w:tcPr>
          <w:p w14:paraId="610DDF62" w14:textId="77777777" w:rsidR="001530C0" w:rsidRDefault="001530C0" w:rsidP="009A3B7E">
            <w:pPr>
              <w:jc w:val="both"/>
            </w:pPr>
            <w:r>
              <w:t>Odpovědnost</w:t>
            </w:r>
          </w:p>
        </w:tc>
        <w:tc>
          <w:tcPr>
            <w:tcW w:w="3907" w:type="pct"/>
            <w:tcBorders>
              <w:top w:val="single" w:sz="4" w:space="0" w:color="auto"/>
              <w:left w:val="single" w:sz="12" w:space="0" w:color="auto"/>
              <w:bottom w:val="single" w:sz="4" w:space="0" w:color="auto"/>
              <w:right w:val="single" w:sz="12" w:space="0" w:color="auto"/>
            </w:tcBorders>
            <w:hideMark/>
          </w:tcPr>
          <w:p w14:paraId="6C3F9A60" w14:textId="77777777" w:rsidR="001530C0" w:rsidRDefault="001530C0" w:rsidP="00B502A0">
            <w:pPr>
              <w:spacing w:before="60" w:after="60"/>
              <w:jc w:val="both"/>
            </w:pPr>
            <w:r>
              <w:t>MPO</w:t>
            </w:r>
          </w:p>
        </w:tc>
      </w:tr>
      <w:tr w:rsidR="00BB6609" w14:paraId="4133E896" w14:textId="77777777" w:rsidTr="00B502A0">
        <w:trPr>
          <w:trHeight w:val="52"/>
        </w:trPr>
        <w:tc>
          <w:tcPr>
            <w:tcW w:w="1093" w:type="pct"/>
            <w:tcBorders>
              <w:top w:val="single" w:sz="4" w:space="0" w:color="auto"/>
              <w:left w:val="single" w:sz="12" w:space="0" w:color="auto"/>
              <w:bottom w:val="single" w:sz="4" w:space="0" w:color="auto"/>
              <w:right w:val="single" w:sz="12" w:space="0" w:color="auto"/>
            </w:tcBorders>
            <w:hideMark/>
          </w:tcPr>
          <w:p w14:paraId="5AE12E42" w14:textId="77777777" w:rsidR="001530C0" w:rsidRDefault="001530C0" w:rsidP="009A3B7E">
            <w:pPr>
              <w:jc w:val="both"/>
            </w:pPr>
            <w:r>
              <w:t>Spolupráce</w:t>
            </w:r>
          </w:p>
        </w:tc>
        <w:tc>
          <w:tcPr>
            <w:tcW w:w="3907" w:type="pct"/>
            <w:tcBorders>
              <w:top w:val="single" w:sz="4" w:space="0" w:color="auto"/>
              <w:left w:val="single" w:sz="12" w:space="0" w:color="auto"/>
              <w:bottom w:val="single" w:sz="4" w:space="0" w:color="auto"/>
              <w:right w:val="single" w:sz="12" w:space="0" w:color="auto"/>
            </w:tcBorders>
            <w:hideMark/>
          </w:tcPr>
          <w:p w14:paraId="0BB88786" w14:textId="77777777" w:rsidR="001530C0" w:rsidRDefault="001530C0" w:rsidP="00B502A0">
            <w:pPr>
              <w:spacing w:before="60" w:after="60"/>
              <w:jc w:val="both"/>
            </w:pPr>
            <w:r>
              <w:t>MŽP, MD</w:t>
            </w:r>
          </w:p>
        </w:tc>
      </w:tr>
      <w:tr w:rsidR="00BB6609" w14:paraId="32613573" w14:textId="77777777" w:rsidTr="00B502A0">
        <w:trPr>
          <w:trHeight w:val="52"/>
        </w:trPr>
        <w:tc>
          <w:tcPr>
            <w:tcW w:w="1093" w:type="pct"/>
            <w:tcBorders>
              <w:top w:val="single" w:sz="4" w:space="0" w:color="auto"/>
              <w:left w:val="single" w:sz="12" w:space="0" w:color="auto"/>
              <w:bottom w:val="single" w:sz="12" w:space="0" w:color="auto"/>
              <w:right w:val="single" w:sz="12" w:space="0" w:color="auto"/>
            </w:tcBorders>
            <w:hideMark/>
          </w:tcPr>
          <w:p w14:paraId="7F6E9236" w14:textId="77777777" w:rsidR="001530C0" w:rsidRDefault="001530C0" w:rsidP="009A3B7E">
            <w:pPr>
              <w:jc w:val="both"/>
            </w:pPr>
            <w:r>
              <w:t>Termín</w:t>
            </w:r>
          </w:p>
        </w:tc>
        <w:tc>
          <w:tcPr>
            <w:tcW w:w="3907" w:type="pct"/>
            <w:tcBorders>
              <w:top w:val="single" w:sz="4" w:space="0" w:color="auto"/>
              <w:left w:val="single" w:sz="12" w:space="0" w:color="auto"/>
              <w:bottom w:val="single" w:sz="12" w:space="0" w:color="auto"/>
              <w:right w:val="single" w:sz="12" w:space="0" w:color="auto"/>
            </w:tcBorders>
            <w:hideMark/>
          </w:tcPr>
          <w:p w14:paraId="4FEC2C02" w14:textId="77777777" w:rsidR="001530C0" w:rsidRDefault="001530C0" w:rsidP="00B502A0">
            <w:pPr>
              <w:spacing w:before="60" w:after="60"/>
              <w:jc w:val="both"/>
            </w:pPr>
            <w:r>
              <w:t>2020-2027</w:t>
            </w:r>
          </w:p>
        </w:tc>
      </w:tr>
    </w:tbl>
    <w:p w14:paraId="564C45C2" w14:textId="77777777" w:rsidR="001530C0" w:rsidRDefault="001530C0" w:rsidP="009A3B7E">
      <w:pPr>
        <w:spacing w:before="0" w:after="0"/>
        <w:jc w:val="both"/>
      </w:pPr>
      <w:r>
        <w:br w:type="page"/>
      </w:r>
    </w:p>
    <w:p w14:paraId="471CFA2B" w14:textId="0E2F3D25" w:rsidR="001530C0" w:rsidRDefault="001530C0" w:rsidP="009A3B7E">
      <w:pPr>
        <w:pStyle w:val="Nadpis3"/>
        <w:jc w:val="both"/>
      </w:pPr>
      <w:bookmarkStart w:id="95" w:name="_Toc21589155"/>
      <w:r>
        <w:lastRenderedPageBreak/>
        <w:t>S1</w:t>
      </w:r>
      <w:r w:rsidR="00325840">
        <w:t>3</w:t>
      </w:r>
      <w:r>
        <w:t xml:space="preserve"> </w:t>
      </w:r>
      <w:r w:rsidRPr="009C4278">
        <w:t>Podpora rozvoje čisté mobility ve vnitrozemské vodní dopravě</w:t>
      </w:r>
      <w:bookmarkEnd w:id="95"/>
    </w:p>
    <w:tbl>
      <w:tblPr>
        <w:tblW w:w="0" w:type="auto"/>
        <w:jc w:val="center"/>
        <w:tblCellMar>
          <w:left w:w="0" w:type="dxa"/>
          <w:right w:w="0" w:type="dxa"/>
        </w:tblCellMar>
        <w:tblLook w:val="00A0" w:firstRow="1" w:lastRow="0" w:firstColumn="1" w:lastColumn="0" w:noHBand="0" w:noVBand="0"/>
      </w:tblPr>
      <w:tblGrid>
        <w:gridCol w:w="1981"/>
        <w:gridCol w:w="7061"/>
      </w:tblGrid>
      <w:tr w:rsidR="001530C0" w:rsidRPr="00D5678F" w14:paraId="0F7DDF11" w14:textId="77777777" w:rsidTr="00B502A0">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3DB62388" w14:textId="2D43E71D" w:rsidR="001530C0" w:rsidRPr="00D5678F" w:rsidRDefault="001530C0" w:rsidP="00776D10">
            <w:pPr>
              <w:pStyle w:val="Zhlavtabulky"/>
              <w:spacing w:before="60" w:after="60"/>
              <w:jc w:val="both"/>
              <w:rPr>
                <w:rFonts w:cs="Arial"/>
                <w:szCs w:val="22"/>
              </w:rPr>
            </w:pPr>
            <w:r>
              <w:rPr>
                <w:color w:val="FFFFFF" w:themeColor="background1"/>
                <w:szCs w:val="22"/>
              </w:rPr>
              <w:t>S1</w:t>
            </w:r>
            <w:r w:rsidR="00325840">
              <w:rPr>
                <w:color w:val="FFFFFF" w:themeColor="background1"/>
                <w:szCs w:val="22"/>
              </w:rPr>
              <w:t>3</w:t>
            </w:r>
            <w:r w:rsidRPr="00D13738">
              <w:rPr>
                <w:color w:val="FFFFFF" w:themeColor="background1"/>
                <w:szCs w:val="22"/>
              </w:rPr>
              <w:t xml:space="preserve"> Podpora rozvoje čisté mobility ve vnitrozemské vodní dopravě </w:t>
            </w:r>
          </w:p>
        </w:tc>
      </w:tr>
      <w:tr w:rsidR="00BB6609" w:rsidRPr="00D5678F" w14:paraId="5A80FAFF" w14:textId="77777777" w:rsidTr="00B502A0">
        <w:trPr>
          <w:cantSplit/>
          <w:jc w:val="center"/>
        </w:trPr>
        <w:tc>
          <w:tcPr>
            <w:tcW w:w="1984" w:type="dxa"/>
            <w:tcBorders>
              <w:top w:val="single" w:sz="12" w:space="0" w:color="auto"/>
              <w:left w:val="single" w:sz="12" w:space="0" w:color="auto"/>
              <w:bottom w:val="single" w:sz="4" w:space="0" w:color="auto"/>
              <w:right w:val="single" w:sz="12" w:space="0" w:color="auto"/>
            </w:tcBorders>
            <w:tcMar>
              <w:top w:w="0" w:type="dxa"/>
              <w:left w:w="70" w:type="dxa"/>
              <w:bottom w:w="0" w:type="dxa"/>
              <w:right w:w="70" w:type="dxa"/>
            </w:tcMar>
          </w:tcPr>
          <w:p w14:paraId="6AE34DAA" w14:textId="77777777" w:rsidR="001530C0" w:rsidRPr="00D13738" w:rsidRDefault="001530C0" w:rsidP="009A3B7E">
            <w:pPr>
              <w:spacing w:before="60" w:after="60"/>
              <w:jc w:val="both"/>
              <w:rPr>
                <w:rFonts w:cs="Arial"/>
                <w:szCs w:val="20"/>
              </w:rPr>
            </w:pPr>
            <w:r w:rsidRPr="00D13738">
              <w:rPr>
                <w:rFonts w:cs="Arial"/>
                <w:szCs w:val="20"/>
              </w:rPr>
              <w:t>Návaznost na strategický cíl</w:t>
            </w:r>
          </w:p>
        </w:tc>
        <w:tc>
          <w:tcPr>
            <w:tcW w:w="7087" w:type="dxa"/>
            <w:tcBorders>
              <w:top w:val="single" w:sz="12" w:space="0" w:color="auto"/>
              <w:left w:val="nil"/>
              <w:bottom w:val="single" w:sz="4" w:space="0" w:color="auto"/>
              <w:right w:val="single" w:sz="12" w:space="0" w:color="auto"/>
            </w:tcBorders>
            <w:tcMar>
              <w:top w:w="0" w:type="dxa"/>
              <w:left w:w="70" w:type="dxa"/>
              <w:bottom w:w="0" w:type="dxa"/>
              <w:right w:w="70" w:type="dxa"/>
            </w:tcMar>
          </w:tcPr>
          <w:p w14:paraId="2D275F55" w14:textId="77777777" w:rsidR="001530C0" w:rsidRPr="00D13738" w:rsidRDefault="001530C0" w:rsidP="00B502A0">
            <w:pPr>
              <w:pStyle w:val="TableText"/>
              <w:spacing w:before="60" w:after="60" w:line="240" w:lineRule="auto"/>
              <w:jc w:val="both"/>
              <w:rPr>
                <w:rFonts w:cs="Arial"/>
                <w:sz w:val="22"/>
                <w:szCs w:val="22"/>
              </w:rPr>
            </w:pPr>
            <w:r w:rsidRPr="00432DDF">
              <w:rPr>
                <w:rFonts w:cs="Arial"/>
                <w:sz w:val="22"/>
              </w:rPr>
              <w:t>Rozvoj čisté mobility ve vnitrozemské vodní dopravě</w:t>
            </w:r>
            <w:r w:rsidR="00EC10F9">
              <w:rPr>
                <w:rFonts w:cs="Arial"/>
                <w:sz w:val="22"/>
              </w:rPr>
              <w:t xml:space="preserve"> (kap. 6.1)</w:t>
            </w:r>
          </w:p>
        </w:tc>
      </w:tr>
      <w:tr w:rsidR="00BB6609" w:rsidRPr="00D5678F" w14:paraId="013A0910"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129EE8B" w14:textId="77777777" w:rsidR="001530C0" w:rsidRPr="00D13738" w:rsidRDefault="001530C0" w:rsidP="009A3B7E">
            <w:pPr>
              <w:spacing w:before="60" w:after="60"/>
              <w:jc w:val="both"/>
              <w:rPr>
                <w:rFonts w:cs="Arial"/>
                <w:szCs w:val="20"/>
              </w:rPr>
            </w:pPr>
            <w:r w:rsidRPr="00D13738">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60B0FF2B" w14:textId="592BE76E" w:rsidR="001530C0" w:rsidRPr="00D13738" w:rsidRDefault="001530C0" w:rsidP="005A1247">
            <w:pPr>
              <w:spacing w:before="60" w:after="60"/>
              <w:jc w:val="both"/>
              <w:rPr>
                <w:rFonts w:cs="Arial"/>
                <w:szCs w:val="20"/>
              </w:rPr>
            </w:pPr>
            <w:r w:rsidRPr="00D13738">
              <w:rPr>
                <w:szCs w:val="20"/>
              </w:rPr>
              <w:t>Cílem opatření je definovat finanční rámec pro rozvoj bezemisních a</w:t>
            </w:r>
            <w:r w:rsidR="005A1247">
              <w:rPr>
                <w:szCs w:val="20"/>
              </w:rPr>
              <w:t> </w:t>
            </w:r>
            <w:r w:rsidRPr="00D13738">
              <w:rPr>
                <w:szCs w:val="20"/>
              </w:rPr>
              <w:t xml:space="preserve">nízkoemisních říčních plavidel ČR </w:t>
            </w:r>
          </w:p>
        </w:tc>
      </w:tr>
      <w:tr w:rsidR="00BB6609" w:rsidRPr="00D5678F" w14:paraId="44B05763"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A7A68A1" w14:textId="77777777" w:rsidR="001530C0" w:rsidRPr="00D13738" w:rsidRDefault="001530C0" w:rsidP="009A3B7E">
            <w:pPr>
              <w:spacing w:before="60" w:after="60"/>
              <w:jc w:val="both"/>
              <w:rPr>
                <w:rFonts w:cs="Arial"/>
                <w:szCs w:val="20"/>
              </w:rPr>
            </w:pPr>
            <w:r w:rsidRPr="00D13738">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50CBCB6" w14:textId="7F8947C2" w:rsidR="001530C0" w:rsidRPr="00D13738" w:rsidRDefault="002C16D5" w:rsidP="005A1247">
            <w:pPr>
              <w:pStyle w:val="TableText"/>
              <w:spacing w:before="60" w:after="60" w:line="240" w:lineRule="auto"/>
              <w:jc w:val="both"/>
              <w:rPr>
                <w:sz w:val="22"/>
              </w:rPr>
            </w:pPr>
            <w:r>
              <w:rPr>
                <w:sz w:val="22"/>
              </w:rPr>
              <w:t xml:space="preserve">Do </w:t>
            </w:r>
            <w:r w:rsidR="001530C0" w:rsidRPr="00D13738">
              <w:rPr>
                <w:sz w:val="22"/>
              </w:rPr>
              <w:t>ro</w:t>
            </w:r>
            <w:r>
              <w:rPr>
                <w:sz w:val="22"/>
              </w:rPr>
              <w:t xml:space="preserve">ku </w:t>
            </w:r>
            <w:r w:rsidR="001530C0" w:rsidRPr="00D13738">
              <w:rPr>
                <w:sz w:val="22"/>
              </w:rPr>
              <w:t>202</w:t>
            </w:r>
            <w:r>
              <w:rPr>
                <w:sz w:val="22"/>
              </w:rPr>
              <w:t>1</w:t>
            </w:r>
            <w:r w:rsidR="001530C0" w:rsidRPr="00D13738">
              <w:rPr>
                <w:sz w:val="22"/>
              </w:rPr>
              <w:t xml:space="preserve"> vznikne studie analyzující potenciál využití alternativních paliv ve vnitrozemské vodní dopravě, která by měla vytvořit analytický podklad pro nastavení podpory nákupu bezemisních a</w:t>
            </w:r>
            <w:r w:rsidR="005A1247">
              <w:rPr>
                <w:sz w:val="22"/>
              </w:rPr>
              <w:t> </w:t>
            </w:r>
            <w:r w:rsidR="001530C0" w:rsidRPr="00D13738">
              <w:rPr>
                <w:sz w:val="22"/>
              </w:rPr>
              <w:t xml:space="preserve">nízkoemisních říčních plavidel ČR </w:t>
            </w:r>
            <w:r w:rsidR="001530C0" w:rsidRPr="005B2C5C">
              <w:rPr>
                <w:sz w:val="22"/>
              </w:rPr>
              <w:t>(elektrické, LNG případně i</w:t>
            </w:r>
            <w:r w:rsidR="005A1247">
              <w:rPr>
                <w:sz w:val="22"/>
              </w:rPr>
              <w:t> </w:t>
            </w:r>
            <w:r w:rsidR="001530C0" w:rsidRPr="005B2C5C">
              <w:rPr>
                <w:sz w:val="22"/>
              </w:rPr>
              <w:t>vodíkové lodě)</w:t>
            </w:r>
          </w:p>
        </w:tc>
      </w:tr>
      <w:tr w:rsidR="00BB6609" w:rsidRPr="00D5678F" w14:paraId="2F904FCB"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3C155B2D" w14:textId="2D240FD3" w:rsidR="001530C0" w:rsidRPr="00D13738" w:rsidRDefault="001530C0" w:rsidP="005A1247">
            <w:pPr>
              <w:spacing w:before="60" w:after="60"/>
              <w:jc w:val="both"/>
              <w:rPr>
                <w:rFonts w:cs="Arial"/>
                <w:szCs w:val="20"/>
              </w:rPr>
            </w:pPr>
            <w:r w:rsidRPr="00D13738">
              <w:rPr>
                <w:rFonts w:cs="Arial"/>
                <w:szCs w:val="20"/>
              </w:rPr>
              <w:t>Využití opatření jinde v</w:t>
            </w:r>
            <w:r w:rsidR="005A1247">
              <w:rPr>
                <w:rFonts w:cs="Arial"/>
                <w:szCs w:val="20"/>
              </w:rPr>
              <w:t> </w:t>
            </w:r>
            <w:r w:rsidRPr="00D13738">
              <w:rPr>
                <w:rFonts w:cs="Arial"/>
                <w:szCs w:val="20"/>
              </w:rPr>
              <w:t>Evropě / ve světě</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A57A637" w14:textId="77777777" w:rsidR="001530C0" w:rsidRPr="00D13738" w:rsidRDefault="001530C0" w:rsidP="00BB6609">
            <w:pPr>
              <w:pStyle w:val="Zpat"/>
              <w:spacing w:before="60" w:after="60"/>
              <w:jc w:val="both"/>
              <w:rPr>
                <w:rFonts w:cs="Arial"/>
                <w:szCs w:val="20"/>
              </w:rPr>
            </w:pPr>
            <w:r w:rsidRPr="00D13738">
              <w:rPr>
                <w:rFonts w:cs="Arial"/>
                <w:szCs w:val="20"/>
              </w:rPr>
              <w:t xml:space="preserve">Není známo </w:t>
            </w:r>
          </w:p>
        </w:tc>
      </w:tr>
      <w:tr w:rsidR="00BB6609" w:rsidRPr="00D5678F" w14:paraId="0DFD2D17"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E51E0FB" w14:textId="77777777" w:rsidR="001530C0" w:rsidRPr="00D13738" w:rsidRDefault="001530C0" w:rsidP="009A3B7E">
            <w:pPr>
              <w:spacing w:before="60" w:after="60"/>
              <w:jc w:val="both"/>
              <w:rPr>
                <w:rFonts w:cs="Arial"/>
                <w:szCs w:val="20"/>
              </w:rPr>
            </w:pPr>
            <w:r w:rsidRPr="00D13738">
              <w:rPr>
                <w:rFonts w:cs="Arial"/>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630ECE7" w14:textId="532CCCF5" w:rsidR="001530C0" w:rsidRPr="00D13738" w:rsidRDefault="006E03AD" w:rsidP="005A1247">
            <w:pPr>
              <w:pStyle w:val="Table-bulet"/>
              <w:numPr>
                <w:ilvl w:val="0"/>
                <w:numId w:val="0"/>
              </w:numPr>
              <w:spacing w:before="60" w:line="240" w:lineRule="auto"/>
              <w:contextualSpacing w:val="0"/>
              <w:jc w:val="both"/>
              <w:rPr>
                <w:sz w:val="22"/>
                <w:szCs w:val="22"/>
              </w:rPr>
            </w:pPr>
            <w:r>
              <w:rPr>
                <w:sz w:val="22"/>
                <w:szCs w:val="22"/>
              </w:rPr>
              <w:t>V této fázi bez přímého dopadu na státní rozpočet, protože se předpokládá využití finančních prostředků z</w:t>
            </w:r>
            <w:r w:rsidR="005A1247">
              <w:rPr>
                <w:sz w:val="22"/>
                <w:szCs w:val="22"/>
              </w:rPr>
              <w:t> </w:t>
            </w:r>
            <w:r>
              <w:rPr>
                <w:sz w:val="22"/>
                <w:szCs w:val="22"/>
              </w:rPr>
              <w:t>komunitárního programu CEF</w:t>
            </w:r>
          </w:p>
        </w:tc>
      </w:tr>
      <w:tr w:rsidR="00BB6609" w:rsidRPr="00D5678F" w14:paraId="07ECEC59"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4B796A9" w14:textId="77777777" w:rsidR="001530C0" w:rsidRPr="00D13738" w:rsidRDefault="001530C0" w:rsidP="009A3B7E">
            <w:pPr>
              <w:spacing w:before="60" w:after="60"/>
              <w:jc w:val="both"/>
              <w:rPr>
                <w:rFonts w:cs="Arial"/>
                <w:szCs w:val="20"/>
              </w:rPr>
            </w:pPr>
            <w:r w:rsidRPr="00D13738">
              <w:rPr>
                <w:rFonts w:cs="Arial"/>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21B99ED" w14:textId="77777777" w:rsidR="001530C0" w:rsidRPr="00D13738" w:rsidRDefault="002543B1" w:rsidP="006E03AD">
            <w:pPr>
              <w:pStyle w:val="Zpat"/>
              <w:spacing w:before="60" w:after="60"/>
              <w:jc w:val="both"/>
              <w:rPr>
                <w:rFonts w:cs="Arial"/>
                <w:szCs w:val="20"/>
              </w:rPr>
            </w:pPr>
            <w:r>
              <w:rPr>
                <w:rFonts w:cs="Arial"/>
                <w:szCs w:val="20"/>
              </w:rPr>
              <w:t xml:space="preserve">MD </w:t>
            </w:r>
          </w:p>
        </w:tc>
      </w:tr>
      <w:tr w:rsidR="00BB6609" w:rsidRPr="00D5678F" w14:paraId="752DE871"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2733BE3E" w14:textId="77777777" w:rsidR="001530C0" w:rsidRPr="00D13738" w:rsidRDefault="001530C0" w:rsidP="009A3B7E">
            <w:pPr>
              <w:spacing w:before="60" w:after="60"/>
              <w:jc w:val="both"/>
              <w:rPr>
                <w:rFonts w:cs="Arial"/>
                <w:szCs w:val="20"/>
              </w:rPr>
            </w:pPr>
            <w:r w:rsidRPr="00D13738">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071614F0" w14:textId="77777777" w:rsidR="001530C0" w:rsidRPr="00D13738" w:rsidRDefault="001530C0" w:rsidP="00BB6609">
            <w:pPr>
              <w:spacing w:before="60" w:after="60"/>
              <w:jc w:val="both"/>
              <w:rPr>
                <w:rFonts w:cs="Arial"/>
                <w:szCs w:val="20"/>
              </w:rPr>
            </w:pPr>
            <w:r w:rsidRPr="00D13738">
              <w:rPr>
                <w:rFonts w:cs="Arial"/>
                <w:szCs w:val="20"/>
              </w:rPr>
              <w:t>12/2022</w:t>
            </w:r>
          </w:p>
        </w:tc>
      </w:tr>
    </w:tbl>
    <w:p w14:paraId="7D3B2C29" w14:textId="77777777" w:rsidR="001530C0" w:rsidRDefault="001530C0" w:rsidP="009A3B7E">
      <w:pPr>
        <w:jc w:val="both"/>
      </w:pPr>
    </w:p>
    <w:p w14:paraId="621A1D80" w14:textId="77777777" w:rsidR="001530C0" w:rsidRDefault="001530C0" w:rsidP="009A3B7E">
      <w:pPr>
        <w:spacing w:before="0" w:after="0"/>
        <w:jc w:val="both"/>
      </w:pPr>
      <w:r>
        <w:br w:type="page"/>
      </w:r>
    </w:p>
    <w:p w14:paraId="1EEA940A" w14:textId="18228179" w:rsidR="001530C0" w:rsidRDefault="001530C0" w:rsidP="009A3B7E">
      <w:pPr>
        <w:pStyle w:val="Nadpis3"/>
        <w:jc w:val="both"/>
      </w:pPr>
      <w:bookmarkStart w:id="96" w:name="_Toc21589156"/>
      <w:r>
        <w:lastRenderedPageBreak/>
        <w:t>E</w:t>
      </w:r>
      <w:r w:rsidR="00325840">
        <w:t>12</w:t>
      </w:r>
      <w:r>
        <w:t xml:space="preserve"> </w:t>
      </w:r>
      <w:r w:rsidRPr="006C7529">
        <w:t>Podpora pořízení trolejbusů a</w:t>
      </w:r>
      <w:r w:rsidR="005A1247">
        <w:t> </w:t>
      </w:r>
      <w:r w:rsidRPr="006C7529">
        <w:t>tramvají s</w:t>
      </w:r>
      <w:r w:rsidR="005A1247">
        <w:t> </w:t>
      </w:r>
      <w:r w:rsidRPr="006C7529">
        <w:t>bateriovým pojezdem do flotil dopravních podniků a</w:t>
      </w:r>
      <w:r w:rsidR="005A1247">
        <w:t> </w:t>
      </w:r>
      <w:r w:rsidRPr="006C7529">
        <w:t xml:space="preserve">do flotil dopravců zajišťujících </w:t>
      </w:r>
      <w:r w:rsidR="005030A5">
        <w:t>veřejnou dopravu</w:t>
      </w:r>
      <w:bookmarkEnd w:id="96"/>
    </w:p>
    <w:tbl>
      <w:tblPr>
        <w:tblW w:w="0" w:type="auto"/>
        <w:jc w:val="center"/>
        <w:tblCellMar>
          <w:left w:w="0" w:type="dxa"/>
          <w:right w:w="0" w:type="dxa"/>
        </w:tblCellMar>
        <w:tblLook w:val="00A0" w:firstRow="1" w:lastRow="0" w:firstColumn="1" w:lastColumn="0" w:noHBand="0" w:noVBand="0"/>
      </w:tblPr>
      <w:tblGrid>
        <w:gridCol w:w="1971"/>
        <w:gridCol w:w="6934"/>
      </w:tblGrid>
      <w:tr w:rsidR="001530C0" w:rsidRPr="00D5678F" w14:paraId="6E1DC93E" w14:textId="77777777" w:rsidTr="0051083C">
        <w:trPr>
          <w:jc w:val="center"/>
        </w:trPr>
        <w:tc>
          <w:tcPr>
            <w:tcW w:w="8905"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283E03A0" w14:textId="48018C5A" w:rsidR="001530C0" w:rsidRPr="00D5678F" w:rsidRDefault="001530C0" w:rsidP="005A1247">
            <w:pPr>
              <w:pStyle w:val="Zhlavtabulky"/>
              <w:spacing w:before="60" w:after="60"/>
              <w:jc w:val="both"/>
              <w:rPr>
                <w:rFonts w:cs="Arial"/>
                <w:szCs w:val="22"/>
              </w:rPr>
            </w:pPr>
            <w:r w:rsidRPr="003A3332">
              <w:rPr>
                <w:rFonts w:cs="Arial"/>
                <w:color w:val="FFFFFF" w:themeColor="background1"/>
                <w:szCs w:val="22"/>
              </w:rPr>
              <w:t>E</w:t>
            </w:r>
            <w:r w:rsidR="00325840">
              <w:rPr>
                <w:rFonts w:cs="Arial"/>
                <w:color w:val="FFFFFF" w:themeColor="background1"/>
                <w:szCs w:val="22"/>
              </w:rPr>
              <w:t>12</w:t>
            </w:r>
            <w:r w:rsidR="008D0378">
              <w:rPr>
                <w:rFonts w:cs="Arial"/>
                <w:color w:val="FFFFFF" w:themeColor="background1"/>
                <w:szCs w:val="22"/>
              </w:rPr>
              <w:t xml:space="preserve"> </w:t>
            </w:r>
            <w:r w:rsidRPr="003A3332">
              <w:rPr>
                <w:rFonts w:cs="Arial"/>
                <w:color w:val="FFFFFF" w:themeColor="background1"/>
                <w:szCs w:val="22"/>
              </w:rPr>
              <w:t>Podpora pořízení trolejbusů a</w:t>
            </w:r>
            <w:r w:rsidR="005A1247">
              <w:rPr>
                <w:rFonts w:cs="Arial"/>
                <w:color w:val="FFFFFF" w:themeColor="background1"/>
                <w:szCs w:val="22"/>
              </w:rPr>
              <w:t> </w:t>
            </w:r>
            <w:r w:rsidRPr="003A3332">
              <w:rPr>
                <w:rFonts w:cs="Arial"/>
                <w:color w:val="FFFFFF" w:themeColor="background1"/>
                <w:szCs w:val="22"/>
              </w:rPr>
              <w:t>tramvají s</w:t>
            </w:r>
            <w:r w:rsidR="005A1247">
              <w:rPr>
                <w:rFonts w:cs="Arial"/>
                <w:color w:val="FFFFFF" w:themeColor="background1"/>
                <w:szCs w:val="22"/>
              </w:rPr>
              <w:t> </w:t>
            </w:r>
            <w:r w:rsidRPr="003A3332">
              <w:rPr>
                <w:rFonts w:cs="Arial"/>
                <w:color w:val="FFFFFF" w:themeColor="background1"/>
                <w:szCs w:val="22"/>
              </w:rPr>
              <w:t>bateriovým pojezdem do flotil dopravních podniků a</w:t>
            </w:r>
            <w:r w:rsidR="005A1247">
              <w:rPr>
                <w:rFonts w:cs="Arial"/>
                <w:color w:val="FFFFFF" w:themeColor="background1"/>
                <w:szCs w:val="22"/>
              </w:rPr>
              <w:t> </w:t>
            </w:r>
            <w:r w:rsidRPr="003A3332">
              <w:rPr>
                <w:rFonts w:cs="Arial"/>
                <w:color w:val="FFFFFF" w:themeColor="background1"/>
                <w:szCs w:val="22"/>
              </w:rPr>
              <w:t xml:space="preserve">do flotil dopravců zajišťujících </w:t>
            </w:r>
            <w:r w:rsidR="005030A5">
              <w:rPr>
                <w:rFonts w:cs="Arial"/>
                <w:color w:val="FFFFFF" w:themeColor="background1"/>
                <w:szCs w:val="22"/>
              </w:rPr>
              <w:t>veřejnou dopravu</w:t>
            </w:r>
            <w:r w:rsidRPr="003A3332">
              <w:rPr>
                <w:rFonts w:cs="Arial"/>
                <w:color w:val="FFFFFF" w:themeColor="background1"/>
                <w:szCs w:val="22"/>
              </w:rPr>
              <w:t xml:space="preserve"> </w:t>
            </w:r>
          </w:p>
        </w:tc>
      </w:tr>
      <w:tr w:rsidR="001530C0" w:rsidRPr="00D5678F" w14:paraId="4DC3CF2E" w14:textId="77777777" w:rsidTr="0051083C">
        <w:tblPrEx>
          <w:jc w:val="left"/>
          <w:tblCellMar>
            <w:left w:w="108" w:type="dxa"/>
            <w:right w:w="108" w:type="dxa"/>
          </w:tblCellMar>
        </w:tblPrEx>
        <w:tc>
          <w:tcPr>
            <w:tcW w:w="1971" w:type="dxa"/>
            <w:tcBorders>
              <w:top w:val="single" w:sz="12" w:space="0" w:color="auto"/>
              <w:left w:val="single" w:sz="12" w:space="0" w:color="auto"/>
              <w:bottom w:val="single" w:sz="4" w:space="0" w:color="auto"/>
              <w:right w:val="single" w:sz="12" w:space="0" w:color="auto"/>
            </w:tcBorders>
          </w:tcPr>
          <w:p w14:paraId="07BE519A" w14:textId="77777777" w:rsidR="001530C0" w:rsidRPr="006C7529" w:rsidRDefault="001530C0" w:rsidP="009A3B7E">
            <w:pPr>
              <w:spacing w:before="60" w:after="60"/>
              <w:jc w:val="both"/>
              <w:rPr>
                <w:rFonts w:cs="Arial"/>
                <w:szCs w:val="20"/>
              </w:rPr>
            </w:pPr>
            <w:r w:rsidRPr="006C7529">
              <w:rPr>
                <w:rFonts w:cs="Arial"/>
                <w:szCs w:val="20"/>
              </w:rPr>
              <w:t>Návaznost na strategický cíl</w:t>
            </w:r>
          </w:p>
        </w:tc>
        <w:tc>
          <w:tcPr>
            <w:tcW w:w="6934" w:type="dxa"/>
            <w:tcBorders>
              <w:top w:val="single" w:sz="12" w:space="0" w:color="auto"/>
              <w:left w:val="single" w:sz="12" w:space="0" w:color="auto"/>
              <w:bottom w:val="single" w:sz="4" w:space="0" w:color="auto"/>
              <w:right w:val="single" w:sz="12" w:space="0" w:color="auto"/>
            </w:tcBorders>
          </w:tcPr>
          <w:p w14:paraId="2B4D4103" w14:textId="77777777" w:rsidR="001530C0" w:rsidRPr="006C7529" w:rsidRDefault="001530C0" w:rsidP="009A3B7E">
            <w:pPr>
              <w:pStyle w:val="Normln10"/>
              <w:rPr>
                <w:rFonts w:cs="Arial"/>
                <w:sz w:val="22"/>
              </w:rPr>
            </w:pPr>
            <w:r>
              <w:rPr>
                <w:rFonts w:cs="Arial"/>
                <w:sz w:val="22"/>
                <w:szCs w:val="22"/>
              </w:rPr>
              <w:t xml:space="preserve">Rozvoj trhu elektrických </w:t>
            </w:r>
            <w:r w:rsidRPr="003D631D">
              <w:rPr>
                <w:rFonts w:cs="Arial"/>
                <w:sz w:val="22"/>
                <w:szCs w:val="22"/>
              </w:rPr>
              <w:t>vozidel</w:t>
            </w:r>
            <w:r w:rsidR="00EC10F9">
              <w:rPr>
                <w:rFonts w:cs="Arial"/>
                <w:sz w:val="22"/>
                <w:szCs w:val="22"/>
              </w:rPr>
              <w:t xml:space="preserve"> (kap. 2.4.1.)</w:t>
            </w:r>
          </w:p>
        </w:tc>
      </w:tr>
      <w:tr w:rsidR="001530C0" w:rsidRPr="00D5678F" w14:paraId="4780E4DC"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6BEFEF4D" w14:textId="77777777" w:rsidR="001530C0" w:rsidRPr="006C7529" w:rsidRDefault="001530C0" w:rsidP="009A3B7E">
            <w:pPr>
              <w:spacing w:before="60" w:after="60"/>
              <w:jc w:val="both"/>
              <w:rPr>
                <w:rFonts w:cs="Arial"/>
                <w:szCs w:val="20"/>
              </w:rPr>
            </w:pPr>
            <w:r w:rsidRPr="006C7529">
              <w:rPr>
                <w:rFonts w:cs="Arial"/>
                <w:szCs w:val="20"/>
              </w:rPr>
              <w:t>Cíl opatření</w:t>
            </w:r>
          </w:p>
        </w:tc>
        <w:tc>
          <w:tcPr>
            <w:tcW w:w="6934" w:type="dxa"/>
            <w:tcBorders>
              <w:top w:val="single" w:sz="4" w:space="0" w:color="auto"/>
              <w:left w:val="single" w:sz="12" w:space="0" w:color="auto"/>
              <w:bottom w:val="single" w:sz="4" w:space="0" w:color="auto"/>
              <w:right w:val="single" w:sz="12" w:space="0" w:color="auto"/>
            </w:tcBorders>
          </w:tcPr>
          <w:p w14:paraId="6EBC43C6" w14:textId="7ED87A20" w:rsidR="001530C0" w:rsidRPr="006C7529" w:rsidRDefault="001530C0" w:rsidP="005A1247">
            <w:pPr>
              <w:spacing w:before="60" w:after="60"/>
              <w:jc w:val="both"/>
              <w:rPr>
                <w:rFonts w:cs="Arial"/>
                <w:szCs w:val="20"/>
              </w:rPr>
            </w:pPr>
            <w:r w:rsidRPr="00EC0C59">
              <w:rPr>
                <w:rFonts w:cs="Arial"/>
                <w:szCs w:val="20"/>
              </w:rPr>
              <w:t>Pokračovat v</w:t>
            </w:r>
            <w:r w:rsidR="005A1247">
              <w:rPr>
                <w:rFonts w:cs="Arial"/>
                <w:szCs w:val="20"/>
              </w:rPr>
              <w:t> </w:t>
            </w:r>
            <w:r w:rsidRPr="00EC0C59">
              <w:rPr>
                <w:rFonts w:cs="Arial"/>
                <w:szCs w:val="20"/>
              </w:rPr>
              <w:t>podpoře nákupu vozidel městské drážní dopravy tak, aby dopravci obnovovali nebo rozšiřovali vozové parky bateriových (parciálních) trolejbusů, případně tramvají.</w:t>
            </w:r>
          </w:p>
        </w:tc>
      </w:tr>
      <w:tr w:rsidR="001530C0" w:rsidRPr="00D5678F" w14:paraId="1BA2FA96"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36D8B559" w14:textId="77777777" w:rsidR="001530C0" w:rsidRPr="006C7529" w:rsidRDefault="001530C0" w:rsidP="009A3B7E">
            <w:pPr>
              <w:spacing w:before="60" w:after="60"/>
              <w:jc w:val="both"/>
              <w:rPr>
                <w:rFonts w:cs="Arial"/>
                <w:szCs w:val="20"/>
              </w:rPr>
            </w:pPr>
            <w:r w:rsidRPr="006C7529">
              <w:rPr>
                <w:rFonts w:cs="Arial"/>
                <w:szCs w:val="20"/>
              </w:rPr>
              <w:t>Popis opatření</w:t>
            </w:r>
          </w:p>
        </w:tc>
        <w:tc>
          <w:tcPr>
            <w:tcW w:w="6934" w:type="dxa"/>
            <w:tcBorders>
              <w:top w:val="single" w:sz="4" w:space="0" w:color="auto"/>
              <w:left w:val="single" w:sz="12" w:space="0" w:color="auto"/>
              <w:bottom w:val="single" w:sz="4" w:space="0" w:color="auto"/>
              <w:right w:val="single" w:sz="12" w:space="0" w:color="auto"/>
            </w:tcBorders>
          </w:tcPr>
          <w:p w14:paraId="32B1E09D" w14:textId="064A8EB2" w:rsidR="001530C0" w:rsidRPr="00EC0C59" w:rsidRDefault="001530C0" w:rsidP="009A3B7E">
            <w:pPr>
              <w:spacing w:before="60" w:after="60"/>
              <w:jc w:val="both"/>
              <w:rPr>
                <w:rFonts w:cs="Arial"/>
                <w:szCs w:val="20"/>
              </w:rPr>
            </w:pPr>
            <w:r w:rsidRPr="00EC0C59">
              <w:rPr>
                <w:rFonts w:cs="Arial"/>
                <w:szCs w:val="20"/>
              </w:rPr>
              <w:t>Formou dotace přispět dopravcům poskytujícím veřejné služby v</w:t>
            </w:r>
            <w:r w:rsidR="005A1247">
              <w:rPr>
                <w:rFonts w:cs="Arial"/>
                <w:szCs w:val="20"/>
              </w:rPr>
              <w:t> </w:t>
            </w:r>
            <w:r w:rsidRPr="00EC0C59">
              <w:rPr>
                <w:rFonts w:cs="Arial"/>
                <w:szCs w:val="20"/>
              </w:rPr>
              <w:t>přepravě cestujících na pořízení bateriových (parciálních) trolejbusů, případně tramvají.</w:t>
            </w:r>
          </w:p>
          <w:p w14:paraId="6D02B33C" w14:textId="4F0E25A0" w:rsidR="001530C0" w:rsidRPr="006C7529" w:rsidRDefault="001530C0" w:rsidP="005A1247">
            <w:pPr>
              <w:spacing w:before="60" w:after="60"/>
              <w:jc w:val="both"/>
              <w:rPr>
                <w:rFonts w:cs="Arial"/>
                <w:szCs w:val="20"/>
              </w:rPr>
            </w:pPr>
            <w:r w:rsidRPr="00EC0C59">
              <w:rPr>
                <w:rFonts w:cs="Arial"/>
                <w:szCs w:val="20"/>
              </w:rPr>
              <w:t>Toto opatření se zároveň navrhuje v</w:t>
            </w:r>
            <w:r w:rsidR="005A1247">
              <w:rPr>
                <w:rFonts w:cs="Arial"/>
                <w:szCs w:val="20"/>
              </w:rPr>
              <w:t> </w:t>
            </w:r>
            <w:r w:rsidRPr="00EC0C59">
              <w:rPr>
                <w:rFonts w:cs="Arial"/>
                <w:szCs w:val="20"/>
              </w:rPr>
              <w:t>návaznosti na požadavek směrnice 2014/94/EU (čl. 3), aby vnitrostátní rámec politiky pro rozvoj trhu obsahoval mj. opatření, jež mohou napomoci při zavádění infrastruktury pro alternativní paliva ve službách veřejné dopravy. Opatření je významné i</w:t>
            </w:r>
            <w:r w:rsidR="005A1247">
              <w:rPr>
                <w:rFonts w:cs="Arial"/>
                <w:szCs w:val="20"/>
              </w:rPr>
              <w:t> </w:t>
            </w:r>
            <w:r w:rsidRPr="00EC0C59">
              <w:rPr>
                <w:rFonts w:cs="Arial"/>
                <w:szCs w:val="20"/>
              </w:rPr>
              <w:t>ve vztahu k</w:t>
            </w:r>
            <w:r w:rsidR="005A1247">
              <w:rPr>
                <w:rFonts w:cs="Arial"/>
                <w:szCs w:val="20"/>
              </w:rPr>
              <w:t> </w:t>
            </w:r>
            <w:r w:rsidRPr="00EC0C59">
              <w:rPr>
                <w:rFonts w:cs="Arial"/>
                <w:szCs w:val="20"/>
              </w:rPr>
              <w:t>novele směrnice 2009/33/ES o</w:t>
            </w:r>
            <w:r w:rsidR="005A1247">
              <w:rPr>
                <w:rFonts w:cs="Arial"/>
                <w:szCs w:val="20"/>
              </w:rPr>
              <w:t> </w:t>
            </w:r>
            <w:r w:rsidRPr="00EC0C59">
              <w:rPr>
                <w:rFonts w:cs="Arial"/>
                <w:szCs w:val="20"/>
              </w:rPr>
              <w:t>podpoře čistých a</w:t>
            </w:r>
            <w:r w:rsidR="005A1247">
              <w:rPr>
                <w:rFonts w:cs="Arial"/>
                <w:szCs w:val="20"/>
              </w:rPr>
              <w:t> </w:t>
            </w:r>
            <w:r w:rsidRPr="00EC0C59">
              <w:rPr>
                <w:rFonts w:cs="Arial"/>
                <w:szCs w:val="20"/>
              </w:rPr>
              <w:t>energeticky účinných silničních vozidel a</w:t>
            </w:r>
            <w:r w:rsidR="005A1247">
              <w:rPr>
                <w:rFonts w:cs="Arial"/>
                <w:szCs w:val="20"/>
              </w:rPr>
              <w:t> </w:t>
            </w:r>
            <w:r w:rsidRPr="00EC0C59">
              <w:rPr>
                <w:rFonts w:cs="Arial"/>
                <w:szCs w:val="20"/>
              </w:rPr>
              <w:t>ke snaze zahrnout trolejbusy do definice čistého vozidla.</w:t>
            </w:r>
          </w:p>
        </w:tc>
      </w:tr>
      <w:tr w:rsidR="001530C0" w:rsidRPr="00D5678F" w14:paraId="4E197368"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567414A6" w14:textId="0CF1ADAC" w:rsidR="001530C0" w:rsidRPr="006C7529" w:rsidRDefault="001530C0" w:rsidP="005A1247">
            <w:pPr>
              <w:spacing w:before="60" w:after="60"/>
              <w:jc w:val="both"/>
              <w:rPr>
                <w:rFonts w:cs="Arial"/>
                <w:szCs w:val="20"/>
              </w:rPr>
            </w:pPr>
            <w:r>
              <w:rPr>
                <w:rFonts w:cs="Arial"/>
                <w:szCs w:val="20"/>
              </w:rPr>
              <w:t>Příklad z</w:t>
            </w:r>
            <w:r w:rsidR="005A1247">
              <w:rPr>
                <w:rFonts w:cs="Arial"/>
                <w:szCs w:val="20"/>
              </w:rPr>
              <w:t> </w:t>
            </w:r>
            <w:r>
              <w:rPr>
                <w:rFonts w:cs="Arial"/>
                <w:szCs w:val="20"/>
              </w:rPr>
              <w:t>praxe</w:t>
            </w:r>
          </w:p>
        </w:tc>
        <w:tc>
          <w:tcPr>
            <w:tcW w:w="6934" w:type="dxa"/>
            <w:tcBorders>
              <w:top w:val="single" w:sz="4" w:space="0" w:color="auto"/>
              <w:left w:val="single" w:sz="12" w:space="0" w:color="auto"/>
              <w:bottom w:val="single" w:sz="4" w:space="0" w:color="auto"/>
              <w:right w:val="single" w:sz="12" w:space="0" w:color="auto"/>
            </w:tcBorders>
          </w:tcPr>
          <w:p w14:paraId="3E48FB12" w14:textId="1B5D0730" w:rsidR="001530C0" w:rsidRPr="00EC0C59" w:rsidRDefault="001530C0" w:rsidP="009A3B7E">
            <w:pPr>
              <w:spacing w:before="60" w:after="60"/>
              <w:jc w:val="both"/>
              <w:rPr>
                <w:rFonts w:cs="Arial"/>
                <w:szCs w:val="20"/>
              </w:rPr>
            </w:pPr>
            <w:r w:rsidRPr="00EC0C59">
              <w:rPr>
                <w:rFonts w:cs="Arial"/>
                <w:szCs w:val="20"/>
              </w:rPr>
              <w:t>Dopravní podniky provozující bateriové (parciální) trolejbusy na základě smluv o</w:t>
            </w:r>
            <w:r w:rsidR="005A1247">
              <w:rPr>
                <w:rFonts w:cs="Arial"/>
                <w:szCs w:val="20"/>
              </w:rPr>
              <w:t> </w:t>
            </w:r>
            <w:r w:rsidRPr="00EC0C59">
              <w:rPr>
                <w:rFonts w:cs="Arial"/>
                <w:szCs w:val="20"/>
              </w:rPr>
              <w:t>veřejných službách v</w:t>
            </w:r>
            <w:r w:rsidR="005A1247">
              <w:rPr>
                <w:rFonts w:cs="Arial"/>
                <w:szCs w:val="20"/>
              </w:rPr>
              <w:t> </w:t>
            </w:r>
            <w:r w:rsidRPr="00EC0C59">
              <w:rPr>
                <w:rFonts w:cs="Arial"/>
                <w:szCs w:val="20"/>
              </w:rPr>
              <w:t>přepravě cestujících uzavřených s</w:t>
            </w:r>
            <w:r w:rsidR="005A1247">
              <w:rPr>
                <w:rFonts w:cs="Arial"/>
                <w:szCs w:val="20"/>
              </w:rPr>
              <w:t> </w:t>
            </w:r>
            <w:r w:rsidRPr="00EC0C59">
              <w:rPr>
                <w:rFonts w:cs="Arial"/>
                <w:szCs w:val="20"/>
              </w:rPr>
              <w:t>městy.</w:t>
            </w:r>
          </w:p>
          <w:p w14:paraId="10D4C86B" w14:textId="1A9C986D" w:rsidR="001530C0" w:rsidRPr="00EC0C59" w:rsidRDefault="001530C0" w:rsidP="005A1247">
            <w:pPr>
              <w:spacing w:before="60" w:after="60"/>
              <w:jc w:val="both"/>
              <w:rPr>
                <w:rFonts w:cs="Arial"/>
                <w:szCs w:val="20"/>
              </w:rPr>
            </w:pPr>
            <w:r w:rsidRPr="00EC0C59">
              <w:rPr>
                <w:rFonts w:cs="Arial"/>
                <w:szCs w:val="20"/>
              </w:rPr>
              <w:t>Navázat na podporu z</w:t>
            </w:r>
            <w:r w:rsidR="005A1247">
              <w:rPr>
                <w:rFonts w:cs="Arial"/>
                <w:szCs w:val="20"/>
              </w:rPr>
              <w:t> </w:t>
            </w:r>
            <w:r w:rsidRPr="00EC0C59">
              <w:rPr>
                <w:rFonts w:cs="Arial"/>
                <w:szCs w:val="20"/>
              </w:rPr>
              <w:t>Integrovaného regionálního operačního programu 2014-2020, prostřednictvím kterého dopravci do konce roku 2018 pořídili 98 trolejbusů a</w:t>
            </w:r>
            <w:r w:rsidR="005A1247">
              <w:rPr>
                <w:rFonts w:cs="Arial"/>
                <w:szCs w:val="20"/>
              </w:rPr>
              <w:t> </w:t>
            </w:r>
            <w:r w:rsidRPr="00EC0C59">
              <w:rPr>
                <w:rFonts w:cs="Arial"/>
                <w:szCs w:val="20"/>
              </w:rPr>
              <w:t>22 tramvají.</w:t>
            </w:r>
          </w:p>
        </w:tc>
      </w:tr>
      <w:tr w:rsidR="001530C0" w:rsidRPr="00D5678F" w14:paraId="5E582386"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416D4202" w14:textId="77777777" w:rsidR="001530C0" w:rsidRPr="006C7529" w:rsidRDefault="001530C0" w:rsidP="009A3B7E">
            <w:pPr>
              <w:spacing w:before="60" w:after="60"/>
              <w:jc w:val="both"/>
              <w:rPr>
                <w:rFonts w:cs="Arial"/>
                <w:szCs w:val="20"/>
              </w:rPr>
            </w:pPr>
            <w:r w:rsidRPr="006C7529">
              <w:rPr>
                <w:rFonts w:cs="Arial"/>
                <w:szCs w:val="20"/>
              </w:rPr>
              <w:t>Rozpočtový dopad / financování</w:t>
            </w:r>
          </w:p>
        </w:tc>
        <w:tc>
          <w:tcPr>
            <w:tcW w:w="6934" w:type="dxa"/>
            <w:tcBorders>
              <w:top w:val="single" w:sz="4" w:space="0" w:color="auto"/>
              <w:left w:val="single" w:sz="12" w:space="0" w:color="auto"/>
              <w:bottom w:val="single" w:sz="4" w:space="0" w:color="auto"/>
              <w:right w:val="single" w:sz="12" w:space="0" w:color="auto"/>
            </w:tcBorders>
          </w:tcPr>
          <w:p w14:paraId="178A2FC7" w14:textId="2192CBB8" w:rsidR="001530C0" w:rsidRPr="00EC0C59" w:rsidRDefault="001530C0" w:rsidP="009A3B7E">
            <w:pPr>
              <w:pStyle w:val="Zpat"/>
              <w:spacing w:before="60" w:after="60"/>
              <w:jc w:val="both"/>
              <w:rPr>
                <w:rFonts w:cs="Arial"/>
                <w:szCs w:val="20"/>
              </w:rPr>
            </w:pPr>
            <w:r w:rsidRPr="00EC0C59">
              <w:rPr>
                <w:rFonts w:cs="Arial"/>
                <w:szCs w:val="20"/>
              </w:rPr>
              <w:t>I</w:t>
            </w:r>
            <w:r w:rsidR="004F1798">
              <w:rPr>
                <w:rFonts w:cs="Arial"/>
                <w:szCs w:val="20"/>
              </w:rPr>
              <w:t>ROP</w:t>
            </w:r>
          </w:p>
          <w:p w14:paraId="2B57B219" w14:textId="77777777" w:rsidR="001530C0" w:rsidRPr="006C7529" w:rsidRDefault="001530C0" w:rsidP="009A3B7E">
            <w:pPr>
              <w:pStyle w:val="Zpat"/>
              <w:spacing w:before="60" w:after="60"/>
              <w:jc w:val="both"/>
              <w:rPr>
                <w:rFonts w:cs="Arial"/>
                <w:szCs w:val="20"/>
              </w:rPr>
            </w:pPr>
            <w:r w:rsidRPr="00EC0C59">
              <w:rPr>
                <w:rFonts w:cs="Arial"/>
                <w:szCs w:val="20"/>
              </w:rPr>
              <w:t>Stovky milionů Kč.</w:t>
            </w:r>
          </w:p>
        </w:tc>
      </w:tr>
      <w:tr w:rsidR="001530C0" w:rsidRPr="00D5678F" w14:paraId="74CBA566"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7657BF97" w14:textId="77777777" w:rsidR="001530C0" w:rsidRPr="006C7529" w:rsidRDefault="001530C0" w:rsidP="009A3B7E">
            <w:pPr>
              <w:spacing w:before="60" w:after="60"/>
              <w:jc w:val="both"/>
              <w:rPr>
                <w:rFonts w:cs="Arial"/>
                <w:szCs w:val="20"/>
              </w:rPr>
            </w:pPr>
            <w:r w:rsidRPr="006C7529">
              <w:rPr>
                <w:rFonts w:cs="Arial"/>
                <w:szCs w:val="20"/>
              </w:rPr>
              <w:t>Odpovědnost</w:t>
            </w:r>
          </w:p>
        </w:tc>
        <w:tc>
          <w:tcPr>
            <w:tcW w:w="6934" w:type="dxa"/>
            <w:tcBorders>
              <w:top w:val="single" w:sz="4" w:space="0" w:color="auto"/>
              <w:left w:val="single" w:sz="12" w:space="0" w:color="auto"/>
              <w:bottom w:val="single" w:sz="4" w:space="0" w:color="auto"/>
              <w:right w:val="single" w:sz="12" w:space="0" w:color="auto"/>
            </w:tcBorders>
          </w:tcPr>
          <w:p w14:paraId="1F5E03FC" w14:textId="77777777" w:rsidR="001530C0" w:rsidRPr="006C7529" w:rsidRDefault="001530C0" w:rsidP="009A3B7E">
            <w:pPr>
              <w:pStyle w:val="Zpat"/>
              <w:spacing w:before="60" w:after="60"/>
              <w:jc w:val="both"/>
              <w:rPr>
                <w:rFonts w:cs="Arial"/>
                <w:szCs w:val="20"/>
              </w:rPr>
            </w:pPr>
            <w:r w:rsidRPr="006C7529">
              <w:rPr>
                <w:rFonts w:cs="Arial"/>
                <w:szCs w:val="20"/>
              </w:rPr>
              <w:t>MMR</w:t>
            </w:r>
          </w:p>
        </w:tc>
      </w:tr>
      <w:tr w:rsidR="001530C0" w:rsidRPr="00D5678F" w14:paraId="011530BA" w14:textId="77777777" w:rsidTr="0051083C">
        <w:tblPrEx>
          <w:jc w:val="left"/>
          <w:tblCellMar>
            <w:left w:w="108" w:type="dxa"/>
            <w:right w:w="108" w:type="dxa"/>
          </w:tblCellMar>
        </w:tblPrEx>
        <w:tc>
          <w:tcPr>
            <w:tcW w:w="1971" w:type="dxa"/>
            <w:tcBorders>
              <w:top w:val="single" w:sz="4" w:space="0" w:color="auto"/>
              <w:left w:val="single" w:sz="12" w:space="0" w:color="auto"/>
              <w:bottom w:val="single" w:sz="4" w:space="0" w:color="auto"/>
              <w:right w:val="single" w:sz="12" w:space="0" w:color="auto"/>
            </w:tcBorders>
          </w:tcPr>
          <w:p w14:paraId="43952581" w14:textId="77777777" w:rsidR="001530C0" w:rsidRPr="006C7529" w:rsidRDefault="001530C0" w:rsidP="009A3B7E">
            <w:pPr>
              <w:spacing w:before="60" w:after="60"/>
              <w:jc w:val="both"/>
              <w:rPr>
                <w:rFonts w:cs="Arial"/>
                <w:szCs w:val="20"/>
              </w:rPr>
            </w:pPr>
            <w:r>
              <w:rPr>
                <w:rFonts w:cs="Arial"/>
                <w:szCs w:val="20"/>
              </w:rPr>
              <w:t>Spolupráce</w:t>
            </w:r>
          </w:p>
        </w:tc>
        <w:tc>
          <w:tcPr>
            <w:tcW w:w="6934" w:type="dxa"/>
            <w:tcBorders>
              <w:top w:val="single" w:sz="4" w:space="0" w:color="auto"/>
              <w:left w:val="single" w:sz="12" w:space="0" w:color="auto"/>
              <w:bottom w:val="single" w:sz="4" w:space="0" w:color="auto"/>
              <w:right w:val="single" w:sz="12" w:space="0" w:color="auto"/>
            </w:tcBorders>
          </w:tcPr>
          <w:p w14:paraId="4BCC8B9F" w14:textId="77777777" w:rsidR="001530C0" w:rsidRPr="006C7529" w:rsidRDefault="001530C0" w:rsidP="009A3B7E">
            <w:pPr>
              <w:pStyle w:val="Zpat"/>
              <w:spacing w:before="60" w:after="60"/>
              <w:jc w:val="both"/>
              <w:rPr>
                <w:rFonts w:cs="Arial"/>
                <w:szCs w:val="20"/>
              </w:rPr>
            </w:pPr>
            <w:r w:rsidRPr="00EC0C59">
              <w:rPr>
                <w:rFonts w:cs="Arial"/>
                <w:szCs w:val="20"/>
              </w:rPr>
              <w:t>Dopravní podniky, města</w:t>
            </w:r>
          </w:p>
        </w:tc>
      </w:tr>
      <w:tr w:rsidR="001530C0" w:rsidRPr="00D5678F" w14:paraId="16C2B144" w14:textId="77777777" w:rsidTr="0051083C">
        <w:tblPrEx>
          <w:jc w:val="left"/>
          <w:tblCellMar>
            <w:left w:w="108" w:type="dxa"/>
            <w:right w:w="108" w:type="dxa"/>
          </w:tblCellMar>
        </w:tblPrEx>
        <w:tc>
          <w:tcPr>
            <w:tcW w:w="1971" w:type="dxa"/>
            <w:tcBorders>
              <w:top w:val="single" w:sz="4" w:space="0" w:color="auto"/>
              <w:left w:val="single" w:sz="12" w:space="0" w:color="auto"/>
              <w:bottom w:val="single" w:sz="12" w:space="0" w:color="auto"/>
              <w:right w:val="single" w:sz="12" w:space="0" w:color="auto"/>
            </w:tcBorders>
          </w:tcPr>
          <w:p w14:paraId="24FAFA82" w14:textId="77777777" w:rsidR="001530C0" w:rsidRPr="006C7529" w:rsidRDefault="001530C0" w:rsidP="009A3B7E">
            <w:pPr>
              <w:spacing w:before="60" w:after="60"/>
              <w:jc w:val="both"/>
              <w:rPr>
                <w:rFonts w:cs="Arial"/>
                <w:szCs w:val="20"/>
              </w:rPr>
            </w:pPr>
            <w:r w:rsidRPr="006C7529">
              <w:rPr>
                <w:rFonts w:cs="Arial"/>
                <w:szCs w:val="20"/>
              </w:rPr>
              <w:t>Termín</w:t>
            </w:r>
          </w:p>
        </w:tc>
        <w:tc>
          <w:tcPr>
            <w:tcW w:w="6934" w:type="dxa"/>
            <w:tcBorders>
              <w:top w:val="single" w:sz="4" w:space="0" w:color="auto"/>
              <w:left w:val="single" w:sz="12" w:space="0" w:color="auto"/>
              <w:bottom w:val="single" w:sz="12" w:space="0" w:color="auto"/>
              <w:right w:val="single" w:sz="12" w:space="0" w:color="auto"/>
            </w:tcBorders>
          </w:tcPr>
          <w:p w14:paraId="4B6903C6" w14:textId="77777777" w:rsidR="001530C0" w:rsidRPr="006C7529" w:rsidRDefault="001530C0" w:rsidP="009A3B7E">
            <w:pPr>
              <w:spacing w:before="60" w:after="60"/>
              <w:jc w:val="both"/>
              <w:rPr>
                <w:rFonts w:cs="Arial"/>
                <w:szCs w:val="20"/>
              </w:rPr>
            </w:pPr>
            <w:r w:rsidRPr="006C7529">
              <w:rPr>
                <w:rFonts w:cs="Arial"/>
                <w:szCs w:val="20"/>
              </w:rPr>
              <w:t>20</w:t>
            </w:r>
            <w:r>
              <w:rPr>
                <w:rFonts w:cs="Arial"/>
                <w:szCs w:val="20"/>
              </w:rPr>
              <w:t>21</w:t>
            </w:r>
            <w:r w:rsidRPr="006C7529">
              <w:rPr>
                <w:rFonts w:cs="Arial"/>
                <w:szCs w:val="20"/>
              </w:rPr>
              <w:t>-202</w:t>
            </w:r>
            <w:r>
              <w:rPr>
                <w:rFonts w:cs="Arial"/>
                <w:szCs w:val="20"/>
              </w:rPr>
              <w:t>7</w:t>
            </w:r>
          </w:p>
        </w:tc>
      </w:tr>
    </w:tbl>
    <w:p w14:paraId="46172FE8" w14:textId="77777777" w:rsidR="001530C0" w:rsidRDefault="001530C0" w:rsidP="009A3B7E">
      <w:pPr>
        <w:spacing w:before="0" w:after="0"/>
        <w:jc w:val="both"/>
      </w:pPr>
    </w:p>
    <w:p w14:paraId="0295A596" w14:textId="77777777" w:rsidR="001530C0" w:rsidRDefault="001530C0" w:rsidP="009A3B7E">
      <w:pPr>
        <w:spacing w:before="0" w:after="0"/>
        <w:jc w:val="both"/>
      </w:pPr>
      <w:r>
        <w:br w:type="page"/>
      </w:r>
    </w:p>
    <w:p w14:paraId="41FE17DA" w14:textId="7DF3ED4D" w:rsidR="001530C0" w:rsidRDefault="001530C0" w:rsidP="009A3B7E">
      <w:pPr>
        <w:pStyle w:val="Nadpis3"/>
        <w:jc w:val="both"/>
      </w:pPr>
      <w:bookmarkStart w:id="97" w:name="_Toc21589157"/>
      <w:r>
        <w:lastRenderedPageBreak/>
        <w:t>P2 Analýza potenciálu výroby</w:t>
      </w:r>
      <w:r w:rsidRPr="006C7529">
        <w:t xml:space="preserve"> bioLPG</w:t>
      </w:r>
      <w:r w:rsidR="001F2268">
        <w:t>,</w:t>
      </w:r>
      <w:r w:rsidR="00061FB2">
        <w:t> </w:t>
      </w:r>
      <w:r w:rsidRPr="006C7529">
        <w:t>syntetických paliv</w:t>
      </w:r>
      <w:bookmarkEnd w:id="97"/>
      <w:r w:rsidR="001F2268">
        <w:t xml:space="preserve"> a</w:t>
      </w:r>
      <w:r w:rsidR="005A1247">
        <w:t> </w:t>
      </w:r>
      <w:r w:rsidR="001F2268">
        <w:t>„zeleného“ vodíku</w:t>
      </w:r>
      <w:r w:rsidR="000A5305">
        <w:t xml:space="preserve"> a</w:t>
      </w:r>
      <w:r w:rsidR="005A1247">
        <w:t> </w:t>
      </w:r>
      <w:r w:rsidR="000A5305">
        <w:t>podpora pilotních projektů</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1530C0" w14:paraId="4A1EC0FB"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4BE5CE0E" w14:textId="4EB46A60" w:rsidR="001530C0" w:rsidRDefault="001530C0" w:rsidP="005A1247">
            <w:pPr>
              <w:spacing w:before="60" w:after="60"/>
              <w:jc w:val="both"/>
              <w:rPr>
                <w:rFonts w:cs="Arial"/>
                <w:b/>
                <w:color w:val="FFFFFF" w:themeColor="background1"/>
              </w:rPr>
            </w:pPr>
            <w:r>
              <w:rPr>
                <w:rFonts w:cs="Arial"/>
                <w:b/>
                <w:color w:val="FFFFFF" w:themeColor="background1"/>
              </w:rPr>
              <w:t>P2 Analýza potenciálu výroby bioLPG</w:t>
            </w:r>
            <w:r w:rsidR="001F2268">
              <w:rPr>
                <w:rFonts w:cs="Arial"/>
                <w:b/>
                <w:color w:val="FFFFFF" w:themeColor="background1"/>
              </w:rPr>
              <w:t>,</w:t>
            </w:r>
            <w:r w:rsidR="00061FB2">
              <w:rPr>
                <w:rFonts w:cs="Arial"/>
                <w:b/>
                <w:color w:val="FFFFFF" w:themeColor="background1"/>
              </w:rPr>
              <w:t> </w:t>
            </w:r>
            <w:r>
              <w:rPr>
                <w:rFonts w:cs="Arial"/>
                <w:b/>
                <w:color w:val="FFFFFF" w:themeColor="background1"/>
              </w:rPr>
              <w:t>syntetických paliv</w:t>
            </w:r>
            <w:r w:rsidR="001F2268">
              <w:rPr>
                <w:rFonts w:cs="Arial"/>
                <w:b/>
                <w:color w:val="FFFFFF" w:themeColor="background1"/>
              </w:rPr>
              <w:t xml:space="preserve"> a</w:t>
            </w:r>
            <w:r w:rsidR="005A1247">
              <w:rPr>
                <w:rFonts w:cs="Arial"/>
                <w:b/>
                <w:color w:val="FFFFFF" w:themeColor="background1"/>
              </w:rPr>
              <w:t> </w:t>
            </w:r>
            <w:r w:rsidR="001F2268">
              <w:rPr>
                <w:rFonts w:cs="Arial"/>
                <w:b/>
                <w:color w:val="FFFFFF" w:themeColor="background1"/>
              </w:rPr>
              <w:t>„zeleného vodíku“</w:t>
            </w:r>
            <w:r w:rsidR="000A5305">
              <w:rPr>
                <w:rFonts w:cs="Arial"/>
                <w:b/>
                <w:color w:val="FFFFFF" w:themeColor="background1"/>
              </w:rPr>
              <w:t xml:space="preserve"> a</w:t>
            </w:r>
            <w:r w:rsidR="005A1247">
              <w:rPr>
                <w:rFonts w:cs="Arial"/>
                <w:b/>
                <w:color w:val="FFFFFF" w:themeColor="background1"/>
              </w:rPr>
              <w:t> </w:t>
            </w:r>
            <w:r w:rsidR="000A5305">
              <w:rPr>
                <w:rFonts w:cs="Arial"/>
                <w:b/>
                <w:color w:val="FFFFFF" w:themeColor="background1"/>
              </w:rPr>
              <w:t>podpora pilotních projektů</w:t>
            </w:r>
          </w:p>
        </w:tc>
      </w:tr>
      <w:tr w:rsidR="00163058" w14:paraId="2F7E1ABD" w14:textId="77777777" w:rsidTr="00B502A0">
        <w:tc>
          <w:tcPr>
            <w:tcW w:w="1984" w:type="dxa"/>
            <w:tcBorders>
              <w:top w:val="single" w:sz="12" w:space="0" w:color="auto"/>
              <w:left w:val="single" w:sz="12" w:space="0" w:color="auto"/>
              <w:bottom w:val="single" w:sz="4" w:space="0" w:color="auto"/>
              <w:right w:val="single" w:sz="12" w:space="0" w:color="auto"/>
            </w:tcBorders>
          </w:tcPr>
          <w:p w14:paraId="18DE4B7B" w14:textId="77777777" w:rsidR="00AF5C97" w:rsidRDefault="00AF5C97" w:rsidP="009A3B7E">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tcPr>
          <w:p w14:paraId="23026F8C" w14:textId="121DACD2" w:rsidR="00AF5C97" w:rsidRDefault="00AF5C97" w:rsidP="005A1247">
            <w:pPr>
              <w:pStyle w:val="Normln10"/>
              <w:rPr>
                <w:rFonts w:cs="Arial"/>
                <w:sz w:val="22"/>
                <w:szCs w:val="22"/>
              </w:rPr>
            </w:pPr>
            <w:r>
              <w:rPr>
                <w:rFonts w:cs="Arial"/>
                <w:sz w:val="22"/>
                <w:szCs w:val="22"/>
              </w:rPr>
              <w:t>Rozvoj výroby biometanu pro využití v</w:t>
            </w:r>
            <w:r w:rsidR="005A1247">
              <w:rPr>
                <w:rFonts w:cs="Arial"/>
                <w:sz w:val="22"/>
                <w:szCs w:val="22"/>
              </w:rPr>
              <w:t> </w:t>
            </w:r>
            <w:r w:rsidR="00EC10F9">
              <w:rPr>
                <w:rFonts w:cs="Arial"/>
                <w:sz w:val="22"/>
                <w:szCs w:val="22"/>
              </w:rPr>
              <w:t> </w:t>
            </w:r>
            <w:r>
              <w:rPr>
                <w:rFonts w:cs="Arial"/>
                <w:sz w:val="22"/>
                <w:szCs w:val="22"/>
              </w:rPr>
              <w:t>dopravě</w:t>
            </w:r>
            <w:r w:rsidR="00EC10F9">
              <w:rPr>
                <w:rFonts w:cs="Arial"/>
                <w:sz w:val="22"/>
                <w:szCs w:val="22"/>
              </w:rPr>
              <w:t xml:space="preserve"> (kap. 3.3.3.)</w:t>
            </w:r>
          </w:p>
        </w:tc>
      </w:tr>
      <w:tr w:rsidR="00163058" w14:paraId="349EA705"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13D48613" w14:textId="77777777" w:rsidR="001530C0" w:rsidRDefault="001530C0" w:rsidP="009A3B7E">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5B285055" w14:textId="49E1B65E" w:rsidR="001530C0" w:rsidRDefault="001530C0" w:rsidP="005A1247">
            <w:pPr>
              <w:pStyle w:val="Normln10"/>
              <w:rPr>
                <w:rFonts w:cs="Arial"/>
                <w:sz w:val="22"/>
                <w:szCs w:val="22"/>
              </w:rPr>
            </w:pPr>
            <w:r>
              <w:rPr>
                <w:rFonts w:cs="Arial"/>
                <w:sz w:val="22"/>
                <w:szCs w:val="22"/>
              </w:rPr>
              <w:t>Vytvořit analytický podklad pro případnou investiční a</w:t>
            </w:r>
            <w:r w:rsidR="005A1247">
              <w:rPr>
                <w:rFonts w:cs="Arial"/>
                <w:sz w:val="22"/>
                <w:szCs w:val="22"/>
              </w:rPr>
              <w:t> </w:t>
            </w:r>
            <w:r>
              <w:rPr>
                <w:rFonts w:cs="Arial"/>
                <w:sz w:val="22"/>
                <w:szCs w:val="22"/>
              </w:rPr>
              <w:t>provozní podporu pro výrobny bioLPG, syntetických paliv</w:t>
            </w:r>
            <w:r w:rsidR="001F2268">
              <w:rPr>
                <w:rFonts w:cs="Arial"/>
                <w:sz w:val="22"/>
                <w:szCs w:val="22"/>
              </w:rPr>
              <w:t>, „zeleného“ vodíku</w:t>
            </w:r>
            <w:r>
              <w:rPr>
                <w:rFonts w:cs="Arial"/>
                <w:sz w:val="22"/>
                <w:szCs w:val="22"/>
              </w:rPr>
              <w:t xml:space="preserve"> a</w:t>
            </w:r>
            <w:r w:rsidR="005A1247">
              <w:rPr>
                <w:rFonts w:cs="Arial"/>
                <w:sz w:val="22"/>
                <w:szCs w:val="22"/>
              </w:rPr>
              <w:t> </w:t>
            </w:r>
            <w:r>
              <w:rPr>
                <w:rFonts w:cs="Arial"/>
                <w:sz w:val="22"/>
                <w:szCs w:val="22"/>
              </w:rPr>
              <w:t>podobných produktů, vhodných pro stávající vozový park a</w:t>
            </w:r>
            <w:r w:rsidR="005A1247">
              <w:rPr>
                <w:rFonts w:cs="Arial"/>
                <w:sz w:val="22"/>
                <w:szCs w:val="22"/>
              </w:rPr>
              <w:t> </w:t>
            </w:r>
            <w:r>
              <w:rPr>
                <w:rFonts w:cs="Arial"/>
                <w:sz w:val="22"/>
                <w:szCs w:val="22"/>
              </w:rPr>
              <w:t xml:space="preserve">majících nízké nebo nulové emise ve </w:t>
            </w:r>
            <w:r w:rsidR="005029EC">
              <w:rPr>
                <w:rFonts w:cs="Arial"/>
                <w:sz w:val="22"/>
                <w:szCs w:val="22"/>
              </w:rPr>
              <w:t>well</w:t>
            </w:r>
            <w:r>
              <w:rPr>
                <w:rFonts w:cs="Arial"/>
                <w:sz w:val="22"/>
                <w:szCs w:val="22"/>
              </w:rPr>
              <w:t>-t</w:t>
            </w:r>
            <w:r w:rsidR="005029EC">
              <w:rPr>
                <w:rFonts w:cs="Arial"/>
                <w:sz w:val="22"/>
                <w:szCs w:val="22"/>
              </w:rPr>
              <w:t>o</w:t>
            </w:r>
            <w:r>
              <w:rPr>
                <w:rFonts w:cs="Arial"/>
                <w:sz w:val="22"/>
                <w:szCs w:val="22"/>
              </w:rPr>
              <w:t>-</w:t>
            </w:r>
            <w:r w:rsidR="005029EC">
              <w:rPr>
                <w:rFonts w:cs="Arial"/>
                <w:sz w:val="22"/>
                <w:szCs w:val="22"/>
              </w:rPr>
              <w:t>wheel</w:t>
            </w:r>
            <w:r>
              <w:rPr>
                <w:rFonts w:cs="Arial"/>
                <w:sz w:val="22"/>
                <w:szCs w:val="22"/>
              </w:rPr>
              <w:t xml:space="preserve"> cyklu.</w:t>
            </w:r>
          </w:p>
        </w:tc>
      </w:tr>
      <w:tr w:rsidR="00163058" w14:paraId="665F7E01"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457A3200" w14:textId="77777777" w:rsidR="001530C0" w:rsidRDefault="001530C0" w:rsidP="009A3B7E">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7BDCF2E7" w14:textId="2B0BED0C" w:rsidR="001530C0" w:rsidRDefault="001530C0" w:rsidP="005A1247">
            <w:pPr>
              <w:pStyle w:val="Normln10"/>
              <w:rPr>
                <w:rFonts w:cs="Arial"/>
                <w:sz w:val="22"/>
                <w:szCs w:val="22"/>
              </w:rPr>
            </w:pPr>
            <w:r>
              <w:rPr>
                <w:rFonts w:cs="Arial"/>
                <w:sz w:val="22"/>
                <w:szCs w:val="22"/>
              </w:rPr>
              <w:t>Analyzovat potenciální zdroje pro výrobu pokročilých biopaliv (bioLPG), syntetických paliv</w:t>
            </w:r>
            <w:r w:rsidR="001F2268">
              <w:rPr>
                <w:rFonts w:cs="Arial"/>
                <w:sz w:val="22"/>
                <w:szCs w:val="22"/>
              </w:rPr>
              <w:t>, „zeleného“ vodíku</w:t>
            </w:r>
            <w:r>
              <w:rPr>
                <w:rFonts w:cs="Arial"/>
                <w:sz w:val="22"/>
                <w:szCs w:val="22"/>
              </w:rPr>
              <w:t xml:space="preserve"> a</w:t>
            </w:r>
            <w:r w:rsidR="005A1247">
              <w:rPr>
                <w:rFonts w:cs="Arial"/>
                <w:sz w:val="22"/>
                <w:szCs w:val="22"/>
              </w:rPr>
              <w:t> </w:t>
            </w:r>
            <w:r>
              <w:rPr>
                <w:rFonts w:cs="Arial"/>
                <w:sz w:val="22"/>
                <w:szCs w:val="22"/>
              </w:rPr>
              <w:t>podobných produktů</w:t>
            </w:r>
            <w:r w:rsidR="0089253C">
              <w:rPr>
                <w:rFonts w:cs="Arial"/>
                <w:sz w:val="22"/>
                <w:szCs w:val="22"/>
              </w:rPr>
              <w:t>, a</w:t>
            </w:r>
            <w:r w:rsidR="005A1247">
              <w:rPr>
                <w:rFonts w:cs="Arial"/>
                <w:sz w:val="22"/>
                <w:szCs w:val="22"/>
              </w:rPr>
              <w:t> </w:t>
            </w:r>
            <w:r w:rsidR="0089253C">
              <w:rPr>
                <w:rFonts w:cs="Arial"/>
                <w:sz w:val="22"/>
                <w:szCs w:val="22"/>
              </w:rPr>
              <w:t>následně podpořit pilotní projekty</w:t>
            </w:r>
            <w:r>
              <w:rPr>
                <w:rFonts w:cs="Arial"/>
                <w:sz w:val="22"/>
                <w:szCs w:val="22"/>
              </w:rPr>
              <w:t>.</w:t>
            </w:r>
          </w:p>
        </w:tc>
      </w:tr>
      <w:tr w:rsidR="00163058" w14:paraId="60B1D0FB"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7871D064" w14:textId="77777777" w:rsidR="001530C0" w:rsidRDefault="001530C0" w:rsidP="009A3B7E">
            <w:pPr>
              <w:pStyle w:val="Normln10"/>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hideMark/>
          </w:tcPr>
          <w:p w14:paraId="415478F9" w14:textId="046204F9" w:rsidR="001530C0" w:rsidRDefault="001530C0" w:rsidP="00566C68">
            <w:pPr>
              <w:pStyle w:val="Normln10"/>
              <w:rPr>
                <w:rFonts w:cs="Arial"/>
                <w:sz w:val="22"/>
                <w:szCs w:val="22"/>
              </w:rPr>
            </w:pPr>
            <w:r>
              <w:rPr>
                <w:rFonts w:cs="Arial"/>
                <w:sz w:val="22"/>
                <w:szCs w:val="22"/>
              </w:rPr>
              <w:t xml:space="preserve">Výzkumné </w:t>
            </w:r>
            <w:r w:rsidR="00566C68">
              <w:rPr>
                <w:rFonts w:cs="Arial"/>
                <w:sz w:val="22"/>
                <w:szCs w:val="22"/>
              </w:rPr>
              <w:t xml:space="preserve">resortní </w:t>
            </w:r>
            <w:r>
              <w:rPr>
                <w:rFonts w:cs="Arial"/>
                <w:sz w:val="22"/>
                <w:szCs w:val="22"/>
              </w:rPr>
              <w:t xml:space="preserve">programy </w:t>
            </w:r>
            <w:r w:rsidR="00566C68">
              <w:rPr>
                <w:rFonts w:cs="Arial"/>
                <w:sz w:val="22"/>
                <w:szCs w:val="22"/>
              </w:rPr>
              <w:t>TA</w:t>
            </w:r>
            <w:r w:rsidR="00FA66DA">
              <w:rPr>
                <w:rFonts w:cs="Arial"/>
                <w:sz w:val="22"/>
                <w:szCs w:val="22"/>
              </w:rPr>
              <w:t xml:space="preserve"> </w:t>
            </w:r>
            <w:r w:rsidR="00566C68">
              <w:rPr>
                <w:rFonts w:cs="Arial"/>
                <w:sz w:val="22"/>
                <w:szCs w:val="22"/>
              </w:rPr>
              <w:t xml:space="preserve">ČR </w:t>
            </w:r>
            <w:r>
              <w:rPr>
                <w:rFonts w:cs="Arial"/>
                <w:sz w:val="22"/>
                <w:szCs w:val="22"/>
              </w:rPr>
              <w:t>(Prostředí pro život, Program Doprava</w:t>
            </w:r>
            <w:r w:rsidR="00566C68">
              <w:rPr>
                <w:rFonts w:cs="Arial"/>
                <w:sz w:val="22"/>
                <w:szCs w:val="22"/>
              </w:rPr>
              <w:t xml:space="preserve"> 2020+</w:t>
            </w:r>
            <w:r>
              <w:rPr>
                <w:rFonts w:cs="Arial"/>
                <w:sz w:val="22"/>
                <w:szCs w:val="22"/>
              </w:rPr>
              <w:t>, Program T</w:t>
            </w:r>
            <w:r w:rsidR="00F33533">
              <w:rPr>
                <w:rFonts w:cs="Arial"/>
                <w:sz w:val="22"/>
                <w:szCs w:val="22"/>
              </w:rPr>
              <w:t>REND</w:t>
            </w:r>
            <w:r>
              <w:rPr>
                <w:rFonts w:cs="Arial"/>
                <w:sz w:val="22"/>
                <w:szCs w:val="22"/>
              </w:rPr>
              <w:t>), TA</w:t>
            </w:r>
            <w:r w:rsidR="00FA66DA">
              <w:rPr>
                <w:rFonts w:cs="Arial"/>
                <w:sz w:val="22"/>
                <w:szCs w:val="22"/>
              </w:rPr>
              <w:t xml:space="preserve"> </w:t>
            </w:r>
            <w:r>
              <w:rPr>
                <w:rFonts w:cs="Arial"/>
                <w:sz w:val="22"/>
                <w:szCs w:val="22"/>
              </w:rPr>
              <w:t>ČR Beta 2</w:t>
            </w:r>
          </w:p>
        </w:tc>
      </w:tr>
      <w:tr w:rsidR="00163058" w14:paraId="5482CED3"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20AB15F0" w14:textId="77777777" w:rsidR="001530C0" w:rsidRDefault="001530C0" w:rsidP="009A3B7E">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hideMark/>
          </w:tcPr>
          <w:p w14:paraId="5E75491D" w14:textId="3F656E91" w:rsidR="001530C0" w:rsidRDefault="001530C0" w:rsidP="009A3B7E">
            <w:pPr>
              <w:pStyle w:val="Normln10"/>
              <w:rPr>
                <w:rFonts w:cs="Arial"/>
                <w:sz w:val="22"/>
                <w:szCs w:val="22"/>
              </w:rPr>
            </w:pPr>
            <w:r>
              <w:rPr>
                <w:rFonts w:cs="Arial"/>
                <w:sz w:val="22"/>
                <w:szCs w:val="22"/>
              </w:rPr>
              <w:t>MPO, MD, MŽP, TA</w:t>
            </w:r>
            <w:r w:rsidR="00FA66DA">
              <w:rPr>
                <w:rFonts w:cs="Arial"/>
                <w:sz w:val="22"/>
                <w:szCs w:val="22"/>
              </w:rPr>
              <w:t xml:space="preserve"> </w:t>
            </w:r>
            <w:r>
              <w:rPr>
                <w:rFonts w:cs="Arial"/>
                <w:sz w:val="22"/>
                <w:szCs w:val="22"/>
              </w:rPr>
              <w:t>ČR</w:t>
            </w:r>
          </w:p>
        </w:tc>
      </w:tr>
      <w:tr w:rsidR="00163058" w14:paraId="486BDFF1"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39456712" w14:textId="77777777" w:rsidR="001530C0" w:rsidRDefault="001530C0" w:rsidP="009A3B7E">
            <w:pPr>
              <w:pStyle w:val="Normln10"/>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368FDF07" w14:textId="77777777" w:rsidR="001530C0" w:rsidRDefault="001530C0" w:rsidP="009A3B7E">
            <w:pPr>
              <w:pStyle w:val="Normln10"/>
              <w:rPr>
                <w:rFonts w:cs="Arial"/>
                <w:sz w:val="22"/>
                <w:szCs w:val="22"/>
              </w:rPr>
            </w:pPr>
            <w:r>
              <w:rPr>
                <w:rFonts w:cs="Arial"/>
                <w:sz w:val="22"/>
                <w:szCs w:val="22"/>
              </w:rPr>
              <w:t>ČALPG</w:t>
            </w:r>
          </w:p>
        </w:tc>
      </w:tr>
      <w:tr w:rsidR="00163058" w14:paraId="62D3E10A" w14:textId="77777777" w:rsidTr="00B502A0">
        <w:tc>
          <w:tcPr>
            <w:tcW w:w="1984" w:type="dxa"/>
            <w:tcBorders>
              <w:top w:val="single" w:sz="4" w:space="0" w:color="auto"/>
              <w:left w:val="single" w:sz="12" w:space="0" w:color="auto"/>
              <w:bottom w:val="single" w:sz="12" w:space="0" w:color="auto"/>
              <w:right w:val="single" w:sz="12" w:space="0" w:color="auto"/>
            </w:tcBorders>
            <w:hideMark/>
          </w:tcPr>
          <w:p w14:paraId="6D7AF691" w14:textId="77777777" w:rsidR="001530C0" w:rsidRDefault="001530C0" w:rsidP="009A3B7E">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21520699" w14:textId="77777777" w:rsidR="001530C0" w:rsidRDefault="001530C0" w:rsidP="009A3B7E">
            <w:pPr>
              <w:pStyle w:val="Normln10"/>
              <w:rPr>
                <w:rFonts w:cs="Arial"/>
                <w:sz w:val="22"/>
                <w:szCs w:val="22"/>
              </w:rPr>
            </w:pPr>
            <w:r>
              <w:rPr>
                <w:rFonts w:cs="Arial"/>
                <w:sz w:val="22"/>
                <w:szCs w:val="22"/>
              </w:rPr>
              <w:t>2025</w:t>
            </w:r>
          </w:p>
        </w:tc>
      </w:tr>
    </w:tbl>
    <w:p w14:paraId="756D2514" w14:textId="77777777" w:rsidR="001530C0" w:rsidRDefault="001530C0" w:rsidP="009A3B7E">
      <w:pPr>
        <w:jc w:val="both"/>
      </w:pPr>
    </w:p>
    <w:p w14:paraId="77347868" w14:textId="77777777" w:rsidR="001530C0" w:rsidRDefault="001530C0" w:rsidP="009A3B7E">
      <w:pPr>
        <w:spacing w:before="0" w:after="0"/>
        <w:jc w:val="both"/>
      </w:pPr>
      <w:r>
        <w:br w:type="page"/>
      </w:r>
    </w:p>
    <w:p w14:paraId="32FC2FA2" w14:textId="179E1E93" w:rsidR="001530C0" w:rsidRDefault="001530C0" w:rsidP="009A3B7E">
      <w:pPr>
        <w:pStyle w:val="Nadpis3"/>
        <w:jc w:val="both"/>
      </w:pPr>
      <w:bookmarkStart w:id="98" w:name="_Toc21589158"/>
      <w:r>
        <w:lastRenderedPageBreak/>
        <w:t xml:space="preserve">P3 </w:t>
      </w:r>
      <w:r w:rsidR="00F20409">
        <w:t>Nulová s</w:t>
      </w:r>
      <w:r w:rsidR="002E1BD1">
        <w:t>azba složky mýtného</w:t>
      </w:r>
      <w:r w:rsidR="00F20409">
        <w:t xml:space="preserve"> za znečištění pro nízkoemisní vozidla (včetně vozidel na zemní plyn)</w:t>
      </w:r>
      <w:r w:rsidR="00061FB2">
        <w:t> </w:t>
      </w:r>
      <w:bookmarkEnd w:id="98"/>
    </w:p>
    <w:tbl>
      <w:tblPr>
        <w:tblStyle w:val="Mkatabulky4"/>
        <w:tblpPr w:leftFromText="141" w:rightFromText="141" w:vertAnchor="text" w:horzAnchor="margin" w:tblpY="2"/>
        <w:tblW w:w="4884"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1"/>
        <w:gridCol w:w="6901"/>
      </w:tblGrid>
      <w:tr w:rsidR="001530C0" w14:paraId="40DBAD33" w14:textId="77777777" w:rsidTr="00B502A0">
        <w:trPr>
          <w:trHeight w:val="57"/>
        </w:trPr>
        <w:tc>
          <w:tcPr>
            <w:tcW w:w="4999"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0FBC2B74" w14:textId="6EFFF82B" w:rsidR="001530C0" w:rsidRDefault="001530C0" w:rsidP="002E1BD1">
            <w:pPr>
              <w:spacing w:before="60" w:after="60"/>
              <w:jc w:val="both"/>
            </w:pPr>
            <w:r>
              <w:rPr>
                <w:b/>
                <w:color w:val="FFFFFF" w:themeColor="background1"/>
              </w:rPr>
              <w:t xml:space="preserve">P3 </w:t>
            </w:r>
            <w:r w:rsidR="00F20409">
              <w:t xml:space="preserve"> </w:t>
            </w:r>
            <w:r w:rsidR="00F20409" w:rsidRPr="00F20409">
              <w:rPr>
                <w:b/>
                <w:color w:val="FFFFFF" w:themeColor="background1"/>
              </w:rPr>
              <w:t xml:space="preserve">Nulová sazba </w:t>
            </w:r>
            <w:r w:rsidR="002E1BD1" w:rsidRPr="002E1BD1">
              <w:rPr>
                <w:b/>
                <w:color w:val="FFFFFF" w:themeColor="background1"/>
              </w:rPr>
              <w:t xml:space="preserve">složky mýtného </w:t>
            </w:r>
            <w:r w:rsidR="00F20409" w:rsidRPr="002E1BD1">
              <w:rPr>
                <w:b/>
                <w:color w:val="FFFFFF" w:themeColor="background1"/>
              </w:rPr>
              <w:t>za z</w:t>
            </w:r>
            <w:r w:rsidR="00F20409" w:rsidRPr="00F20409">
              <w:rPr>
                <w:b/>
                <w:color w:val="FFFFFF" w:themeColor="background1"/>
              </w:rPr>
              <w:t>nečištění pro nízkoemisní vozidla (včetně vozidel na zemní plyn)</w:t>
            </w:r>
            <w:r w:rsidR="00061FB2">
              <w:rPr>
                <w:b/>
                <w:color w:val="FFFFFF" w:themeColor="background1"/>
              </w:rPr>
              <w:t> </w:t>
            </w:r>
            <w:r>
              <w:t xml:space="preserve"> </w:t>
            </w:r>
          </w:p>
        </w:tc>
      </w:tr>
      <w:tr w:rsidR="00F01393" w14:paraId="1BEB0C29" w14:textId="77777777" w:rsidTr="00B502A0">
        <w:trPr>
          <w:trHeight w:val="1148"/>
        </w:trPr>
        <w:tc>
          <w:tcPr>
            <w:tcW w:w="1093" w:type="pct"/>
            <w:tcBorders>
              <w:top w:val="single" w:sz="12" w:space="0" w:color="auto"/>
              <w:left w:val="single" w:sz="12" w:space="0" w:color="auto"/>
              <w:bottom w:val="single" w:sz="4" w:space="0" w:color="auto"/>
              <w:right w:val="single" w:sz="12" w:space="0" w:color="auto"/>
            </w:tcBorders>
            <w:hideMark/>
          </w:tcPr>
          <w:p w14:paraId="46904FE0" w14:textId="77777777" w:rsidR="001530C0" w:rsidRDefault="001530C0" w:rsidP="00B502A0">
            <w:pPr>
              <w:spacing w:before="60" w:after="60"/>
              <w:jc w:val="both"/>
            </w:pPr>
            <w:r>
              <w:t>Návaznost na strategický cíl</w:t>
            </w:r>
          </w:p>
        </w:tc>
        <w:tc>
          <w:tcPr>
            <w:tcW w:w="3907" w:type="pct"/>
            <w:tcBorders>
              <w:top w:val="single" w:sz="12" w:space="0" w:color="auto"/>
              <w:left w:val="single" w:sz="12" w:space="0" w:color="auto"/>
              <w:bottom w:val="single" w:sz="4" w:space="0" w:color="auto"/>
              <w:right w:val="single" w:sz="12" w:space="0" w:color="auto"/>
            </w:tcBorders>
            <w:hideMark/>
          </w:tcPr>
          <w:p w14:paraId="29550FC1" w14:textId="77777777" w:rsidR="001530C0" w:rsidRPr="00F44375" w:rsidRDefault="001530C0" w:rsidP="00B502A0">
            <w:pPr>
              <w:spacing w:before="60" w:after="60"/>
              <w:jc w:val="both"/>
            </w:pPr>
            <w:r w:rsidRPr="00F44375">
              <w:t>Rozvoj trhu vozidel na zemní plyn</w:t>
            </w:r>
            <w:r w:rsidR="005C762C">
              <w:t xml:space="preserve"> (kap. 3.3.1.)</w:t>
            </w:r>
          </w:p>
          <w:p w14:paraId="3F4A2E9D" w14:textId="04592A25" w:rsidR="001530C0" w:rsidRPr="00033FFF" w:rsidRDefault="001530C0" w:rsidP="005A1247">
            <w:pPr>
              <w:spacing w:before="60" w:after="60"/>
              <w:jc w:val="both"/>
              <w:rPr>
                <w:rFonts w:cs="Arial"/>
              </w:rPr>
            </w:pPr>
            <w:r w:rsidRPr="00F44375">
              <w:t>Vytváření podmínek pro lepší vnímání zemního plynu coby alternativního paliva na straně potenciálních zákazníků a</w:t>
            </w:r>
            <w:r w:rsidR="005A1247">
              <w:t> </w:t>
            </w:r>
            <w:r w:rsidRPr="00F44375">
              <w:t>podmínek pro rozvoj vozového parku</w:t>
            </w:r>
            <w:r w:rsidR="005C762C">
              <w:t xml:space="preserve"> (kap. 3.3.4.)</w:t>
            </w:r>
          </w:p>
        </w:tc>
      </w:tr>
      <w:tr w:rsidR="00F01393" w14:paraId="0EA2E0FC" w14:textId="77777777" w:rsidTr="00B502A0">
        <w:trPr>
          <w:trHeight w:val="57"/>
        </w:trPr>
        <w:tc>
          <w:tcPr>
            <w:tcW w:w="1093" w:type="pct"/>
            <w:tcBorders>
              <w:top w:val="single" w:sz="4" w:space="0" w:color="auto"/>
              <w:left w:val="single" w:sz="12" w:space="0" w:color="auto"/>
              <w:bottom w:val="single" w:sz="4" w:space="0" w:color="auto"/>
              <w:right w:val="single" w:sz="12" w:space="0" w:color="auto"/>
            </w:tcBorders>
            <w:hideMark/>
          </w:tcPr>
          <w:p w14:paraId="233E538B" w14:textId="77777777" w:rsidR="001530C0" w:rsidRDefault="001530C0" w:rsidP="00B502A0">
            <w:pPr>
              <w:spacing w:before="60" w:after="60"/>
              <w:jc w:val="both"/>
            </w:pPr>
            <w:r>
              <w:t xml:space="preserve">Cíl opatření </w:t>
            </w:r>
          </w:p>
        </w:tc>
        <w:tc>
          <w:tcPr>
            <w:tcW w:w="3907" w:type="pct"/>
            <w:tcBorders>
              <w:top w:val="single" w:sz="4" w:space="0" w:color="auto"/>
              <w:left w:val="single" w:sz="12" w:space="0" w:color="auto"/>
              <w:bottom w:val="single" w:sz="4" w:space="0" w:color="auto"/>
              <w:right w:val="single" w:sz="12" w:space="0" w:color="auto"/>
            </w:tcBorders>
            <w:hideMark/>
          </w:tcPr>
          <w:p w14:paraId="2917BC63" w14:textId="2D67FA70" w:rsidR="001530C0" w:rsidRDefault="001530C0" w:rsidP="005A1247">
            <w:pPr>
              <w:spacing w:before="60" w:after="60"/>
              <w:jc w:val="both"/>
            </w:pPr>
            <w:r>
              <w:t>Cílem je podpořit</w:t>
            </w:r>
            <w:r>
              <w:rPr>
                <w:sz w:val="20"/>
                <w:szCs w:val="20"/>
              </w:rPr>
              <w:t xml:space="preserve"> </w:t>
            </w:r>
            <w:r>
              <w:t xml:space="preserve">nákup nákladních vozidel (vozidel nad 3,5 t) </w:t>
            </w:r>
            <w:r w:rsidR="00F20409">
              <w:t>na zemní plyn</w:t>
            </w:r>
            <w:r>
              <w:t xml:space="preserve"> formou </w:t>
            </w:r>
            <w:r w:rsidR="00F20409">
              <w:t xml:space="preserve">částečné </w:t>
            </w:r>
            <w:r>
              <w:t>úlevy z</w:t>
            </w:r>
            <w:r w:rsidR="005A1247">
              <w:t> </w:t>
            </w:r>
            <w:r>
              <w:t>placení mýtného.</w:t>
            </w:r>
            <w:r w:rsidR="00F20409">
              <w:rPr>
                <w:lang w:eastAsia="en-US"/>
              </w:rPr>
              <w:t xml:space="preserve"> Jde o</w:t>
            </w:r>
            <w:r w:rsidR="005A1247">
              <w:rPr>
                <w:lang w:eastAsia="en-US"/>
              </w:rPr>
              <w:t> </w:t>
            </w:r>
            <w:r w:rsidR="002E1BD1">
              <w:rPr>
                <w:lang w:eastAsia="en-US"/>
              </w:rPr>
              <w:t>složku mýtného</w:t>
            </w:r>
            <w:r w:rsidR="00F20409">
              <w:rPr>
                <w:lang w:eastAsia="en-US"/>
              </w:rPr>
              <w:t xml:space="preserve"> za znečištění, kter</w:t>
            </w:r>
            <w:r w:rsidR="002E1BD1">
              <w:rPr>
                <w:lang w:eastAsia="en-US"/>
              </w:rPr>
              <w:t>á bude v</w:t>
            </w:r>
            <w:r w:rsidR="005A1247">
              <w:rPr>
                <w:lang w:eastAsia="en-US"/>
              </w:rPr>
              <w:t> </w:t>
            </w:r>
            <w:r w:rsidR="002E1BD1">
              <w:rPr>
                <w:lang w:eastAsia="en-US"/>
              </w:rPr>
              <w:t>souladu s</w:t>
            </w:r>
            <w:r w:rsidR="005A1247">
              <w:rPr>
                <w:lang w:eastAsia="en-US"/>
              </w:rPr>
              <w:t> </w:t>
            </w:r>
            <w:r w:rsidR="002E1BD1">
              <w:rPr>
                <w:lang w:eastAsia="en-US"/>
              </w:rPr>
              <w:t>tzv</w:t>
            </w:r>
            <w:r w:rsidR="0051083C">
              <w:rPr>
                <w:lang w:eastAsia="en-US"/>
              </w:rPr>
              <w:t xml:space="preserve">. směrnicí Euroviněta zahrnuta </w:t>
            </w:r>
            <w:r w:rsidR="002E1BD1">
              <w:rPr>
                <w:lang w:eastAsia="en-US"/>
              </w:rPr>
              <w:t xml:space="preserve">do </w:t>
            </w:r>
            <w:r w:rsidR="00F20409">
              <w:rPr>
                <w:lang w:eastAsia="en-US"/>
              </w:rPr>
              <w:t xml:space="preserve">mýtného. </w:t>
            </w:r>
            <w:r>
              <w:t xml:space="preserve">Tato úleva by znamenala </w:t>
            </w:r>
            <w:r w:rsidR="00F20409">
              <w:t xml:space="preserve">určité </w:t>
            </w:r>
            <w:r>
              <w:t>snížení provozních nákladů, což by pozitivně projevilo do celkových nákladů vlastnictví (TCO) nákladních vozidel na alternativní paliva</w:t>
            </w:r>
            <w:r>
              <w:rPr>
                <w:sz w:val="20"/>
                <w:szCs w:val="20"/>
              </w:rPr>
              <w:t xml:space="preserve">  </w:t>
            </w:r>
          </w:p>
        </w:tc>
      </w:tr>
      <w:tr w:rsidR="00F01393" w14:paraId="128695C8" w14:textId="77777777" w:rsidTr="00B502A0">
        <w:trPr>
          <w:trHeight w:val="57"/>
        </w:trPr>
        <w:tc>
          <w:tcPr>
            <w:tcW w:w="1093" w:type="pct"/>
            <w:tcBorders>
              <w:top w:val="single" w:sz="4" w:space="0" w:color="auto"/>
              <w:left w:val="single" w:sz="12" w:space="0" w:color="auto"/>
              <w:bottom w:val="single" w:sz="4" w:space="0" w:color="auto"/>
              <w:right w:val="single" w:sz="12" w:space="0" w:color="auto"/>
            </w:tcBorders>
            <w:hideMark/>
          </w:tcPr>
          <w:p w14:paraId="199DCDCF" w14:textId="77777777" w:rsidR="001530C0" w:rsidRDefault="001530C0" w:rsidP="00B502A0">
            <w:pPr>
              <w:spacing w:before="60" w:after="60"/>
              <w:jc w:val="both"/>
            </w:pPr>
            <w:r>
              <w:t>Popis opatření</w:t>
            </w:r>
          </w:p>
        </w:tc>
        <w:tc>
          <w:tcPr>
            <w:tcW w:w="3907" w:type="pct"/>
            <w:tcBorders>
              <w:top w:val="single" w:sz="4" w:space="0" w:color="auto"/>
              <w:left w:val="single" w:sz="12" w:space="0" w:color="auto"/>
              <w:bottom w:val="single" w:sz="4" w:space="0" w:color="auto"/>
              <w:right w:val="single" w:sz="12" w:space="0" w:color="auto"/>
            </w:tcBorders>
            <w:hideMark/>
          </w:tcPr>
          <w:p w14:paraId="55ED42C2" w14:textId="4DF5AC60" w:rsidR="00F20409" w:rsidRDefault="00F20409" w:rsidP="00F20409">
            <w:pPr>
              <w:pStyle w:val="TableText"/>
              <w:spacing w:before="60" w:after="60" w:line="240" w:lineRule="auto"/>
              <w:jc w:val="both"/>
              <w:rPr>
                <w:rFonts w:cs="Arial"/>
                <w:sz w:val="22"/>
                <w:szCs w:val="22"/>
              </w:rPr>
            </w:pPr>
            <w:r>
              <w:rPr>
                <w:rFonts w:cs="Arial"/>
                <w:sz w:val="22"/>
                <w:szCs w:val="22"/>
              </w:rPr>
              <w:t>Novela zákona č. 13/1997 o</w:t>
            </w:r>
            <w:r w:rsidR="005A1247">
              <w:rPr>
                <w:rFonts w:cs="Arial"/>
                <w:sz w:val="22"/>
                <w:szCs w:val="22"/>
              </w:rPr>
              <w:t> </w:t>
            </w:r>
            <w:r>
              <w:rPr>
                <w:rFonts w:cs="Arial"/>
                <w:sz w:val="22"/>
                <w:szCs w:val="22"/>
              </w:rPr>
              <w:t>pozemních komunikací (viz § 22 odst. 1) nově stanoví, že mýtné se ukládá za účelem dosažení návratnosti tří typů nákladů, přičemž jedním z</w:t>
            </w:r>
            <w:r w:rsidR="005A1247">
              <w:rPr>
                <w:rFonts w:cs="Arial"/>
                <w:sz w:val="22"/>
                <w:szCs w:val="22"/>
              </w:rPr>
              <w:t> </w:t>
            </w:r>
            <w:r>
              <w:rPr>
                <w:rFonts w:cs="Arial"/>
                <w:sz w:val="22"/>
                <w:szCs w:val="22"/>
              </w:rPr>
              <w:t>těchto nákladů jsou náklady, vyvolané znečištěním ovzduší z</w:t>
            </w:r>
            <w:r w:rsidR="005A1247">
              <w:rPr>
                <w:rFonts w:cs="Arial"/>
                <w:sz w:val="22"/>
                <w:szCs w:val="22"/>
              </w:rPr>
              <w:t> </w:t>
            </w:r>
            <w:r>
              <w:rPr>
                <w:rFonts w:cs="Arial"/>
                <w:sz w:val="22"/>
                <w:szCs w:val="22"/>
              </w:rPr>
              <w:t>provozu vozidel v</w:t>
            </w:r>
            <w:r w:rsidR="005A1247">
              <w:rPr>
                <w:rFonts w:cs="Arial"/>
                <w:sz w:val="22"/>
                <w:szCs w:val="22"/>
              </w:rPr>
              <w:t> </w:t>
            </w:r>
            <w:r>
              <w:rPr>
                <w:rFonts w:cs="Arial"/>
                <w:sz w:val="22"/>
                <w:szCs w:val="22"/>
              </w:rPr>
              <w:t>systému elektronického mýtného na zpoplatněných pozemních komunikacích. Podle § 22 odst. 2 téhož zákona jsou vozidla, které splňují nejpřísnější emisní úroveň po dobu, po kterou stanoví příslušný prováděcí předpis, osvobozena z</w:t>
            </w:r>
            <w:r w:rsidR="005A1247">
              <w:rPr>
                <w:rFonts w:cs="Arial"/>
                <w:sz w:val="22"/>
                <w:szCs w:val="22"/>
              </w:rPr>
              <w:t> </w:t>
            </w:r>
            <w:r>
              <w:rPr>
                <w:rFonts w:cs="Arial"/>
                <w:sz w:val="22"/>
                <w:szCs w:val="22"/>
              </w:rPr>
              <w:t xml:space="preserve">části mýtného ukládanou za účelem dosažení návratnosti nákladů vyvolaných znečištěním ovzduší. </w:t>
            </w:r>
          </w:p>
          <w:p w14:paraId="0A26EE09" w14:textId="6D98A853" w:rsidR="001530C0" w:rsidRDefault="00F20409" w:rsidP="005A1247">
            <w:pPr>
              <w:pStyle w:val="TableText"/>
              <w:spacing w:before="60" w:after="60" w:line="240" w:lineRule="auto"/>
              <w:jc w:val="both"/>
            </w:pPr>
            <w:r>
              <w:rPr>
                <w:rFonts w:cs="Arial"/>
                <w:sz w:val="22"/>
                <w:szCs w:val="22"/>
              </w:rPr>
              <w:t xml:space="preserve">Účelem této karty opatření je zajistit, že nízkoemisní vozidla nad 3,5 tj. včetně vozidel </w:t>
            </w:r>
            <w:r w:rsidRPr="008866B5">
              <w:rPr>
                <w:rFonts w:cs="Arial"/>
                <w:sz w:val="22"/>
                <w:szCs w:val="22"/>
              </w:rPr>
              <w:t>na zemní plyn, budou od tohoto poplatku osvobozena a</w:t>
            </w:r>
            <w:r w:rsidR="005A1247">
              <w:rPr>
                <w:rFonts w:cs="Arial"/>
                <w:sz w:val="22"/>
                <w:szCs w:val="22"/>
              </w:rPr>
              <w:t> </w:t>
            </w:r>
            <w:r w:rsidRPr="008866B5">
              <w:rPr>
                <w:rFonts w:cs="Arial"/>
                <w:sz w:val="22"/>
                <w:szCs w:val="22"/>
              </w:rPr>
              <w:t xml:space="preserve">to </w:t>
            </w:r>
            <w:r w:rsidRPr="008866B5">
              <w:rPr>
                <w:rFonts w:cs="Arial"/>
                <w:i/>
                <w:sz w:val="22"/>
                <w:szCs w:val="22"/>
              </w:rPr>
              <w:t>v</w:t>
            </w:r>
            <w:r w:rsidR="005A1247">
              <w:rPr>
                <w:rFonts w:cs="Arial"/>
                <w:i/>
                <w:sz w:val="22"/>
                <w:szCs w:val="22"/>
              </w:rPr>
              <w:t> </w:t>
            </w:r>
            <w:r w:rsidRPr="008866B5">
              <w:rPr>
                <w:rFonts w:cs="Arial"/>
                <w:i/>
                <w:sz w:val="22"/>
                <w:szCs w:val="22"/>
              </w:rPr>
              <w:t xml:space="preserve">souladu </w:t>
            </w:r>
            <w:r w:rsidRPr="00F164D9">
              <w:rPr>
                <w:rFonts w:cs="Arial"/>
                <w:sz w:val="22"/>
                <w:szCs w:val="22"/>
              </w:rPr>
              <w:t>se směrnicí 1999/62 o</w:t>
            </w:r>
            <w:r w:rsidR="005A1247">
              <w:rPr>
                <w:rFonts w:cs="Arial"/>
                <w:sz w:val="22"/>
                <w:szCs w:val="22"/>
              </w:rPr>
              <w:t> </w:t>
            </w:r>
            <w:r w:rsidRPr="00F164D9">
              <w:rPr>
                <w:rFonts w:cs="Arial"/>
                <w:sz w:val="22"/>
                <w:szCs w:val="22"/>
              </w:rPr>
              <w:t>zpoplatnění</w:t>
            </w:r>
            <w:r w:rsidRPr="008866B5">
              <w:rPr>
                <w:rFonts w:cs="Arial"/>
                <w:i/>
                <w:sz w:val="22"/>
                <w:szCs w:val="22"/>
              </w:rPr>
              <w:t xml:space="preserve"> </w:t>
            </w:r>
            <w:r w:rsidRPr="00F164D9">
              <w:rPr>
                <w:rFonts w:cs="Arial"/>
                <w:sz w:val="22"/>
                <w:szCs w:val="22"/>
              </w:rPr>
              <w:t>těžkých nákladních vozidel, která v</w:t>
            </w:r>
            <w:r w:rsidR="005A1247">
              <w:rPr>
                <w:rFonts w:cs="Arial"/>
                <w:sz w:val="22"/>
                <w:szCs w:val="22"/>
              </w:rPr>
              <w:t> </w:t>
            </w:r>
            <w:r w:rsidRPr="00F164D9">
              <w:rPr>
                <w:rFonts w:cs="Arial"/>
                <w:sz w:val="22"/>
                <w:szCs w:val="22"/>
              </w:rPr>
              <w:t>tabulce 1 v</w:t>
            </w:r>
            <w:r w:rsidR="005A1247">
              <w:rPr>
                <w:rFonts w:cs="Arial"/>
                <w:sz w:val="22"/>
                <w:szCs w:val="22"/>
              </w:rPr>
              <w:t> </w:t>
            </w:r>
            <w:r w:rsidRPr="00F164D9">
              <w:rPr>
                <w:rFonts w:cs="Arial"/>
                <w:sz w:val="22"/>
                <w:szCs w:val="22"/>
              </w:rPr>
              <w:t>příloze IIIb stanoví, že</w:t>
            </w:r>
            <w:r w:rsidRPr="008866B5">
              <w:rPr>
                <w:rFonts w:cs="Arial"/>
                <w:i/>
                <w:sz w:val="22"/>
                <w:szCs w:val="22"/>
              </w:rPr>
              <w:t xml:space="preserve"> </w:t>
            </w:r>
            <w:r w:rsidRPr="00F164D9">
              <w:rPr>
                <w:rFonts w:cs="Arial"/>
                <w:sz w:val="22"/>
                <w:szCs w:val="22"/>
              </w:rPr>
              <w:t>u</w:t>
            </w:r>
            <w:r w:rsidR="005A1247">
              <w:rPr>
                <w:rFonts w:cs="Arial"/>
                <w:i/>
                <w:sz w:val="22"/>
                <w:szCs w:val="22"/>
              </w:rPr>
              <w:t> </w:t>
            </w:r>
            <w:r w:rsidRPr="008866B5">
              <w:rPr>
                <w:rFonts w:cs="Arial"/>
                <w:i/>
                <w:sz w:val="22"/>
                <w:szCs w:val="22"/>
              </w:rPr>
              <w:t xml:space="preserve">„vozidel </w:t>
            </w:r>
            <w:r w:rsidRPr="008866B5">
              <w:rPr>
                <w:rFonts w:cs="Arial"/>
                <w:i/>
                <w:color w:val="000000"/>
                <w:sz w:val="22"/>
                <w:szCs w:val="22"/>
              </w:rPr>
              <w:t>znečišťující méně než EURO VI“ by poplatek za znečistění měl mít nulovou hodnotu, zatímco u</w:t>
            </w:r>
            <w:r w:rsidR="005A1247">
              <w:rPr>
                <w:rFonts w:cs="Arial"/>
                <w:i/>
                <w:color w:val="000000"/>
                <w:sz w:val="22"/>
                <w:szCs w:val="22"/>
              </w:rPr>
              <w:t> </w:t>
            </w:r>
            <w:r w:rsidRPr="008866B5">
              <w:rPr>
                <w:rFonts w:cs="Arial"/>
                <w:i/>
                <w:color w:val="000000"/>
                <w:sz w:val="22"/>
                <w:szCs w:val="22"/>
              </w:rPr>
              <w:t>vozidel EURO VI má být maximální sazba poplatku stanovena v</w:t>
            </w:r>
            <w:r w:rsidR="005A1247">
              <w:rPr>
                <w:rFonts w:cs="Arial"/>
                <w:i/>
                <w:color w:val="000000"/>
                <w:sz w:val="22"/>
                <w:szCs w:val="22"/>
              </w:rPr>
              <w:t> </w:t>
            </w:r>
            <w:r w:rsidRPr="008866B5">
              <w:rPr>
                <w:rFonts w:cs="Arial"/>
                <w:i/>
                <w:color w:val="000000"/>
                <w:sz w:val="22"/>
                <w:szCs w:val="22"/>
              </w:rPr>
              <w:t>rozmezí 1,1 až 2,2 euro</w:t>
            </w:r>
            <w:r w:rsidR="008866B5">
              <w:rPr>
                <w:rFonts w:cs="Arial"/>
                <w:i/>
                <w:color w:val="000000"/>
                <w:sz w:val="22"/>
                <w:szCs w:val="22"/>
              </w:rPr>
              <w:t xml:space="preserve"> </w:t>
            </w:r>
            <w:r w:rsidRPr="008866B5">
              <w:rPr>
                <w:rFonts w:cs="Arial"/>
                <w:i/>
                <w:color w:val="000000"/>
                <w:sz w:val="22"/>
                <w:szCs w:val="22"/>
              </w:rPr>
              <w:t>centů/vozo kilometr.</w:t>
            </w:r>
            <w:r w:rsidR="00F164D9">
              <w:rPr>
                <w:rFonts w:cs="Arial"/>
                <w:i/>
                <w:color w:val="000000"/>
                <w:sz w:val="22"/>
                <w:szCs w:val="22"/>
              </w:rPr>
              <w:t>“</w:t>
            </w:r>
            <w:r>
              <w:rPr>
                <w:rFonts w:cs="Arial"/>
                <w:i/>
                <w:color w:val="000000"/>
                <w:szCs w:val="22"/>
              </w:rPr>
              <w:t xml:space="preserve">     </w:t>
            </w:r>
            <w:r>
              <w:rPr>
                <w:rFonts w:cs="Arial"/>
                <w:i/>
                <w:szCs w:val="22"/>
              </w:rPr>
              <w:t xml:space="preserve"> </w:t>
            </w:r>
            <w:r w:rsidR="00061FB2">
              <w:rPr>
                <w:sz w:val="22"/>
              </w:rPr>
              <w:t>       </w:t>
            </w:r>
          </w:p>
        </w:tc>
      </w:tr>
      <w:tr w:rsidR="00F01393" w14:paraId="461794D5" w14:textId="77777777" w:rsidTr="00B502A0">
        <w:trPr>
          <w:trHeight w:val="57"/>
        </w:trPr>
        <w:tc>
          <w:tcPr>
            <w:tcW w:w="1093" w:type="pct"/>
            <w:tcBorders>
              <w:top w:val="single" w:sz="4" w:space="0" w:color="auto"/>
              <w:left w:val="single" w:sz="12" w:space="0" w:color="auto"/>
              <w:bottom w:val="single" w:sz="4" w:space="0" w:color="auto"/>
              <w:right w:val="single" w:sz="12" w:space="0" w:color="auto"/>
            </w:tcBorders>
            <w:hideMark/>
          </w:tcPr>
          <w:p w14:paraId="502CCA36" w14:textId="4FE52EF2" w:rsidR="001530C0" w:rsidRDefault="001530C0" w:rsidP="005A1247">
            <w:pPr>
              <w:spacing w:before="60" w:after="60"/>
              <w:jc w:val="both"/>
            </w:pPr>
            <w:r>
              <w:t>Příklad z</w:t>
            </w:r>
            <w:r w:rsidR="005A1247">
              <w:t> </w:t>
            </w:r>
            <w:r>
              <w:t>praxe</w:t>
            </w:r>
          </w:p>
        </w:tc>
        <w:tc>
          <w:tcPr>
            <w:tcW w:w="3907" w:type="pct"/>
            <w:tcBorders>
              <w:top w:val="single" w:sz="4" w:space="0" w:color="auto"/>
              <w:left w:val="single" w:sz="12" w:space="0" w:color="auto"/>
              <w:bottom w:val="single" w:sz="4" w:space="0" w:color="auto"/>
              <w:right w:val="single" w:sz="12" w:space="0" w:color="auto"/>
            </w:tcBorders>
            <w:hideMark/>
          </w:tcPr>
          <w:p w14:paraId="61564811" w14:textId="62DE8E79" w:rsidR="001530C0" w:rsidRDefault="001530C0" w:rsidP="005A1247">
            <w:pPr>
              <w:spacing w:before="60" w:after="60"/>
              <w:jc w:val="both"/>
            </w:pPr>
            <w:r>
              <w:t>Podobná úleva (dokonce nejen z</w:t>
            </w:r>
            <w:r w:rsidR="005A1247">
              <w:t> </w:t>
            </w:r>
            <w:r w:rsidR="00F164D9">
              <w:t>„</w:t>
            </w:r>
            <w:r>
              <w:t>poplatku za externí náklady</w:t>
            </w:r>
            <w:r w:rsidR="00F164D9">
              <w:t>“</w:t>
            </w:r>
            <w:r>
              <w:t xml:space="preserve"> ale mýta jako takového) byla přijata nedávno v</w:t>
            </w:r>
            <w:r w:rsidR="005A1247">
              <w:t> </w:t>
            </w:r>
            <w:r>
              <w:t>Německu</w:t>
            </w:r>
            <w:r w:rsidR="00F20409">
              <w:rPr>
                <w:lang w:eastAsia="en-US"/>
              </w:rPr>
              <w:t xml:space="preserve"> a</w:t>
            </w:r>
            <w:r w:rsidR="005A1247">
              <w:rPr>
                <w:lang w:eastAsia="en-US"/>
              </w:rPr>
              <w:t> </w:t>
            </w:r>
            <w:r w:rsidR="00F20409">
              <w:rPr>
                <w:lang w:eastAsia="en-US"/>
              </w:rPr>
              <w:t xml:space="preserve">od příštího roku má být zavedena ve Francii.  </w:t>
            </w:r>
          </w:p>
        </w:tc>
      </w:tr>
      <w:tr w:rsidR="00F01393" w14:paraId="0502A422" w14:textId="77777777" w:rsidTr="00B502A0">
        <w:trPr>
          <w:trHeight w:val="57"/>
        </w:trPr>
        <w:tc>
          <w:tcPr>
            <w:tcW w:w="1093" w:type="pct"/>
            <w:tcBorders>
              <w:top w:val="single" w:sz="4" w:space="0" w:color="auto"/>
              <w:left w:val="single" w:sz="12" w:space="0" w:color="auto"/>
              <w:bottom w:val="single" w:sz="4" w:space="0" w:color="auto"/>
              <w:right w:val="single" w:sz="12" w:space="0" w:color="auto"/>
            </w:tcBorders>
            <w:hideMark/>
          </w:tcPr>
          <w:p w14:paraId="11B5955C" w14:textId="77777777" w:rsidR="001530C0" w:rsidRDefault="001530C0" w:rsidP="00B502A0">
            <w:pPr>
              <w:spacing w:before="60" w:after="60"/>
              <w:jc w:val="both"/>
            </w:pPr>
            <w:r>
              <w:t>Rozpočtový dopad / financování</w:t>
            </w:r>
          </w:p>
        </w:tc>
        <w:tc>
          <w:tcPr>
            <w:tcW w:w="3907" w:type="pct"/>
            <w:tcBorders>
              <w:top w:val="single" w:sz="4" w:space="0" w:color="auto"/>
              <w:left w:val="single" w:sz="12" w:space="0" w:color="auto"/>
              <w:bottom w:val="single" w:sz="4" w:space="0" w:color="auto"/>
              <w:right w:val="single" w:sz="12" w:space="0" w:color="auto"/>
            </w:tcBorders>
            <w:hideMark/>
          </w:tcPr>
          <w:p w14:paraId="7E2FA610" w14:textId="74BCFD2D" w:rsidR="001530C0" w:rsidRDefault="001530C0" w:rsidP="005A1247">
            <w:pPr>
              <w:spacing w:before="60" w:after="60"/>
              <w:jc w:val="both"/>
            </w:pPr>
            <w:r>
              <w:t xml:space="preserve">Nelze určit. Závisí na schválené výši </w:t>
            </w:r>
            <w:r w:rsidR="00F164D9">
              <w:t xml:space="preserve">složky mýtného </w:t>
            </w:r>
            <w:r>
              <w:t xml:space="preserve">za </w:t>
            </w:r>
            <w:r w:rsidR="00F164D9">
              <w:t xml:space="preserve">znečištění </w:t>
            </w:r>
            <w:r>
              <w:t>pro vozidla s</w:t>
            </w:r>
            <w:r w:rsidR="005A1247">
              <w:t> </w:t>
            </w:r>
            <w:r>
              <w:t xml:space="preserve">konvenčním pohonem.    </w:t>
            </w:r>
          </w:p>
        </w:tc>
      </w:tr>
      <w:tr w:rsidR="00F01393" w14:paraId="4E3DDE95" w14:textId="77777777" w:rsidTr="00B502A0">
        <w:trPr>
          <w:trHeight w:val="57"/>
        </w:trPr>
        <w:tc>
          <w:tcPr>
            <w:tcW w:w="1093" w:type="pct"/>
            <w:tcBorders>
              <w:top w:val="single" w:sz="4" w:space="0" w:color="auto"/>
              <w:left w:val="single" w:sz="12" w:space="0" w:color="auto"/>
              <w:bottom w:val="single" w:sz="4" w:space="0" w:color="auto"/>
              <w:right w:val="single" w:sz="12" w:space="0" w:color="auto"/>
            </w:tcBorders>
            <w:hideMark/>
          </w:tcPr>
          <w:p w14:paraId="515F6A9E" w14:textId="77777777" w:rsidR="001530C0" w:rsidRDefault="001530C0" w:rsidP="00B502A0">
            <w:pPr>
              <w:spacing w:before="60" w:after="60"/>
              <w:jc w:val="both"/>
            </w:pPr>
            <w:r>
              <w:t>Odpovědnost</w:t>
            </w:r>
          </w:p>
        </w:tc>
        <w:tc>
          <w:tcPr>
            <w:tcW w:w="3907" w:type="pct"/>
            <w:tcBorders>
              <w:top w:val="single" w:sz="4" w:space="0" w:color="auto"/>
              <w:left w:val="single" w:sz="12" w:space="0" w:color="auto"/>
              <w:bottom w:val="single" w:sz="4" w:space="0" w:color="auto"/>
              <w:right w:val="single" w:sz="12" w:space="0" w:color="auto"/>
            </w:tcBorders>
            <w:hideMark/>
          </w:tcPr>
          <w:p w14:paraId="548A0710" w14:textId="77777777" w:rsidR="001530C0" w:rsidRDefault="001530C0" w:rsidP="00B502A0">
            <w:pPr>
              <w:spacing w:before="60" w:after="60"/>
              <w:jc w:val="both"/>
            </w:pPr>
            <w:r>
              <w:t>MD</w:t>
            </w:r>
          </w:p>
        </w:tc>
      </w:tr>
      <w:tr w:rsidR="00F01393" w14:paraId="6CA4FECC" w14:textId="77777777" w:rsidTr="00B502A0">
        <w:trPr>
          <w:trHeight w:val="680"/>
        </w:trPr>
        <w:tc>
          <w:tcPr>
            <w:tcW w:w="1093" w:type="pct"/>
            <w:tcBorders>
              <w:top w:val="single" w:sz="4" w:space="0" w:color="auto"/>
              <w:left w:val="single" w:sz="12" w:space="0" w:color="auto"/>
              <w:bottom w:val="single" w:sz="12" w:space="0" w:color="auto"/>
              <w:right w:val="single" w:sz="12" w:space="0" w:color="auto"/>
            </w:tcBorders>
            <w:vAlign w:val="center"/>
          </w:tcPr>
          <w:p w14:paraId="3690D7F1" w14:textId="77777777" w:rsidR="001530C0" w:rsidRDefault="001530C0" w:rsidP="00B502A0">
            <w:pPr>
              <w:spacing w:before="60" w:after="60"/>
              <w:jc w:val="both"/>
            </w:pPr>
            <w:r>
              <w:t>Termín</w:t>
            </w:r>
          </w:p>
        </w:tc>
        <w:tc>
          <w:tcPr>
            <w:tcW w:w="3907" w:type="pct"/>
            <w:tcBorders>
              <w:top w:val="single" w:sz="4" w:space="0" w:color="auto"/>
              <w:left w:val="single" w:sz="12" w:space="0" w:color="auto"/>
              <w:right w:val="single" w:sz="12" w:space="0" w:color="auto"/>
            </w:tcBorders>
            <w:vAlign w:val="center"/>
          </w:tcPr>
          <w:p w14:paraId="6DB8FBE9" w14:textId="77777777" w:rsidR="001530C0" w:rsidRPr="00033FFF" w:rsidRDefault="001530C0" w:rsidP="00B502A0">
            <w:pPr>
              <w:spacing w:before="60" w:after="60"/>
              <w:jc w:val="both"/>
              <w:rPr>
                <w:rFonts w:cs="Arial"/>
                <w:szCs w:val="22"/>
              </w:rPr>
            </w:pPr>
            <w:r w:rsidRPr="00033FFF">
              <w:rPr>
                <w:rFonts w:cs="Arial"/>
                <w:szCs w:val="22"/>
              </w:rPr>
              <w:t>202</w:t>
            </w:r>
            <w:r>
              <w:rPr>
                <w:rFonts w:cs="Arial"/>
                <w:szCs w:val="22"/>
              </w:rPr>
              <w:t>1</w:t>
            </w:r>
          </w:p>
        </w:tc>
      </w:tr>
    </w:tbl>
    <w:p w14:paraId="10CFBA58" w14:textId="77777777" w:rsidR="001530C0" w:rsidRDefault="001530C0" w:rsidP="009A3B7E">
      <w:pPr>
        <w:spacing w:before="0" w:after="0"/>
        <w:jc w:val="both"/>
      </w:pPr>
      <w:r>
        <w:br w:type="page"/>
      </w:r>
    </w:p>
    <w:p w14:paraId="0C2C7A8B" w14:textId="5268757D" w:rsidR="001530C0" w:rsidRDefault="001530C0" w:rsidP="003A1ED5">
      <w:pPr>
        <w:pStyle w:val="Nadpis3"/>
        <w:tabs>
          <w:tab w:val="clear" w:pos="2411"/>
          <w:tab w:val="num" w:pos="1276"/>
        </w:tabs>
        <w:jc w:val="both"/>
      </w:pPr>
      <w:bookmarkStart w:id="99" w:name="_Toc21589160"/>
      <w:r>
        <w:lastRenderedPageBreak/>
        <w:t>V</w:t>
      </w:r>
      <w:r w:rsidR="005C762C">
        <w:t>3</w:t>
      </w:r>
      <w:r>
        <w:t xml:space="preserve"> </w:t>
      </w:r>
      <w:r w:rsidR="00B01803">
        <w:t xml:space="preserve">Dosažení právní jistoty ve věci </w:t>
      </w:r>
      <w:r w:rsidR="00673536">
        <w:t>o</w:t>
      </w:r>
      <w:r w:rsidRPr="009011E0">
        <w:t>svobození vodíkových vozidel s</w:t>
      </w:r>
      <w:r w:rsidR="005A1247">
        <w:t> </w:t>
      </w:r>
      <w:r w:rsidRPr="009011E0">
        <w:t>palivovým článkem ze silniční daně</w:t>
      </w:r>
      <w:bookmarkEnd w:id="99"/>
      <w:r w:rsidR="00B01803">
        <w:t xml:space="preserve">  </w:t>
      </w:r>
    </w:p>
    <w:p w14:paraId="3925CC1E" w14:textId="0B365ACF" w:rsidR="00325840" w:rsidRDefault="00325840" w:rsidP="00325840">
      <w:pPr>
        <w:pStyle w:val="Nadpis3"/>
        <w:numPr>
          <w:ilvl w:val="0"/>
          <w:numId w:val="0"/>
        </w:numPr>
        <w:ind w:left="284"/>
        <w:jc w:val="both"/>
      </w:pPr>
    </w:p>
    <w:tbl>
      <w:tblPr>
        <w:tblStyle w:val="Mkatabulky4"/>
        <w:tblpPr w:leftFromText="141" w:rightFromText="141" w:vertAnchor="text" w:horzAnchor="margin" w:tblpY="2"/>
        <w:tblW w:w="4885"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1"/>
        <w:gridCol w:w="6903"/>
      </w:tblGrid>
      <w:tr w:rsidR="00325840" w14:paraId="7DAFA9C0" w14:textId="77777777" w:rsidTr="005A1247">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7A1473E9" w14:textId="431B0689" w:rsidR="00325840" w:rsidRDefault="00325840" w:rsidP="005A1247">
            <w:pPr>
              <w:spacing w:before="60" w:after="60"/>
              <w:jc w:val="both"/>
            </w:pPr>
            <w:r>
              <w:rPr>
                <w:b/>
                <w:color w:val="FFFFFF" w:themeColor="background1"/>
              </w:rPr>
              <w:t>V3 Dosažení právní jistoty ve věci osvobození vodíkových vozidel s</w:t>
            </w:r>
            <w:r w:rsidR="005A1247">
              <w:rPr>
                <w:b/>
                <w:color w:val="FFFFFF" w:themeColor="background1"/>
              </w:rPr>
              <w:t> </w:t>
            </w:r>
            <w:r>
              <w:rPr>
                <w:b/>
                <w:color w:val="FFFFFF" w:themeColor="background1"/>
              </w:rPr>
              <w:t>palivovým článkem ze silniční daně</w:t>
            </w:r>
            <w:r>
              <w:t xml:space="preserve"> </w:t>
            </w:r>
          </w:p>
        </w:tc>
      </w:tr>
      <w:tr w:rsidR="00325840" w14:paraId="12AAAE1A" w14:textId="77777777" w:rsidTr="005A1247">
        <w:trPr>
          <w:trHeight w:val="741"/>
        </w:trPr>
        <w:tc>
          <w:tcPr>
            <w:tcW w:w="1093" w:type="pct"/>
            <w:tcBorders>
              <w:top w:val="single" w:sz="12" w:space="0" w:color="auto"/>
              <w:left w:val="single" w:sz="12" w:space="0" w:color="auto"/>
              <w:bottom w:val="single" w:sz="4" w:space="0" w:color="auto"/>
              <w:right w:val="single" w:sz="12" w:space="0" w:color="auto"/>
            </w:tcBorders>
          </w:tcPr>
          <w:p w14:paraId="5710318B" w14:textId="77777777" w:rsidR="00325840" w:rsidRDefault="00325840" w:rsidP="005A1247">
            <w:pPr>
              <w:spacing w:before="60" w:after="60"/>
              <w:jc w:val="both"/>
            </w:pPr>
            <w:r>
              <w:t>Návaznost na strategický cíl</w:t>
            </w:r>
          </w:p>
        </w:tc>
        <w:tc>
          <w:tcPr>
            <w:tcW w:w="3907" w:type="pct"/>
            <w:tcBorders>
              <w:top w:val="single" w:sz="12" w:space="0" w:color="auto"/>
              <w:left w:val="single" w:sz="12" w:space="0" w:color="auto"/>
              <w:bottom w:val="single" w:sz="4" w:space="0" w:color="auto"/>
              <w:right w:val="single" w:sz="12" w:space="0" w:color="auto"/>
            </w:tcBorders>
          </w:tcPr>
          <w:p w14:paraId="23499902" w14:textId="77777777" w:rsidR="00325840" w:rsidRDefault="00325840" w:rsidP="005A1247">
            <w:pPr>
              <w:spacing w:before="60" w:after="60"/>
              <w:jc w:val="both"/>
            </w:pPr>
            <w:r>
              <w:t>Rozvoj trhu vodíkových vozidel (kap. 4.3.1.)</w:t>
            </w:r>
          </w:p>
          <w:p w14:paraId="597FB0B3" w14:textId="77777777" w:rsidR="00325840" w:rsidRDefault="00325840" w:rsidP="005A1247">
            <w:pPr>
              <w:spacing w:before="60" w:after="60"/>
              <w:jc w:val="both"/>
            </w:pPr>
            <w:r>
              <w:t>Zlepšení regulatorního rámce vodíkové elektromobility (kap. 4.3.4.)</w:t>
            </w:r>
          </w:p>
        </w:tc>
      </w:tr>
      <w:tr w:rsidR="00325840" w14:paraId="51FD30CF" w14:textId="77777777" w:rsidTr="005A1247">
        <w:trPr>
          <w:trHeight w:val="52"/>
        </w:trPr>
        <w:tc>
          <w:tcPr>
            <w:tcW w:w="1093" w:type="pct"/>
            <w:tcBorders>
              <w:top w:val="single" w:sz="4" w:space="0" w:color="auto"/>
              <w:left w:val="single" w:sz="12" w:space="0" w:color="auto"/>
              <w:bottom w:val="single" w:sz="4" w:space="0" w:color="auto"/>
              <w:right w:val="single" w:sz="12" w:space="0" w:color="auto"/>
            </w:tcBorders>
            <w:hideMark/>
          </w:tcPr>
          <w:p w14:paraId="38E5E493" w14:textId="77777777" w:rsidR="00325840" w:rsidRDefault="00325840" w:rsidP="005A1247">
            <w:pPr>
              <w:spacing w:before="60" w:after="60"/>
              <w:jc w:val="both"/>
            </w:pPr>
            <w:r>
              <w:t xml:space="preserve">Cíl opatření </w:t>
            </w:r>
          </w:p>
        </w:tc>
        <w:tc>
          <w:tcPr>
            <w:tcW w:w="3907" w:type="pct"/>
            <w:tcBorders>
              <w:top w:val="single" w:sz="4" w:space="0" w:color="auto"/>
              <w:left w:val="single" w:sz="12" w:space="0" w:color="auto"/>
              <w:bottom w:val="single" w:sz="4" w:space="0" w:color="auto"/>
              <w:right w:val="single" w:sz="12" w:space="0" w:color="auto"/>
            </w:tcBorders>
            <w:hideMark/>
          </w:tcPr>
          <w:p w14:paraId="667EC007" w14:textId="515BD59E" w:rsidR="00325840" w:rsidRDefault="00325840" w:rsidP="005A1247">
            <w:pPr>
              <w:spacing w:before="60" w:after="60"/>
              <w:jc w:val="both"/>
            </w:pPr>
            <w:r>
              <w:t>V souladu s</w:t>
            </w:r>
            <w:r w:rsidR="005A1247">
              <w:t> </w:t>
            </w:r>
            <w:r>
              <w:t>principem technologické n</w:t>
            </w:r>
            <w:r w:rsidR="00CA2A8C">
              <w:t>eutrality je cílem potvrdit, že</w:t>
            </w:r>
            <w:r>
              <w:t xml:space="preserve"> na vozidla s</w:t>
            </w:r>
            <w:r w:rsidR="005A1247">
              <w:t> </w:t>
            </w:r>
            <w:r>
              <w:t>palivovým článkem označená jako FCEV   se vztahuje osvobození z</w:t>
            </w:r>
            <w:r w:rsidR="005A1247">
              <w:t> </w:t>
            </w:r>
            <w:r>
              <w:t>placení silniční daně pro vozidla, která mají elektrický pohon a</w:t>
            </w:r>
            <w:r w:rsidR="005A1247">
              <w:t> </w:t>
            </w:r>
            <w:r>
              <w:t>postavit tato vozidla na stejnou úroveň s</w:t>
            </w:r>
            <w:r w:rsidR="005A1247">
              <w:t> </w:t>
            </w:r>
            <w:r>
              <w:t>ostatními vozidly uplatňujícími v</w:t>
            </w:r>
            <w:r w:rsidR="005A1247">
              <w:t> </w:t>
            </w:r>
            <w:r>
              <w:t xml:space="preserve">současnosti osvobození od silniční daně. </w:t>
            </w:r>
          </w:p>
          <w:p w14:paraId="2799CA93" w14:textId="75C813CC" w:rsidR="00325840" w:rsidRDefault="00325840" w:rsidP="005A1247">
            <w:pPr>
              <w:spacing w:before="60" w:after="60"/>
              <w:jc w:val="both"/>
            </w:pPr>
            <w:r>
              <w:t xml:space="preserve">S tímto závěrem seznámit pracovní skupinu </w:t>
            </w:r>
            <w:r w:rsidR="00CA2A8C">
              <w:t xml:space="preserve">pro vodíkovou mobilitu </w:t>
            </w:r>
            <w:r>
              <w:t>a</w:t>
            </w:r>
            <w:r w:rsidR="005A1247">
              <w:t> </w:t>
            </w:r>
            <w:r>
              <w:t>zvážit vhodný způsob jejich publikace</w:t>
            </w:r>
            <w:r w:rsidR="00CA2A8C">
              <w:t xml:space="preserve"> (např. tisková zpráva)</w:t>
            </w:r>
            <w:r>
              <w:t>.</w:t>
            </w:r>
          </w:p>
        </w:tc>
      </w:tr>
      <w:tr w:rsidR="00325840" w14:paraId="105ADC76" w14:textId="77777777" w:rsidTr="005A1247">
        <w:trPr>
          <w:trHeight w:val="52"/>
        </w:trPr>
        <w:tc>
          <w:tcPr>
            <w:tcW w:w="1093" w:type="pct"/>
            <w:tcBorders>
              <w:top w:val="single" w:sz="4" w:space="0" w:color="auto"/>
              <w:left w:val="single" w:sz="12" w:space="0" w:color="auto"/>
              <w:bottom w:val="single" w:sz="4" w:space="0" w:color="auto"/>
              <w:right w:val="single" w:sz="12" w:space="0" w:color="auto"/>
            </w:tcBorders>
            <w:hideMark/>
          </w:tcPr>
          <w:p w14:paraId="79465302" w14:textId="77777777" w:rsidR="00325840" w:rsidRDefault="00325840" w:rsidP="005A1247">
            <w:pPr>
              <w:spacing w:before="60" w:after="60"/>
              <w:jc w:val="both"/>
            </w:pPr>
            <w:r>
              <w:t>Popis opatření</w:t>
            </w:r>
          </w:p>
        </w:tc>
        <w:tc>
          <w:tcPr>
            <w:tcW w:w="3907" w:type="pct"/>
            <w:tcBorders>
              <w:top w:val="single" w:sz="4" w:space="0" w:color="auto"/>
              <w:left w:val="single" w:sz="12" w:space="0" w:color="auto"/>
              <w:bottom w:val="single" w:sz="4" w:space="0" w:color="auto"/>
              <w:right w:val="single" w:sz="12" w:space="0" w:color="auto"/>
            </w:tcBorders>
            <w:hideMark/>
          </w:tcPr>
          <w:p w14:paraId="19EB5D74" w14:textId="06AFA979" w:rsidR="00325840" w:rsidRDefault="00325840" w:rsidP="005A1247">
            <w:pPr>
              <w:spacing w:before="60" w:after="60"/>
              <w:jc w:val="both"/>
            </w:pPr>
            <w:r>
              <w:t xml:space="preserve">Z </w:t>
            </w:r>
            <w:r>
              <w:rPr>
                <w:bCs/>
              </w:rPr>
              <w:t>§ 3 písm. f) zákona o</w:t>
            </w:r>
            <w:r w:rsidR="005A1247">
              <w:rPr>
                <w:bCs/>
              </w:rPr>
              <w:t> </w:t>
            </w:r>
            <w:r>
              <w:rPr>
                <w:bCs/>
              </w:rPr>
              <w:t>silniční dani plyne, že z</w:t>
            </w:r>
            <w:r w:rsidR="005A1247">
              <w:rPr>
                <w:bCs/>
              </w:rPr>
              <w:t> </w:t>
            </w:r>
            <w:r>
              <w:rPr>
                <w:bCs/>
              </w:rPr>
              <w:t xml:space="preserve">placení silniční daně jsou mj. osvobozena </w:t>
            </w:r>
            <w:r>
              <w:t>vozidla pro dopravu osob nebo vozidla pro dopravu nákladů s</w:t>
            </w:r>
            <w:r w:rsidR="005A1247">
              <w:t> </w:t>
            </w:r>
            <w:r>
              <w:t xml:space="preserve">největší povolenou hmotností méně než 12 tun, která mají elektrický pohon. </w:t>
            </w:r>
          </w:p>
          <w:p w14:paraId="6E5A1169" w14:textId="63925568" w:rsidR="00325840" w:rsidRDefault="00325840" w:rsidP="005A1247">
            <w:pPr>
              <w:spacing w:before="60" w:after="60"/>
              <w:jc w:val="both"/>
            </w:pPr>
            <w:r>
              <w:t>U vozidel s</w:t>
            </w:r>
            <w:r w:rsidR="005A1247">
              <w:t> </w:t>
            </w:r>
            <w:r>
              <w:t>palivovým článkem, které mají elektrický motor, ale primárním zdrojem energie těchto vozidel je vodík přeměňovaný v</w:t>
            </w:r>
            <w:r w:rsidR="005A1247">
              <w:t> </w:t>
            </w:r>
            <w:r>
              <w:t>palivovém článku na elektrickou energii. Z</w:t>
            </w:r>
            <w:r w:rsidR="005A1247">
              <w:t> </w:t>
            </w:r>
            <w:r>
              <w:t>hlediska právní jistoty je žádoucí zhodnotit dopady vývoje vozidel označovaných jako FCEV</w:t>
            </w:r>
            <w:r w:rsidR="00CA2A8C">
              <w:t xml:space="preserve"> z hlediska</w:t>
            </w:r>
            <w:r>
              <w:t xml:space="preserve"> vliv</w:t>
            </w:r>
            <w:r w:rsidR="00CA2A8C">
              <w:t>u</w:t>
            </w:r>
            <w:r>
              <w:t xml:space="preserve"> na nutno</w:t>
            </w:r>
            <w:r w:rsidR="00CA2A8C">
              <w:t>st</w:t>
            </w:r>
            <w:r>
              <w:t xml:space="preserve"> úpravy zákona č. 16/1993 Sb., o</w:t>
            </w:r>
            <w:r w:rsidR="005A1247">
              <w:t> </w:t>
            </w:r>
            <w:r>
              <w:t>dani silniční</w:t>
            </w:r>
            <w:r w:rsidR="00CA2A8C">
              <w:t xml:space="preserve"> a adekvátně pak danou záležitost komunikovat s odbornou a laickou veřejností</w:t>
            </w:r>
            <w:r>
              <w:t xml:space="preserve">.  </w:t>
            </w:r>
          </w:p>
        </w:tc>
      </w:tr>
      <w:tr w:rsidR="00325840" w14:paraId="659CD95A" w14:textId="77777777" w:rsidTr="005A1247">
        <w:trPr>
          <w:trHeight w:val="52"/>
        </w:trPr>
        <w:tc>
          <w:tcPr>
            <w:tcW w:w="1093" w:type="pct"/>
            <w:tcBorders>
              <w:top w:val="single" w:sz="4" w:space="0" w:color="auto"/>
              <w:left w:val="single" w:sz="12" w:space="0" w:color="auto"/>
              <w:bottom w:val="single" w:sz="4" w:space="0" w:color="auto"/>
              <w:right w:val="single" w:sz="12" w:space="0" w:color="auto"/>
            </w:tcBorders>
            <w:hideMark/>
          </w:tcPr>
          <w:p w14:paraId="08C86354" w14:textId="77777777" w:rsidR="00325840" w:rsidRDefault="00325840" w:rsidP="005A1247">
            <w:pPr>
              <w:spacing w:before="60" w:after="60"/>
              <w:jc w:val="both"/>
            </w:pPr>
            <w:r>
              <w:t>Rozpočtový dopad / financování</w:t>
            </w:r>
          </w:p>
        </w:tc>
        <w:tc>
          <w:tcPr>
            <w:tcW w:w="3907" w:type="pct"/>
            <w:tcBorders>
              <w:top w:val="single" w:sz="4" w:space="0" w:color="auto"/>
              <w:left w:val="single" w:sz="12" w:space="0" w:color="auto"/>
              <w:bottom w:val="single" w:sz="4" w:space="0" w:color="auto"/>
              <w:right w:val="single" w:sz="12" w:space="0" w:color="auto"/>
            </w:tcBorders>
            <w:hideMark/>
          </w:tcPr>
          <w:p w14:paraId="0A97336F" w14:textId="6CB4AA0E" w:rsidR="00325840" w:rsidRDefault="00325840" w:rsidP="005A1247">
            <w:pPr>
              <w:spacing w:before="60" w:after="60"/>
              <w:jc w:val="both"/>
            </w:pPr>
            <w:r>
              <w:t>Vzhledem k</w:t>
            </w:r>
            <w:r w:rsidR="005A1247">
              <w:t> </w:t>
            </w:r>
            <w:r>
              <w:t>tomu, že jde o</w:t>
            </w:r>
            <w:r w:rsidR="005A1247">
              <w:t> </w:t>
            </w:r>
            <w:r>
              <w:t>metodický výklad stávajícího textu (tj. hledání správného výkladu stávajícího práva), pak nejde o</w:t>
            </w:r>
            <w:r w:rsidR="005A1247">
              <w:t> </w:t>
            </w:r>
            <w:r>
              <w:t>diskreční opatření, které by se mělo posuzovat jako zásah do veřejných rozpočtů.</w:t>
            </w:r>
          </w:p>
        </w:tc>
      </w:tr>
      <w:tr w:rsidR="00325840" w14:paraId="5FFE4A46" w14:textId="77777777" w:rsidTr="005A1247">
        <w:trPr>
          <w:trHeight w:val="52"/>
        </w:trPr>
        <w:tc>
          <w:tcPr>
            <w:tcW w:w="1093" w:type="pct"/>
            <w:tcBorders>
              <w:top w:val="single" w:sz="4" w:space="0" w:color="auto"/>
              <w:left w:val="single" w:sz="12" w:space="0" w:color="auto"/>
              <w:bottom w:val="single" w:sz="4" w:space="0" w:color="auto"/>
              <w:right w:val="single" w:sz="12" w:space="0" w:color="auto"/>
            </w:tcBorders>
            <w:hideMark/>
          </w:tcPr>
          <w:p w14:paraId="4D4B3C18" w14:textId="77777777" w:rsidR="00325840" w:rsidRDefault="00325840" w:rsidP="005A1247">
            <w:pPr>
              <w:spacing w:before="60" w:after="60"/>
              <w:jc w:val="both"/>
            </w:pPr>
            <w:r>
              <w:t>Odpovědnost</w:t>
            </w:r>
          </w:p>
        </w:tc>
        <w:tc>
          <w:tcPr>
            <w:tcW w:w="3907" w:type="pct"/>
            <w:tcBorders>
              <w:top w:val="single" w:sz="4" w:space="0" w:color="auto"/>
              <w:left w:val="single" w:sz="12" w:space="0" w:color="auto"/>
              <w:bottom w:val="single" w:sz="4" w:space="0" w:color="auto"/>
              <w:right w:val="single" w:sz="12" w:space="0" w:color="auto"/>
            </w:tcBorders>
            <w:hideMark/>
          </w:tcPr>
          <w:p w14:paraId="5A4D3BDC" w14:textId="77777777" w:rsidR="00325840" w:rsidRDefault="00325840" w:rsidP="005A1247">
            <w:pPr>
              <w:spacing w:before="60" w:after="60"/>
              <w:jc w:val="both"/>
            </w:pPr>
            <w:r>
              <w:t>MF</w:t>
            </w:r>
          </w:p>
        </w:tc>
      </w:tr>
      <w:tr w:rsidR="00325840" w14:paraId="0051A12A" w14:textId="77777777" w:rsidTr="005A1247">
        <w:trPr>
          <w:trHeight w:val="52"/>
        </w:trPr>
        <w:tc>
          <w:tcPr>
            <w:tcW w:w="1093" w:type="pct"/>
            <w:tcBorders>
              <w:top w:val="single" w:sz="4" w:space="0" w:color="auto"/>
              <w:left w:val="single" w:sz="12" w:space="0" w:color="auto"/>
              <w:bottom w:val="single" w:sz="4" w:space="0" w:color="auto"/>
              <w:right w:val="single" w:sz="12" w:space="0" w:color="auto"/>
            </w:tcBorders>
            <w:hideMark/>
          </w:tcPr>
          <w:p w14:paraId="39745A17" w14:textId="77777777" w:rsidR="00325840" w:rsidRDefault="00325840" w:rsidP="005A1247">
            <w:pPr>
              <w:spacing w:before="60" w:after="60"/>
              <w:jc w:val="both"/>
            </w:pPr>
            <w:r>
              <w:t>Spolupráce</w:t>
            </w:r>
          </w:p>
        </w:tc>
        <w:tc>
          <w:tcPr>
            <w:tcW w:w="3907" w:type="pct"/>
            <w:tcBorders>
              <w:top w:val="single" w:sz="4" w:space="0" w:color="auto"/>
              <w:left w:val="single" w:sz="12" w:space="0" w:color="auto"/>
              <w:bottom w:val="single" w:sz="4" w:space="0" w:color="auto"/>
              <w:right w:val="single" w:sz="12" w:space="0" w:color="auto"/>
            </w:tcBorders>
            <w:hideMark/>
          </w:tcPr>
          <w:p w14:paraId="3FB0E518" w14:textId="77777777" w:rsidR="00325840" w:rsidRDefault="00325840" w:rsidP="005A1247">
            <w:pPr>
              <w:spacing w:before="60" w:after="60"/>
              <w:jc w:val="both"/>
            </w:pPr>
            <w:r>
              <w:t>MD</w:t>
            </w:r>
          </w:p>
        </w:tc>
      </w:tr>
      <w:tr w:rsidR="00325840" w14:paraId="38E02D4B" w14:textId="77777777" w:rsidTr="005A1247">
        <w:trPr>
          <w:trHeight w:val="52"/>
        </w:trPr>
        <w:tc>
          <w:tcPr>
            <w:tcW w:w="1093" w:type="pct"/>
            <w:tcBorders>
              <w:top w:val="single" w:sz="4" w:space="0" w:color="auto"/>
              <w:left w:val="single" w:sz="12" w:space="0" w:color="auto"/>
              <w:bottom w:val="single" w:sz="12" w:space="0" w:color="auto"/>
              <w:right w:val="single" w:sz="12" w:space="0" w:color="auto"/>
            </w:tcBorders>
            <w:hideMark/>
          </w:tcPr>
          <w:p w14:paraId="56A07AC2" w14:textId="77777777" w:rsidR="00325840" w:rsidRDefault="00325840" w:rsidP="005A1247">
            <w:pPr>
              <w:spacing w:before="60" w:after="60"/>
              <w:jc w:val="both"/>
            </w:pPr>
            <w:r>
              <w:t>Termín</w:t>
            </w:r>
          </w:p>
        </w:tc>
        <w:tc>
          <w:tcPr>
            <w:tcW w:w="3907" w:type="pct"/>
            <w:tcBorders>
              <w:top w:val="single" w:sz="4" w:space="0" w:color="auto"/>
              <w:left w:val="single" w:sz="12" w:space="0" w:color="auto"/>
              <w:bottom w:val="single" w:sz="12" w:space="0" w:color="auto"/>
              <w:right w:val="single" w:sz="12" w:space="0" w:color="auto"/>
            </w:tcBorders>
            <w:hideMark/>
          </w:tcPr>
          <w:p w14:paraId="65924EA6" w14:textId="77777777" w:rsidR="00325840" w:rsidRDefault="00325840" w:rsidP="005A1247">
            <w:pPr>
              <w:spacing w:before="60" w:after="60"/>
              <w:jc w:val="both"/>
            </w:pPr>
            <w:r>
              <w:t>12/2020</w:t>
            </w:r>
          </w:p>
        </w:tc>
      </w:tr>
    </w:tbl>
    <w:p w14:paraId="1C2355FA" w14:textId="77777777" w:rsidR="001530C0" w:rsidRDefault="001530C0" w:rsidP="009A3B7E">
      <w:pPr>
        <w:jc w:val="both"/>
      </w:pPr>
    </w:p>
    <w:p w14:paraId="3F467265" w14:textId="77777777" w:rsidR="00325840" w:rsidRDefault="00325840" w:rsidP="009A3B7E">
      <w:pPr>
        <w:jc w:val="both"/>
      </w:pPr>
    </w:p>
    <w:p w14:paraId="0C9F5334" w14:textId="77777777" w:rsidR="00325840" w:rsidRDefault="00325840" w:rsidP="009A3B7E">
      <w:pPr>
        <w:jc w:val="both"/>
      </w:pPr>
    </w:p>
    <w:p w14:paraId="5747A271" w14:textId="77777777" w:rsidR="00325840" w:rsidRDefault="00325840" w:rsidP="009A3B7E">
      <w:pPr>
        <w:jc w:val="both"/>
      </w:pPr>
    </w:p>
    <w:p w14:paraId="12A62586" w14:textId="3E3DFC49" w:rsidR="001530C0" w:rsidRDefault="001530C0" w:rsidP="009A3B7E">
      <w:pPr>
        <w:pStyle w:val="Nadpis2"/>
        <w:jc w:val="both"/>
      </w:pPr>
      <w:bookmarkStart w:id="100" w:name="_Toc21589161"/>
      <w:bookmarkStart w:id="101" w:name="_Toc34387156"/>
      <w:r w:rsidRPr="00770B59">
        <w:lastRenderedPageBreak/>
        <w:t>Přímé pobídky k</w:t>
      </w:r>
      <w:r w:rsidR="005A1247">
        <w:t> </w:t>
      </w:r>
      <w:r w:rsidRPr="00770B59">
        <w:t>budování infrastruktury pro alternativní paliva</w:t>
      </w:r>
      <w:bookmarkEnd w:id="100"/>
      <w:bookmarkEnd w:id="101"/>
    </w:p>
    <w:p w14:paraId="0AFA4705" w14:textId="4C18064F" w:rsidR="001530C0" w:rsidRDefault="001530C0" w:rsidP="009A3B7E">
      <w:pPr>
        <w:pStyle w:val="Nadpis3"/>
        <w:jc w:val="both"/>
      </w:pPr>
      <w:bookmarkStart w:id="102" w:name="_Toc21589163"/>
      <w:r>
        <w:t>S1</w:t>
      </w:r>
      <w:r w:rsidR="00325840">
        <w:t>4</w:t>
      </w:r>
      <w:r>
        <w:t xml:space="preserve"> </w:t>
      </w:r>
      <w:r w:rsidRPr="000352A9">
        <w:t>Podpora budování veřejné infrastruktury pro vozidla na alternativní paliva (LNG, elektro, vodík)</w:t>
      </w:r>
      <w:bookmarkEnd w:id="102"/>
    </w:p>
    <w:tbl>
      <w:tblPr>
        <w:tblW w:w="0" w:type="auto"/>
        <w:jc w:val="center"/>
        <w:tblCellMar>
          <w:left w:w="0" w:type="dxa"/>
          <w:right w:w="0" w:type="dxa"/>
        </w:tblCellMar>
        <w:tblLook w:val="00A0" w:firstRow="1" w:lastRow="0" w:firstColumn="1" w:lastColumn="0" w:noHBand="0" w:noVBand="0"/>
      </w:tblPr>
      <w:tblGrid>
        <w:gridCol w:w="1981"/>
        <w:gridCol w:w="7061"/>
      </w:tblGrid>
      <w:tr w:rsidR="001530C0" w:rsidRPr="00D5678F" w14:paraId="4E387B0D" w14:textId="77777777" w:rsidTr="00B502A0">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3E834D47" w14:textId="20A876A4" w:rsidR="001530C0" w:rsidRPr="00D5678F" w:rsidRDefault="001530C0" w:rsidP="005A1247">
            <w:pPr>
              <w:pStyle w:val="Zhlavtabulky"/>
              <w:spacing w:before="60" w:after="60"/>
              <w:jc w:val="both"/>
              <w:rPr>
                <w:rFonts w:cs="Arial"/>
                <w:szCs w:val="22"/>
              </w:rPr>
            </w:pPr>
            <w:r w:rsidRPr="00D5678F">
              <w:rPr>
                <w:szCs w:val="22"/>
              </w:rPr>
              <w:br w:type="page"/>
            </w:r>
            <w:r w:rsidRPr="000352A9">
              <w:rPr>
                <w:rFonts w:cs="Arial"/>
                <w:color w:val="FFFFFF" w:themeColor="background1"/>
                <w:szCs w:val="22"/>
                <w:shd w:val="clear" w:color="auto" w:fill="548DD4" w:themeFill="text2" w:themeFillTint="99"/>
              </w:rPr>
              <w:t>S1</w:t>
            </w:r>
            <w:r w:rsidR="00325840">
              <w:rPr>
                <w:rFonts w:cs="Arial"/>
                <w:color w:val="FFFFFF" w:themeColor="background1"/>
                <w:szCs w:val="22"/>
                <w:shd w:val="clear" w:color="auto" w:fill="548DD4" w:themeFill="text2" w:themeFillTint="99"/>
              </w:rPr>
              <w:t>4</w:t>
            </w:r>
            <w:r>
              <w:rPr>
                <w:rFonts w:cs="Arial"/>
                <w:color w:val="FFFFFF" w:themeColor="background1"/>
                <w:szCs w:val="22"/>
                <w:shd w:val="clear" w:color="auto" w:fill="548DD4" w:themeFill="text2" w:themeFillTint="99"/>
              </w:rPr>
              <w:t xml:space="preserve"> </w:t>
            </w:r>
            <w:r w:rsidRPr="000352A9">
              <w:rPr>
                <w:rFonts w:cs="Arial"/>
                <w:color w:val="FFFFFF" w:themeColor="background1"/>
                <w:szCs w:val="22"/>
                <w:shd w:val="clear" w:color="auto" w:fill="548DD4" w:themeFill="text2" w:themeFillTint="99"/>
              </w:rPr>
              <w:t>Podpora budování veřejné infrastruktury pro v</w:t>
            </w:r>
            <w:r w:rsidR="0051083C">
              <w:rPr>
                <w:rFonts w:cs="Arial"/>
                <w:color w:val="FFFFFF" w:themeColor="background1"/>
                <w:szCs w:val="22"/>
                <w:shd w:val="clear" w:color="auto" w:fill="548DD4" w:themeFill="text2" w:themeFillTint="99"/>
              </w:rPr>
              <w:t>ozidla na alternativní paliva (</w:t>
            </w:r>
            <w:r w:rsidRPr="000352A9">
              <w:rPr>
                <w:rFonts w:cs="Arial"/>
                <w:color w:val="FFFFFF" w:themeColor="background1"/>
                <w:szCs w:val="22"/>
                <w:shd w:val="clear" w:color="auto" w:fill="548DD4" w:themeFill="text2" w:themeFillTint="99"/>
              </w:rPr>
              <w:t>LNG, elektro a</w:t>
            </w:r>
            <w:r w:rsidR="005A1247">
              <w:rPr>
                <w:rFonts w:cs="Arial"/>
                <w:color w:val="FFFFFF" w:themeColor="background1"/>
                <w:szCs w:val="22"/>
                <w:shd w:val="clear" w:color="auto" w:fill="548DD4" w:themeFill="text2" w:themeFillTint="99"/>
              </w:rPr>
              <w:t> </w:t>
            </w:r>
            <w:r w:rsidRPr="000352A9">
              <w:rPr>
                <w:rFonts w:cs="Arial"/>
                <w:color w:val="FFFFFF" w:themeColor="background1"/>
                <w:szCs w:val="22"/>
                <w:shd w:val="clear" w:color="auto" w:fill="548DD4" w:themeFill="text2" w:themeFillTint="99"/>
              </w:rPr>
              <w:t>vodík)</w:t>
            </w:r>
          </w:p>
        </w:tc>
      </w:tr>
      <w:tr w:rsidR="001530C0" w:rsidRPr="00D5678F" w14:paraId="326E2C76" w14:textId="77777777" w:rsidTr="00B502A0">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67D58EE4" w14:textId="77777777" w:rsidR="001530C0" w:rsidRPr="000352A9" w:rsidRDefault="001530C0" w:rsidP="009A3B7E">
            <w:pPr>
              <w:spacing w:before="60" w:after="60"/>
              <w:jc w:val="both"/>
              <w:rPr>
                <w:rFonts w:cs="Arial"/>
                <w:szCs w:val="20"/>
              </w:rPr>
            </w:pPr>
            <w:r w:rsidRPr="000352A9">
              <w:rPr>
                <w:rFonts w:cs="Arial"/>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06D7B39F" w14:textId="77777777" w:rsidR="001530C0" w:rsidRPr="005C7EE4" w:rsidRDefault="001530C0" w:rsidP="009A3B7E">
            <w:pPr>
              <w:pStyle w:val="TableText"/>
              <w:spacing w:before="60" w:after="60"/>
              <w:jc w:val="both"/>
              <w:rPr>
                <w:sz w:val="22"/>
              </w:rPr>
            </w:pPr>
            <w:r w:rsidRPr="005C7EE4">
              <w:rPr>
                <w:sz w:val="22"/>
              </w:rPr>
              <w:t>Rozvoj infrastruktury dobíjecích stanic</w:t>
            </w:r>
            <w:r w:rsidR="00E957C2">
              <w:rPr>
                <w:sz w:val="22"/>
              </w:rPr>
              <w:t xml:space="preserve"> (kap. 2.4.2.)</w:t>
            </w:r>
          </w:p>
          <w:p w14:paraId="1C1298BB" w14:textId="0D3B9F20" w:rsidR="001530C0" w:rsidRPr="005C7EE4" w:rsidRDefault="001530C0" w:rsidP="009A3B7E">
            <w:pPr>
              <w:pStyle w:val="TableText"/>
              <w:spacing w:before="60" w:after="60"/>
              <w:jc w:val="both"/>
              <w:rPr>
                <w:sz w:val="22"/>
              </w:rPr>
            </w:pPr>
            <w:r w:rsidRPr="005C7EE4">
              <w:rPr>
                <w:sz w:val="22"/>
              </w:rPr>
              <w:t>Rozv</w:t>
            </w:r>
            <w:r>
              <w:rPr>
                <w:sz w:val="22"/>
              </w:rPr>
              <w:t>oj infrastruktury CNG a</w:t>
            </w:r>
            <w:r w:rsidR="005A1247">
              <w:rPr>
                <w:sz w:val="22"/>
              </w:rPr>
              <w:t> </w:t>
            </w:r>
            <w:r>
              <w:rPr>
                <w:sz w:val="22"/>
              </w:rPr>
              <w:t>LNG plni</w:t>
            </w:r>
            <w:r w:rsidRPr="005C7EE4">
              <w:rPr>
                <w:sz w:val="22"/>
              </w:rPr>
              <w:t>cích stanic</w:t>
            </w:r>
            <w:r w:rsidR="00E957C2">
              <w:rPr>
                <w:sz w:val="22"/>
              </w:rPr>
              <w:t xml:space="preserve"> (kap. 3.3.2.)</w:t>
            </w:r>
            <w:r w:rsidRPr="005C7EE4">
              <w:rPr>
                <w:sz w:val="22"/>
              </w:rPr>
              <w:t xml:space="preserve">  </w:t>
            </w:r>
          </w:p>
          <w:p w14:paraId="1079F9BB" w14:textId="77777777" w:rsidR="001530C0" w:rsidRPr="000352A9" w:rsidRDefault="001530C0" w:rsidP="009A3B7E">
            <w:pPr>
              <w:pStyle w:val="TableText"/>
              <w:jc w:val="both"/>
              <w:rPr>
                <w:rFonts w:cs="Arial"/>
              </w:rPr>
            </w:pPr>
            <w:r w:rsidRPr="005C7EE4">
              <w:rPr>
                <w:sz w:val="22"/>
              </w:rPr>
              <w:t>Rozvoj infrastruktury vodíkových pln</w:t>
            </w:r>
            <w:r>
              <w:rPr>
                <w:sz w:val="22"/>
              </w:rPr>
              <w:t>i</w:t>
            </w:r>
            <w:r w:rsidRPr="005C7EE4">
              <w:rPr>
                <w:sz w:val="22"/>
              </w:rPr>
              <w:t>c</w:t>
            </w:r>
            <w:r>
              <w:rPr>
                <w:sz w:val="22"/>
              </w:rPr>
              <w:t>í</w:t>
            </w:r>
            <w:r w:rsidRPr="005C7EE4">
              <w:rPr>
                <w:sz w:val="22"/>
              </w:rPr>
              <w:t>ch stanic</w:t>
            </w:r>
            <w:r w:rsidR="00E957C2">
              <w:rPr>
                <w:sz w:val="22"/>
              </w:rPr>
              <w:t xml:space="preserve"> (kap. 4.3.2.)</w:t>
            </w:r>
          </w:p>
        </w:tc>
      </w:tr>
      <w:tr w:rsidR="001530C0" w:rsidRPr="00D5678F" w14:paraId="3D610661"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7AC872E" w14:textId="77777777" w:rsidR="001530C0" w:rsidRPr="000352A9" w:rsidRDefault="001530C0" w:rsidP="009A3B7E">
            <w:pPr>
              <w:jc w:val="both"/>
              <w:rPr>
                <w:rFonts w:cs="Arial"/>
                <w:szCs w:val="20"/>
              </w:rPr>
            </w:pPr>
            <w:r w:rsidRPr="000352A9">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0CAC129" w14:textId="1136BF9B" w:rsidR="001530C0" w:rsidRPr="000352A9" w:rsidRDefault="001530C0" w:rsidP="005A1247">
            <w:pPr>
              <w:spacing w:before="60" w:after="60"/>
              <w:jc w:val="both"/>
              <w:rPr>
                <w:rFonts w:cs="Arial"/>
                <w:szCs w:val="20"/>
              </w:rPr>
            </w:pPr>
            <w:r w:rsidRPr="000352A9">
              <w:rPr>
                <w:szCs w:val="20"/>
              </w:rPr>
              <w:t xml:space="preserve">Cílem opatření je </w:t>
            </w:r>
            <w:r>
              <w:rPr>
                <w:szCs w:val="20"/>
              </w:rPr>
              <w:t>pokračovat v</w:t>
            </w:r>
            <w:r w:rsidR="005A1247">
              <w:rPr>
                <w:szCs w:val="20"/>
              </w:rPr>
              <w:t> </w:t>
            </w:r>
            <w:r>
              <w:rPr>
                <w:szCs w:val="20"/>
              </w:rPr>
              <w:t>systematické podpoře rozvoje veřejné infrastruktury pro alternativní paliva.</w:t>
            </w:r>
            <w:r w:rsidRPr="000352A9">
              <w:rPr>
                <w:szCs w:val="20"/>
              </w:rPr>
              <w:t xml:space="preserve"> </w:t>
            </w:r>
          </w:p>
        </w:tc>
      </w:tr>
      <w:tr w:rsidR="001530C0" w:rsidRPr="00D5678F" w14:paraId="6334D304"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E3E91D3" w14:textId="77777777" w:rsidR="001530C0" w:rsidRPr="000352A9" w:rsidRDefault="001530C0" w:rsidP="009A3B7E">
            <w:pPr>
              <w:jc w:val="both"/>
              <w:rPr>
                <w:rFonts w:cs="Arial"/>
                <w:szCs w:val="20"/>
              </w:rPr>
            </w:pPr>
            <w:r w:rsidRPr="000352A9">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16D3CA5" w14:textId="6DD6F98D" w:rsidR="001530C0" w:rsidRDefault="001530C0" w:rsidP="009A3B7E">
            <w:pPr>
              <w:pStyle w:val="TableText"/>
              <w:spacing w:before="60" w:after="60"/>
              <w:jc w:val="both"/>
              <w:rPr>
                <w:sz w:val="22"/>
              </w:rPr>
            </w:pPr>
            <w:r w:rsidRPr="000352A9">
              <w:rPr>
                <w:sz w:val="22"/>
              </w:rPr>
              <w:t xml:space="preserve">Z </w:t>
            </w:r>
            <w:r>
              <w:rPr>
                <w:sz w:val="22"/>
              </w:rPr>
              <w:t>předpokládaného nového</w:t>
            </w:r>
            <w:r w:rsidR="00D31D34">
              <w:rPr>
                <w:sz w:val="22"/>
              </w:rPr>
              <w:t xml:space="preserve"> </w:t>
            </w:r>
            <w:r w:rsidRPr="000352A9">
              <w:rPr>
                <w:sz w:val="22"/>
              </w:rPr>
              <w:t>dotačního programu MD bude hrazena část nákladů spojených s</w:t>
            </w:r>
            <w:r w:rsidR="005A1247">
              <w:rPr>
                <w:sz w:val="22"/>
              </w:rPr>
              <w:t> </w:t>
            </w:r>
            <w:r w:rsidRPr="000352A9">
              <w:rPr>
                <w:sz w:val="22"/>
              </w:rPr>
              <w:t>výstavbou dobíjecích/plnicích stanic. Procentuální výše této podpory by měla být diferencována v</w:t>
            </w:r>
            <w:r w:rsidR="005A1247">
              <w:rPr>
                <w:sz w:val="22"/>
              </w:rPr>
              <w:t> </w:t>
            </w:r>
            <w:r w:rsidRPr="000352A9">
              <w:rPr>
                <w:sz w:val="22"/>
              </w:rPr>
              <w:t>návaznosti na současný stav příslušné infrastruktury dobíjecích/plnicích stanic.</w:t>
            </w:r>
          </w:p>
          <w:p w14:paraId="66BC5C7B" w14:textId="4063F83A" w:rsidR="001530C0" w:rsidRPr="000352A9" w:rsidRDefault="001530C0" w:rsidP="005A1247">
            <w:pPr>
              <w:pStyle w:val="TableText"/>
              <w:spacing w:before="60" w:after="60"/>
              <w:jc w:val="both"/>
              <w:rPr>
                <w:sz w:val="22"/>
              </w:rPr>
            </w:pPr>
            <w:r w:rsidRPr="00B37FEE">
              <w:rPr>
                <w:sz w:val="22"/>
              </w:rPr>
              <w:t>Termín spuštění programu závisí na délce negociací s</w:t>
            </w:r>
            <w:r w:rsidR="005A1247">
              <w:rPr>
                <w:sz w:val="22"/>
              </w:rPr>
              <w:t> </w:t>
            </w:r>
            <w:r w:rsidRPr="00B37FEE">
              <w:rPr>
                <w:sz w:val="22"/>
              </w:rPr>
              <w:t xml:space="preserve">EK ohledně notifikace veřejné podpory.  </w:t>
            </w:r>
            <w:r w:rsidRPr="000352A9">
              <w:rPr>
                <w:sz w:val="22"/>
              </w:rPr>
              <w:t xml:space="preserve">  </w:t>
            </w:r>
          </w:p>
        </w:tc>
      </w:tr>
      <w:tr w:rsidR="001530C0" w:rsidRPr="00D5678F" w14:paraId="4402F4BE"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7C9035B6" w14:textId="77777777" w:rsidR="001530C0" w:rsidRPr="000352A9" w:rsidRDefault="001530C0" w:rsidP="009A3B7E">
            <w:pPr>
              <w:jc w:val="both"/>
              <w:rPr>
                <w:rFonts w:cs="Arial"/>
                <w:szCs w:val="20"/>
              </w:rPr>
            </w:pPr>
            <w:r w:rsidRPr="000352A9">
              <w:rPr>
                <w:rFonts w:cs="Arial"/>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43699196" w14:textId="083FDFE4" w:rsidR="001530C0" w:rsidRPr="000352A9" w:rsidRDefault="001530C0" w:rsidP="005A1247">
            <w:pPr>
              <w:pStyle w:val="Zpat"/>
              <w:spacing w:before="60" w:after="60"/>
              <w:rPr>
                <w:rFonts w:cs="Arial"/>
                <w:szCs w:val="20"/>
              </w:rPr>
            </w:pPr>
            <w:r w:rsidRPr="000352A9">
              <w:rPr>
                <w:rFonts w:cs="Arial"/>
                <w:szCs w:val="20"/>
              </w:rPr>
              <w:t>Financování z</w:t>
            </w:r>
            <w:r w:rsidR="005A1247">
              <w:rPr>
                <w:rFonts w:cs="Arial"/>
                <w:szCs w:val="20"/>
              </w:rPr>
              <w:t> </w:t>
            </w:r>
            <w:r w:rsidRPr="000352A9">
              <w:rPr>
                <w:rFonts w:cs="Arial"/>
                <w:szCs w:val="20"/>
              </w:rPr>
              <w:t xml:space="preserve">OPD </w:t>
            </w:r>
            <w:r>
              <w:rPr>
                <w:rFonts w:cs="Arial"/>
                <w:szCs w:val="20"/>
              </w:rPr>
              <w:t xml:space="preserve">III. </w:t>
            </w:r>
            <w:r w:rsidRPr="000352A9">
              <w:rPr>
                <w:rFonts w:cs="Arial"/>
                <w:szCs w:val="20"/>
              </w:rPr>
              <w:t xml:space="preserve">(předpokládaná alokace </w:t>
            </w:r>
            <w:r>
              <w:rPr>
                <w:rFonts w:cs="Arial"/>
                <w:szCs w:val="20"/>
              </w:rPr>
              <w:t>ve výši 4</w:t>
            </w:r>
            <w:r w:rsidRPr="000352A9">
              <w:rPr>
                <w:rFonts w:cs="Arial"/>
                <w:szCs w:val="20"/>
              </w:rPr>
              <w:t xml:space="preserve"> mld. Kč) </w:t>
            </w:r>
          </w:p>
        </w:tc>
      </w:tr>
      <w:tr w:rsidR="001530C0" w:rsidRPr="00D5678F" w14:paraId="6E410831"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40740147" w14:textId="77777777" w:rsidR="001530C0" w:rsidRPr="000352A9" w:rsidRDefault="001530C0" w:rsidP="009A3B7E">
            <w:pPr>
              <w:jc w:val="both"/>
              <w:rPr>
                <w:rFonts w:cs="Arial"/>
                <w:szCs w:val="20"/>
              </w:rPr>
            </w:pPr>
            <w:r w:rsidRPr="000352A9">
              <w:rPr>
                <w:rFonts w:cs="Arial"/>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vAlign w:val="center"/>
          </w:tcPr>
          <w:p w14:paraId="3D61DBFB" w14:textId="77777777" w:rsidR="001530C0" w:rsidRPr="000352A9" w:rsidRDefault="001530C0" w:rsidP="00B502A0">
            <w:pPr>
              <w:pStyle w:val="Zpat"/>
              <w:spacing w:before="60" w:after="60"/>
              <w:rPr>
                <w:rFonts w:cs="Arial"/>
                <w:szCs w:val="20"/>
              </w:rPr>
            </w:pPr>
            <w:r w:rsidRPr="000352A9">
              <w:rPr>
                <w:rFonts w:cs="Arial"/>
                <w:szCs w:val="20"/>
              </w:rPr>
              <w:t xml:space="preserve">MD </w:t>
            </w:r>
          </w:p>
        </w:tc>
      </w:tr>
      <w:tr w:rsidR="001530C0" w:rsidRPr="00D5678F" w14:paraId="68C0FF77"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4FE4421A" w14:textId="77777777" w:rsidR="001530C0" w:rsidRPr="000352A9" w:rsidRDefault="001530C0" w:rsidP="009A3B7E">
            <w:pPr>
              <w:jc w:val="both"/>
              <w:rPr>
                <w:rFonts w:cs="Arial"/>
                <w:szCs w:val="20"/>
              </w:rPr>
            </w:pPr>
            <w:r w:rsidRPr="000352A9">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vAlign w:val="center"/>
          </w:tcPr>
          <w:p w14:paraId="02C8B47E" w14:textId="77777777" w:rsidR="001530C0" w:rsidRPr="000352A9" w:rsidRDefault="001530C0" w:rsidP="00B502A0">
            <w:pPr>
              <w:spacing w:before="60" w:after="60"/>
              <w:rPr>
                <w:rFonts w:cs="Arial"/>
                <w:szCs w:val="20"/>
              </w:rPr>
            </w:pPr>
            <w:r w:rsidRPr="000352A9">
              <w:rPr>
                <w:rFonts w:cs="Arial"/>
                <w:szCs w:val="20"/>
              </w:rPr>
              <w:t>20</w:t>
            </w:r>
            <w:r>
              <w:rPr>
                <w:rFonts w:cs="Arial"/>
                <w:szCs w:val="20"/>
              </w:rPr>
              <w:t>22</w:t>
            </w:r>
            <w:r w:rsidRPr="000352A9">
              <w:rPr>
                <w:rFonts w:cs="Arial"/>
                <w:szCs w:val="20"/>
              </w:rPr>
              <w:t>-202</w:t>
            </w:r>
            <w:r>
              <w:rPr>
                <w:rFonts w:cs="Arial"/>
                <w:szCs w:val="20"/>
              </w:rPr>
              <w:t>6</w:t>
            </w:r>
          </w:p>
        </w:tc>
      </w:tr>
    </w:tbl>
    <w:p w14:paraId="4F157331" w14:textId="77777777" w:rsidR="001530C0" w:rsidRDefault="001530C0" w:rsidP="009A3B7E">
      <w:pPr>
        <w:jc w:val="both"/>
      </w:pPr>
    </w:p>
    <w:p w14:paraId="04F0EC0E" w14:textId="77777777" w:rsidR="001530C0" w:rsidRDefault="001530C0" w:rsidP="009A3B7E">
      <w:pPr>
        <w:spacing w:before="0" w:after="0"/>
        <w:jc w:val="both"/>
      </w:pPr>
      <w:r>
        <w:br w:type="page"/>
      </w:r>
    </w:p>
    <w:p w14:paraId="78BEAED5" w14:textId="5943914A" w:rsidR="001530C0" w:rsidRDefault="001530C0" w:rsidP="0012139C">
      <w:pPr>
        <w:pStyle w:val="Nadpis3"/>
        <w:jc w:val="both"/>
      </w:pPr>
      <w:bookmarkStart w:id="103" w:name="_Toc21589165"/>
      <w:r>
        <w:lastRenderedPageBreak/>
        <w:t>S</w:t>
      </w:r>
      <w:bookmarkEnd w:id="103"/>
      <w:r w:rsidR="0012139C">
        <w:t xml:space="preserve">15 </w:t>
      </w:r>
      <w:r w:rsidR="0012139C" w:rsidRPr="00E9057F">
        <w:t>Podpora rozvoje infrastruktury pro alternativní paliva ve vnitrozemské vodní dopravě</w:t>
      </w:r>
    </w:p>
    <w:p w14:paraId="46462600" w14:textId="102999FB" w:rsidR="001530C0" w:rsidRDefault="001530C0" w:rsidP="0012139C">
      <w:pPr>
        <w:pStyle w:val="Nadpis3"/>
        <w:numPr>
          <w:ilvl w:val="0"/>
          <w:numId w:val="0"/>
        </w:numPr>
        <w:ind w:left="284"/>
        <w:jc w:val="both"/>
      </w:pPr>
    </w:p>
    <w:tbl>
      <w:tblPr>
        <w:tblW w:w="0" w:type="auto"/>
        <w:jc w:val="center"/>
        <w:tblCellMar>
          <w:left w:w="0" w:type="dxa"/>
          <w:right w:w="0" w:type="dxa"/>
        </w:tblCellMar>
        <w:tblLook w:val="00A0" w:firstRow="1" w:lastRow="0" w:firstColumn="1" w:lastColumn="0" w:noHBand="0" w:noVBand="0"/>
      </w:tblPr>
      <w:tblGrid>
        <w:gridCol w:w="1981"/>
        <w:gridCol w:w="7061"/>
      </w:tblGrid>
      <w:tr w:rsidR="001530C0" w:rsidRPr="00D5678F" w14:paraId="2B1B1327" w14:textId="77777777" w:rsidTr="00B502A0">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0C2CBB53" w14:textId="77777777" w:rsidR="001530C0" w:rsidRPr="00D5678F" w:rsidRDefault="001530C0" w:rsidP="00776D10">
            <w:pPr>
              <w:pStyle w:val="Zhlavtabulky"/>
              <w:spacing w:before="60" w:after="60"/>
              <w:jc w:val="both"/>
              <w:rPr>
                <w:rFonts w:cs="Arial"/>
                <w:szCs w:val="22"/>
              </w:rPr>
            </w:pPr>
            <w:r w:rsidRPr="002219A9">
              <w:rPr>
                <w:color w:val="FFFFFF" w:themeColor="background1"/>
                <w:szCs w:val="22"/>
              </w:rPr>
              <w:t>S</w:t>
            </w:r>
            <w:r>
              <w:rPr>
                <w:color w:val="FFFFFF" w:themeColor="background1"/>
                <w:szCs w:val="22"/>
              </w:rPr>
              <w:t>1</w:t>
            </w:r>
            <w:r w:rsidR="008135B3">
              <w:rPr>
                <w:color w:val="FFFFFF" w:themeColor="background1"/>
                <w:szCs w:val="22"/>
              </w:rPr>
              <w:t>5</w:t>
            </w:r>
            <w:r>
              <w:rPr>
                <w:color w:val="FFFFFF" w:themeColor="background1"/>
                <w:szCs w:val="22"/>
              </w:rPr>
              <w:t xml:space="preserve"> </w:t>
            </w:r>
            <w:r w:rsidRPr="002219A9">
              <w:rPr>
                <w:color w:val="FFFFFF" w:themeColor="background1"/>
                <w:szCs w:val="22"/>
              </w:rPr>
              <w:t>Podpora rozvoje infrastruktury pro alternativní paliva ve vnitrozemské vodní dopravě</w:t>
            </w:r>
            <w:r w:rsidRPr="002219A9" w:rsidDel="008D5AC9">
              <w:rPr>
                <w:color w:val="FFFFFF" w:themeColor="background1"/>
                <w:szCs w:val="22"/>
              </w:rPr>
              <w:t xml:space="preserve"> </w:t>
            </w:r>
          </w:p>
        </w:tc>
      </w:tr>
      <w:tr w:rsidR="00307E04" w:rsidRPr="00D5678F" w14:paraId="520B922A" w14:textId="77777777" w:rsidTr="00B502A0">
        <w:trPr>
          <w:cantSplit/>
          <w:jc w:val="center"/>
        </w:trPr>
        <w:tc>
          <w:tcPr>
            <w:tcW w:w="1984" w:type="dxa"/>
            <w:tcBorders>
              <w:top w:val="single" w:sz="12" w:space="0" w:color="auto"/>
              <w:left w:val="single" w:sz="12" w:space="0" w:color="auto"/>
              <w:bottom w:val="single" w:sz="4" w:space="0" w:color="auto"/>
              <w:right w:val="single" w:sz="12" w:space="0" w:color="auto"/>
            </w:tcBorders>
            <w:tcMar>
              <w:top w:w="0" w:type="dxa"/>
              <w:left w:w="70" w:type="dxa"/>
              <w:bottom w:w="0" w:type="dxa"/>
              <w:right w:w="70" w:type="dxa"/>
            </w:tcMar>
          </w:tcPr>
          <w:p w14:paraId="48BA9B41" w14:textId="77777777" w:rsidR="001530C0" w:rsidRPr="002219A9" w:rsidRDefault="001530C0" w:rsidP="009A3B7E">
            <w:pPr>
              <w:spacing w:before="60" w:after="60"/>
              <w:jc w:val="both"/>
              <w:rPr>
                <w:rFonts w:cs="Arial"/>
                <w:szCs w:val="20"/>
              </w:rPr>
            </w:pPr>
            <w:r w:rsidRPr="002219A9">
              <w:rPr>
                <w:rFonts w:cs="Arial"/>
                <w:szCs w:val="20"/>
              </w:rPr>
              <w:t>Návaznost na strategický cíl</w:t>
            </w:r>
          </w:p>
        </w:tc>
        <w:tc>
          <w:tcPr>
            <w:tcW w:w="7087" w:type="dxa"/>
            <w:tcBorders>
              <w:top w:val="single" w:sz="12" w:space="0" w:color="auto"/>
              <w:left w:val="nil"/>
              <w:bottom w:val="single" w:sz="4" w:space="0" w:color="auto"/>
              <w:right w:val="single" w:sz="12" w:space="0" w:color="auto"/>
            </w:tcBorders>
            <w:tcMar>
              <w:top w:w="0" w:type="dxa"/>
              <w:left w:w="70" w:type="dxa"/>
              <w:bottom w:w="0" w:type="dxa"/>
              <w:right w:w="70" w:type="dxa"/>
            </w:tcMar>
          </w:tcPr>
          <w:p w14:paraId="39E2EF85" w14:textId="77777777" w:rsidR="001530C0" w:rsidRPr="002219A9" w:rsidRDefault="001530C0" w:rsidP="009A3B7E">
            <w:pPr>
              <w:spacing w:before="60" w:after="60"/>
              <w:jc w:val="both"/>
              <w:rPr>
                <w:rFonts w:cs="Arial"/>
                <w:szCs w:val="20"/>
              </w:rPr>
            </w:pPr>
            <w:r>
              <w:rPr>
                <w:rFonts w:cs="Arial"/>
                <w:szCs w:val="20"/>
              </w:rPr>
              <w:t>Rozvoj čisté mobility ve vnitrozemské vodní dopravě</w:t>
            </w:r>
            <w:r w:rsidR="00E957C2">
              <w:rPr>
                <w:rFonts w:cs="Arial"/>
                <w:szCs w:val="20"/>
              </w:rPr>
              <w:t xml:space="preserve"> (kap. 6.1)</w:t>
            </w:r>
          </w:p>
        </w:tc>
      </w:tr>
      <w:tr w:rsidR="00307E04" w:rsidRPr="00D5678F" w14:paraId="37D0EB0D"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0F32EB9" w14:textId="77777777" w:rsidR="001530C0" w:rsidRPr="002219A9" w:rsidRDefault="001530C0" w:rsidP="009A3B7E">
            <w:pPr>
              <w:spacing w:before="60" w:after="60"/>
              <w:jc w:val="both"/>
              <w:rPr>
                <w:rFonts w:cs="Arial"/>
                <w:szCs w:val="20"/>
              </w:rPr>
            </w:pPr>
            <w:r w:rsidRPr="002219A9">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C544467" w14:textId="43628BB6" w:rsidR="001530C0" w:rsidRPr="002219A9" w:rsidRDefault="001530C0" w:rsidP="005A1247">
            <w:pPr>
              <w:spacing w:before="60" w:after="60"/>
              <w:jc w:val="both"/>
              <w:rPr>
                <w:rFonts w:cs="Arial"/>
                <w:szCs w:val="20"/>
              </w:rPr>
            </w:pPr>
            <w:r w:rsidRPr="002219A9">
              <w:rPr>
                <w:szCs w:val="20"/>
              </w:rPr>
              <w:t>Cílem opatření je umožnit rozvoj bezemisních a</w:t>
            </w:r>
            <w:r w:rsidR="005A1247">
              <w:rPr>
                <w:szCs w:val="20"/>
              </w:rPr>
              <w:t> </w:t>
            </w:r>
            <w:r w:rsidRPr="002219A9">
              <w:rPr>
                <w:szCs w:val="20"/>
              </w:rPr>
              <w:t>nízkoemisních říčních plavidel ČR prostřednictvím podpory realizace základní infrastruktury dobíjecích stanic pro plavidla, případně i</w:t>
            </w:r>
            <w:r w:rsidR="005A1247">
              <w:rPr>
                <w:szCs w:val="20"/>
              </w:rPr>
              <w:t> </w:t>
            </w:r>
            <w:r w:rsidRPr="002219A9">
              <w:rPr>
                <w:szCs w:val="20"/>
              </w:rPr>
              <w:t xml:space="preserve">pro další alternativní paliva (vodík, LNG)  </w:t>
            </w:r>
          </w:p>
        </w:tc>
      </w:tr>
      <w:tr w:rsidR="00307E04" w:rsidRPr="00D5678F" w14:paraId="67139C9D"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4D61E13" w14:textId="77777777" w:rsidR="001530C0" w:rsidRPr="002219A9" w:rsidRDefault="001530C0" w:rsidP="009A3B7E">
            <w:pPr>
              <w:spacing w:before="60" w:after="60"/>
              <w:jc w:val="both"/>
              <w:rPr>
                <w:rFonts w:cs="Arial"/>
                <w:szCs w:val="20"/>
              </w:rPr>
            </w:pPr>
            <w:r w:rsidRPr="002219A9">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054C9C44" w14:textId="49EFDF1A" w:rsidR="001530C0" w:rsidRPr="002219A9" w:rsidRDefault="00D0182F" w:rsidP="005A1247">
            <w:pPr>
              <w:pStyle w:val="TableText"/>
              <w:spacing w:before="60" w:after="60"/>
              <w:jc w:val="both"/>
              <w:rPr>
                <w:sz w:val="22"/>
              </w:rPr>
            </w:pPr>
            <w:r>
              <w:rPr>
                <w:sz w:val="22"/>
              </w:rPr>
              <w:t>Předpokládá se, že žadatele budou moci využít podporu z</w:t>
            </w:r>
            <w:r w:rsidR="005A1247">
              <w:rPr>
                <w:sz w:val="22"/>
              </w:rPr>
              <w:t> </w:t>
            </w:r>
            <w:r>
              <w:rPr>
                <w:sz w:val="22"/>
              </w:rPr>
              <w:t xml:space="preserve">fondu CEF.   </w:t>
            </w:r>
          </w:p>
        </w:tc>
      </w:tr>
      <w:tr w:rsidR="00307E04" w:rsidRPr="00D5678F" w14:paraId="4398FE3C"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766C30E9" w14:textId="7060F4A2" w:rsidR="001530C0" w:rsidRPr="002219A9" w:rsidRDefault="001530C0" w:rsidP="005A1247">
            <w:pPr>
              <w:spacing w:before="60" w:after="60"/>
              <w:jc w:val="both"/>
              <w:rPr>
                <w:rFonts w:cs="Arial"/>
                <w:szCs w:val="20"/>
              </w:rPr>
            </w:pPr>
            <w:r w:rsidRPr="002219A9">
              <w:rPr>
                <w:rFonts w:cs="Arial"/>
                <w:szCs w:val="20"/>
              </w:rPr>
              <w:t>Využití opatření jinde v</w:t>
            </w:r>
            <w:r w:rsidR="005A1247">
              <w:rPr>
                <w:rFonts w:cs="Arial"/>
                <w:szCs w:val="20"/>
              </w:rPr>
              <w:t> </w:t>
            </w:r>
            <w:r w:rsidRPr="002219A9">
              <w:rPr>
                <w:rFonts w:cs="Arial"/>
                <w:szCs w:val="20"/>
              </w:rPr>
              <w:t>Evropě / ve světě</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F9D60D8" w14:textId="77777777" w:rsidR="001530C0" w:rsidRPr="002219A9" w:rsidRDefault="001530C0" w:rsidP="009A3B7E">
            <w:pPr>
              <w:pStyle w:val="Zpat"/>
              <w:spacing w:before="60" w:after="60"/>
              <w:jc w:val="both"/>
              <w:rPr>
                <w:rFonts w:cs="Arial"/>
                <w:szCs w:val="20"/>
              </w:rPr>
            </w:pPr>
            <w:r w:rsidRPr="002219A9">
              <w:rPr>
                <w:rFonts w:cs="Arial"/>
                <w:szCs w:val="20"/>
              </w:rPr>
              <w:t xml:space="preserve">Není známo </w:t>
            </w:r>
          </w:p>
        </w:tc>
      </w:tr>
      <w:tr w:rsidR="00307E04" w:rsidRPr="00D5678F" w14:paraId="04886696" w14:textId="77777777" w:rsidTr="00B502A0">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F5E0D60" w14:textId="77777777" w:rsidR="001530C0" w:rsidRPr="002219A9" w:rsidRDefault="001530C0" w:rsidP="009A3B7E">
            <w:pPr>
              <w:spacing w:before="60" w:after="60"/>
              <w:jc w:val="both"/>
              <w:rPr>
                <w:rFonts w:cs="Arial"/>
                <w:szCs w:val="20"/>
              </w:rPr>
            </w:pPr>
            <w:r w:rsidRPr="002219A9">
              <w:rPr>
                <w:rFonts w:cs="Arial"/>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B8A4082" w14:textId="5853D8B4" w:rsidR="001530C0" w:rsidRDefault="001530C0" w:rsidP="007E7A32">
            <w:pPr>
              <w:pStyle w:val="Table-bulet"/>
              <w:numPr>
                <w:ilvl w:val="0"/>
                <w:numId w:val="0"/>
              </w:numPr>
              <w:spacing w:before="60"/>
              <w:jc w:val="both"/>
              <w:rPr>
                <w:sz w:val="22"/>
                <w:szCs w:val="20"/>
              </w:rPr>
            </w:pPr>
            <w:r w:rsidRPr="002219A9">
              <w:rPr>
                <w:sz w:val="22"/>
                <w:szCs w:val="22"/>
              </w:rPr>
              <w:t xml:space="preserve">Na základě dílčích podkladů od Hlavního města Prahy lze odhadnout, že na rozvoj </w:t>
            </w:r>
            <w:r w:rsidRPr="002219A9">
              <w:rPr>
                <w:sz w:val="22"/>
                <w:szCs w:val="20"/>
              </w:rPr>
              <w:t>základní infrastruktury dobíjecích stanic pro plavidla by bylo zapotřebí 16 702 500 Kč. Dopad může být širší, pokud by se do dotačního programu zapojili i</w:t>
            </w:r>
            <w:r w:rsidR="005A1247">
              <w:rPr>
                <w:sz w:val="22"/>
                <w:szCs w:val="20"/>
              </w:rPr>
              <w:t> </w:t>
            </w:r>
            <w:r w:rsidRPr="002219A9">
              <w:rPr>
                <w:sz w:val="22"/>
                <w:szCs w:val="20"/>
              </w:rPr>
              <w:t>jiná města než Praha.</w:t>
            </w:r>
          </w:p>
          <w:p w14:paraId="363403F4" w14:textId="01D9B2D1" w:rsidR="004F1798" w:rsidRPr="002219A9" w:rsidRDefault="004F1798" w:rsidP="007E7A32">
            <w:pPr>
              <w:pStyle w:val="Table-bulet"/>
              <w:numPr>
                <w:ilvl w:val="0"/>
                <w:numId w:val="0"/>
              </w:numPr>
              <w:spacing w:before="60"/>
              <w:jc w:val="both"/>
              <w:rPr>
                <w:sz w:val="22"/>
                <w:szCs w:val="22"/>
              </w:rPr>
            </w:pPr>
            <w:r>
              <w:rPr>
                <w:sz w:val="22"/>
                <w:szCs w:val="20"/>
              </w:rPr>
              <w:t>CEF</w:t>
            </w:r>
          </w:p>
        </w:tc>
      </w:tr>
      <w:tr w:rsidR="00307E04" w:rsidRPr="00D5678F" w14:paraId="6E5C625B" w14:textId="77777777" w:rsidTr="00B502A0">
        <w:trPr>
          <w:cantSplit/>
          <w:jc w:val="center"/>
        </w:trPr>
        <w:tc>
          <w:tcPr>
            <w:tcW w:w="1984" w:type="dxa"/>
            <w:tcBorders>
              <w:top w:val="single" w:sz="4" w:space="0" w:color="auto"/>
              <w:left w:val="single" w:sz="12" w:space="0" w:color="auto"/>
              <w:bottom w:val="single" w:sz="8" w:space="0" w:color="auto"/>
              <w:right w:val="single" w:sz="12" w:space="0" w:color="auto"/>
            </w:tcBorders>
            <w:tcMar>
              <w:top w:w="0" w:type="dxa"/>
              <w:left w:w="70" w:type="dxa"/>
              <w:bottom w:w="0" w:type="dxa"/>
              <w:right w:w="70" w:type="dxa"/>
            </w:tcMar>
          </w:tcPr>
          <w:p w14:paraId="7FD42BC8" w14:textId="77777777" w:rsidR="001530C0" w:rsidRPr="002219A9" w:rsidRDefault="001530C0" w:rsidP="009A3B7E">
            <w:pPr>
              <w:spacing w:before="60" w:after="60"/>
              <w:jc w:val="both"/>
              <w:rPr>
                <w:rFonts w:cs="Arial"/>
                <w:szCs w:val="20"/>
              </w:rPr>
            </w:pPr>
            <w:r w:rsidRPr="002219A9">
              <w:rPr>
                <w:rFonts w:cs="Arial"/>
                <w:szCs w:val="20"/>
              </w:rPr>
              <w:t>Odpovědnost</w:t>
            </w:r>
          </w:p>
        </w:tc>
        <w:tc>
          <w:tcPr>
            <w:tcW w:w="7087" w:type="dxa"/>
            <w:tcBorders>
              <w:top w:val="single" w:sz="4" w:space="0" w:color="auto"/>
              <w:left w:val="nil"/>
              <w:bottom w:val="single" w:sz="8" w:space="0" w:color="auto"/>
              <w:right w:val="single" w:sz="12" w:space="0" w:color="auto"/>
            </w:tcBorders>
            <w:tcMar>
              <w:top w:w="0" w:type="dxa"/>
              <w:left w:w="70" w:type="dxa"/>
              <w:bottom w:w="0" w:type="dxa"/>
              <w:right w:w="70" w:type="dxa"/>
            </w:tcMar>
          </w:tcPr>
          <w:p w14:paraId="09A086B4" w14:textId="77777777" w:rsidR="001530C0" w:rsidRPr="002219A9" w:rsidRDefault="001530C0" w:rsidP="009A3B7E">
            <w:pPr>
              <w:pStyle w:val="Zpat"/>
              <w:spacing w:before="60" w:after="60"/>
              <w:jc w:val="both"/>
              <w:rPr>
                <w:rFonts w:cs="Arial"/>
                <w:szCs w:val="20"/>
              </w:rPr>
            </w:pPr>
            <w:r w:rsidRPr="002219A9">
              <w:rPr>
                <w:rFonts w:cs="Arial"/>
                <w:szCs w:val="20"/>
              </w:rPr>
              <w:t xml:space="preserve">MD </w:t>
            </w:r>
          </w:p>
        </w:tc>
      </w:tr>
      <w:tr w:rsidR="00307E04" w:rsidRPr="00D5678F" w14:paraId="3BC785F4" w14:textId="77777777" w:rsidTr="00B502A0">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69363B63" w14:textId="77777777" w:rsidR="001530C0" w:rsidRPr="002219A9" w:rsidRDefault="001530C0" w:rsidP="009A3B7E">
            <w:pPr>
              <w:spacing w:before="60" w:after="60"/>
              <w:jc w:val="both"/>
              <w:rPr>
                <w:rFonts w:cs="Arial"/>
                <w:szCs w:val="20"/>
              </w:rPr>
            </w:pPr>
            <w:r w:rsidRPr="002219A9">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60912865" w14:textId="77777777" w:rsidR="001530C0" w:rsidRPr="002219A9" w:rsidRDefault="001530C0" w:rsidP="009A3B7E">
            <w:pPr>
              <w:spacing w:before="60" w:after="60"/>
              <w:jc w:val="both"/>
              <w:rPr>
                <w:rFonts w:cs="Arial"/>
                <w:szCs w:val="20"/>
              </w:rPr>
            </w:pPr>
            <w:r w:rsidRPr="002219A9">
              <w:rPr>
                <w:rFonts w:cs="Arial"/>
                <w:szCs w:val="20"/>
              </w:rPr>
              <w:t>12/2022</w:t>
            </w:r>
            <w:r w:rsidR="00D0182F">
              <w:rPr>
                <w:rFonts w:cs="Arial"/>
                <w:szCs w:val="20"/>
              </w:rPr>
              <w:t xml:space="preserve"> - 2025</w:t>
            </w:r>
          </w:p>
        </w:tc>
      </w:tr>
    </w:tbl>
    <w:p w14:paraId="706AC49E" w14:textId="77777777" w:rsidR="001530C0" w:rsidRDefault="001530C0" w:rsidP="009A3B7E">
      <w:pPr>
        <w:jc w:val="both"/>
      </w:pPr>
    </w:p>
    <w:p w14:paraId="4B05DF94" w14:textId="77777777" w:rsidR="001530C0" w:rsidRDefault="001530C0" w:rsidP="009A3B7E">
      <w:pPr>
        <w:spacing w:before="0" w:after="0"/>
        <w:jc w:val="both"/>
      </w:pPr>
      <w:r>
        <w:br w:type="page"/>
      </w:r>
    </w:p>
    <w:p w14:paraId="3B5F061C" w14:textId="77777777" w:rsidR="00336FAF" w:rsidRDefault="00336FAF" w:rsidP="00336FAF">
      <w:pPr>
        <w:pStyle w:val="Nadpis3"/>
        <w:jc w:val="both"/>
      </w:pPr>
      <w:bookmarkStart w:id="104" w:name="_Toc21589168"/>
      <w:r w:rsidRPr="00B502A0">
        <w:lastRenderedPageBreak/>
        <w:t>S</w:t>
      </w:r>
      <w:r w:rsidR="008135B3">
        <w:t>16</w:t>
      </w:r>
      <w:r w:rsidRPr="009E6295">
        <w:t xml:space="preserve"> Podpora</w:t>
      </w:r>
      <w:r w:rsidRPr="000352A9">
        <w:t xml:space="preserve"> budování neveřejné </w:t>
      </w:r>
      <w:r>
        <w:t xml:space="preserve">dobíjecí/plnicí </w:t>
      </w:r>
      <w:r w:rsidRPr="000352A9">
        <w:t xml:space="preserve">infrastruktury pro </w:t>
      </w:r>
      <w:r>
        <w:t>veřejnou dopravu</w:t>
      </w:r>
    </w:p>
    <w:tbl>
      <w:tblPr>
        <w:tblW w:w="0" w:type="auto"/>
        <w:jc w:val="center"/>
        <w:tblCellMar>
          <w:left w:w="0" w:type="dxa"/>
          <w:right w:w="0" w:type="dxa"/>
        </w:tblCellMar>
        <w:tblLook w:val="00A0" w:firstRow="1" w:lastRow="0" w:firstColumn="1" w:lastColumn="0" w:noHBand="0" w:noVBand="0"/>
      </w:tblPr>
      <w:tblGrid>
        <w:gridCol w:w="1981"/>
        <w:gridCol w:w="7061"/>
      </w:tblGrid>
      <w:tr w:rsidR="00336FAF" w:rsidRPr="00D5678F" w14:paraId="366C7E22" w14:textId="77777777" w:rsidTr="0054245B">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477A35BD" w14:textId="77777777" w:rsidR="00336FAF" w:rsidRPr="00D5678F" w:rsidRDefault="00336FAF" w:rsidP="0054245B">
            <w:pPr>
              <w:pStyle w:val="Zhlavtabulky"/>
              <w:spacing w:before="60" w:after="60"/>
              <w:jc w:val="both"/>
              <w:rPr>
                <w:rFonts w:cs="Arial"/>
                <w:szCs w:val="22"/>
              </w:rPr>
            </w:pPr>
            <w:r w:rsidRPr="00B502A0">
              <w:rPr>
                <w:rFonts w:cs="Arial"/>
                <w:color w:val="FFFFFF" w:themeColor="background1"/>
                <w:szCs w:val="22"/>
              </w:rPr>
              <w:t>S</w:t>
            </w:r>
            <w:r w:rsidR="008135B3">
              <w:rPr>
                <w:rFonts w:cs="Arial"/>
                <w:color w:val="FFFFFF" w:themeColor="background1"/>
                <w:szCs w:val="22"/>
              </w:rPr>
              <w:t>16</w:t>
            </w:r>
            <w:r w:rsidRPr="009E6295">
              <w:rPr>
                <w:rFonts w:cs="Arial"/>
                <w:color w:val="FFFFFF" w:themeColor="background1"/>
                <w:szCs w:val="22"/>
              </w:rPr>
              <w:t xml:space="preserve"> Podpora</w:t>
            </w:r>
            <w:r w:rsidRPr="000352A9">
              <w:rPr>
                <w:rFonts w:cs="Arial"/>
                <w:color w:val="FFFFFF" w:themeColor="background1"/>
                <w:szCs w:val="22"/>
              </w:rPr>
              <w:t xml:space="preserve"> budování neveřejné</w:t>
            </w:r>
            <w:r>
              <w:rPr>
                <w:rFonts w:cs="Arial"/>
                <w:color w:val="FFFFFF" w:themeColor="background1"/>
                <w:szCs w:val="22"/>
              </w:rPr>
              <w:t xml:space="preserve"> dobíjecí/plnicí</w:t>
            </w:r>
            <w:r w:rsidRPr="000352A9">
              <w:rPr>
                <w:rFonts w:cs="Arial"/>
                <w:color w:val="FFFFFF" w:themeColor="background1"/>
                <w:szCs w:val="22"/>
              </w:rPr>
              <w:t xml:space="preserve"> infrastruktury pro </w:t>
            </w:r>
            <w:r>
              <w:rPr>
                <w:rFonts w:cs="Arial"/>
                <w:color w:val="FFFFFF" w:themeColor="background1"/>
                <w:szCs w:val="22"/>
              </w:rPr>
              <w:t>veřejnou dopravu</w:t>
            </w:r>
          </w:p>
        </w:tc>
      </w:tr>
      <w:tr w:rsidR="00336FAF" w:rsidRPr="00D5678F" w14:paraId="041EA380" w14:textId="77777777" w:rsidTr="0054245B">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7B2FBC75" w14:textId="77777777" w:rsidR="00336FAF" w:rsidRPr="000352A9" w:rsidRDefault="00336FAF" w:rsidP="0054245B">
            <w:pPr>
              <w:spacing w:before="60" w:after="60"/>
              <w:jc w:val="both"/>
              <w:rPr>
                <w:rFonts w:cs="Arial"/>
                <w:szCs w:val="20"/>
              </w:rPr>
            </w:pPr>
            <w:r w:rsidRPr="000352A9">
              <w:rPr>
                <w:rFonts w:cs="Arial"/>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715DDA19" w14:textId="77777777" w:rsidR="00336FAF" w:rsidRDefault="00336FAF" w:rsidP="0054245B">
            <w:pPr>
              <w:pStyle w:val="TableText"/>
              <w:jc w:val="both"/>
              <w:rPr>
                <w:sz w:val="22"/>
              </w:rPr>
            </w:pPr>
            <w:r>
              <w:rPr>
                <w:sz w:val="22"/>
              </w:rPr>
              <w:t>Rozvoj infrastruktury dobíjecích stanic</w:t>
            </w:r>
            <w:r w:rsidR="00E957C2">
              <w:rPr>
                <w:sz w:val="22"/>
              </w:rPr>
              <w:t xml:space="preserve"> (kap. 2.4.2.)</w:t>
            </w:r>
          </w:p>
          <w:p w14:paraId="3884EC31" w14:textId="4A120945" w:rsidR="00336FAF" w:rsidRDefault="00336FAF" w:rsidP="0054245B">
            <w:pPr>
              <w:pStyle w:val="TableText"/>
              <w:jc w:val="both"/>
              <w:rPr>
                <w:sz w:val="22"/>
              </w:rPr>
            </w:pPr>
            <w:r>
              <w:rPr>
                <w:sz w:val="22"/>
              </w:rPr>
              <w:t>Rozvoj infrastruktury CNG a</w:t>
            </w:r>
            <w:r w:rsidR="005A1247">
              <w:rPr>
                <w:sz w:val="22"/>
              </w:rPr>
              <w:t> </w:t>
            </w:r>
            <w:r>
              <w:rPr>
                <w:sz w:val="22"/>
              </w:rPr>
              <w:t>LNG plnicích stanic</w:t>
            </w:r>
            <w:r w:rsidR="00E957C2">
              <w:rPr>
                <w:sz w:val="22"/>
              </w:rPr>
              <w:t xml:space="preserve"> (kap. 3.3.2.)</w:t>
            </w:r>
          </w:p>
          <w:p w14:paraId="5E65D80F" w14:textId="77777777" w:rsidR="00336FAF" w:rsidRPr="000352A9" w:rsidRDefault="00336FAF" w:rsidP="0054245B">
            <w:pPr>
              <w:pStyle w:val="TableText"/>
              <w:jc w:val="both"/>
              <w:rPr>
                <w:rFonts w:cs="Arial"/>
              </w:rPr>
            </w:pPr>
            <w:r>
              <w:rPr>
                <w:sz w:val="22"/>
              </w:rPr>
              <w:t>Rozvoj infrastruktury vodíkových plnících stanic</w:t>
            </w:r>
            <w:r w:rsidR="00E957C2">
              <w:rPr>
                <w:sz w:val="22"/>
              </w:rPr>
              <w:t xml:space="preserve"> (kap. 4.3.2.)</w:t>
            </w:r>
          </w:p>
        </w:tc>
      </w:tr>
      <w:tr w:rsidR="00336FAF" w:rsidRPr="00D5678F" w14:paraId="25B60352"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6731621" w14:textId="77777777" w:rsidR="00336FAF" w:rsidRPr="000352A9" w:rsidRDefault="00336FAF" w:rsidP="0054245B">
            <w:pPr>
              <w:spacing w:before="60" w:after="60"/>
              <w:jc w:val="both"/>
              <w:rPr>
                <w:rFonts w:cs="Arial"/>
                <w:szCs w:val="20"/>
              </w:rPr>
            </w:pPr>
            <w:r w:rsidRPr="000352A9">
              <w:rPr>
                <w:rFonts w:cs="Arial"/>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824C569" w14:textId="167A6775" w:rsidR="00336FAF" w:rsidRPr="000352A9" w:rsidRDefault="00336FAF" w:rsidP="005A1247">
            <w:pPr>
              <w:spacing w:before="60" w:after="60"/>
              <w:jc w:val="both"/>
              <w:rPr>
                <w:rFonts w:cs="Arial"/>
                <w:szCs w:val="20"/>
              </w:rPr>
            </w:pPr>
            <w:r w:rsidRPr="00CC4F65">
              <w:rPr>
                <w:szCs w:val="20"/>
              </w:rPr>
              <w:t xml:space="preserve">Cílem opatření je podpořit rozšíření elektrobusů/autobusů na </w:t>
            </w:r>
            <w:r>
              <w:rPr>
                <w:szCs w:val="20"/>
              </w:rPr>
              <w:t>alternativní paliva</w:t>
            </w:r>
            <w:r w:rsidRPr="00CC4F65">
              <w:rPr>
                <w:szCs w:val="20"/>
              </w:rPr>
              <w:t xml:space="preserve"> v</w:t>
            </w:r>
            <w:r w:rsidR="005A1247">
              <w:rPr>
                <w:szCs w:val="20"/>
              </w:rPr>
              <w:t> </w:t>
            </w:r>
            <w:r w:rsidRPr="00CC4F65">
              <w:rPr>
                <w:szCs w:val="20"/>
              </w:rPr>
              <w:t>městské hromadné a</w:t>
            </w:r>
            <w:r w:rsidR="005A1247">
              <w:rPr>
                <w:szCs w:val="20"/>
              </w:rPr>
              <w:t> </w:t>
            </w:r>
            <w:r w:rsidRPr="00CC4F65">
              <w:rPr>
                <w:szCs w:val="20"/>
              </w:rPr>
              <w:t>příměstské dopravě, které je přímo spjato s</w:t>
            </w:r>
            <w:r w:rsidR="005A1247">
              <w:rPr>
                <w:szCs w:val="20"/>
              </w:rPr>
              <w:t> </w:t>
            </w:r>
            <w:r w:rsidRPr="00CC4F65">
              <w:rPr>
                <w:szCs w:val="20"/>
              </w:rPr>
              <w:t>vybudováním dostatečné vysokovýkonnostní dobíjecí a</w:t>
            </w:r>
            <w:r w:rsidR="005A1247">
              <w:rPr>
                <w:szCs w:val="20"/>
              </w:rPr>
              <w:t> </w:t>
            </w:r>
            <w:r w:rsidRPr="00CC4F65">
              <w:rPr>
                <w:szCs w:val="20"/>
              </w:rPr>
              <w:t>plnicí infrastruktury v</w:t>
            </w:r>
            <w:r w:rsidR="005A1247">
              <w:rPr>
                <w:szCs w:val="20"/>
              </w:rPr>
              <w:t> </w:t>
            </w:r>
            <w:r w:rsidRPr="00CC4F65">
              <w:rPr>
                <w:szCs w:val="20"/>
              </w:rPr>
              <w:t>zázemí dep dopravců a</w:t>
            </w:r>
            <w:r w:rsidR="005A1247">
              <w:rPr>
                <w:szCs w:val="20"/>
              </w:rPr>
              <w:t> </w:t>
            </w:r>
            <w:r w:rsidRPr="00CC4F65">
              <w:rPr>
                <w:szCs w:val="20"/>
              </w:rPr>
              <w:t>na trasách vozidel pro příležitostné dobíjení/plnění.</w:t>
            </w:r>
          </w:p>
        </w:tc>
      </w:tr>
      <w:tr w:rsidR="00336FAF" w:rsidRPr="00D5678F" w14:paraId="68C2B4D5"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2AA20C7" w14:textId="77777777" w:rsidR="00336FAF" w:rsidRPr="000352A9" w:rsidRDefault="00336FAF" w:rsidP="0054245B">
            <w:pPr>
              <w:spacing w:before="60" w:after="60"/>
              <w:jc w:val="both"/>
              <w:rPr>
                <w:rFonts w:cs="Arial"/>
                <w:szCs w:val="20"/>
              </w:rPr>
            </w:pPr>
            <w:r w:rsidRPr="000352A9">
              <w:rPr>
                <w:rFonts w:cs="Arial"/>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63B850C7" w14:textId="5279D5CC" w:rsidR="00336FAF" w:rsidRPr="00CC4F65" w:rsidRDefault="00336FAF" w:rsidP="0054245B">
            <w:pPr>
              <w:pStyle w:val="TableText"/>
              <w:spacing w:before="60" w:after="60" w:line="240" w:lineRule="auto"/>
              <w:jc w:val="both"/>
              <w:rPr>
                <w:sz w:val="22"/>
              </w:rPr>
            </w:pPr>
            <w:r w:rsidRPr="00CC4F65">
              <w:rPr>
                <w:sz w:val="22"/>
              </w:rPr>
              <w:t>Podporu budování dobíjecí a</w:t>
            </w:r>
            <w:r w:rsidR="005A1247">
              <w:rPr>
                <w:sz w:val="22"/>
              </w:rPr>
              <w:t> </w:t>
            </w:r>
            <w:r w:rsidRPr="00CC4F65">
              <w:rPr>
                <w:sz w:val="22"/>
              </w:rPr>
              <w:t>plnicí infrastruktury pro veřejnou dopravu zahrnout formou samostatné aktivity nebo části aktivity do příslušného specifického cíle operačního programu (IROP).</w:t>
            </w:r>
          </w:p>
          <w:p w14:paraId="30FFBE02" w14:textId="3D46CD1F" w:rsidR="00336FAF" w:rsidRPr="00CC4F65" w:rsidRDefault="00336FAF" w:rsidP="0054245B">
            <w:pPr>
              <w:pStyle w:val="TableText"/>
              <w:spacing w:before="60" w:after="60" w:line="240" w:lineRule="auto"/>
              <w:jc w:val="both"/>
              <w:rPr>
                <w:sz w:val="22"/>
              </w:rPr>
            </w:pPr>
            <w:r w:rsidRPr="00CC4F65">
              <w:rPr>
                <w:sz w:val="22"/>
              </w:rPr>
              <w:t>Formou dotace přispět dopravcům poskytujícím veřejné služby v</w:t>
            </w:r>
            <w:r w:rsidR="005A1247">
              <w:rPr>
                <w:sz w:val="22"/>
              </w:rPr>
              <w:t> </w:t>
            </w:r>
            <w:r w:rsidRPr="00CC4F65">
              <w:rPr>
                <w:sz w:val="22"/>
              </w:rPr>
              <w:t xml:space="preserve">přepravě cestujících na výstavbu stanic pro </w:t>
            </w:r>
            <w:r>
              <w:rPr>
                <w:sz w:val="22"/>
              </w:rPr>
              <w:t>vozidla na alternativní paliva</w:t>
            </w:r>
            <w:r w:rsidRPr="00CC4F65">
              <w:rPr>
                <w:sz w:val="22"/>
              </w:rPr>
              <w:t>. V</w:t>
            </w:r>
            <w:r w:rsidR="005A1247">
              <w:rPr>
                <w:sz w:val="22"/>
              </w:rPr>
              <w:t> </w:t>
            </w:r>
            <w:r w:rsidRPr="00CC4F65">
              <w:rPr>
                <w:sz w:val="22"/>
              </w:rPr>
              <w:t>případě plnicích stanic bude upřednostňována infrastruktura pro vozidla využívající biometan.</w:t>
            </w:r>
          </w:p>
          <w:p w14:paraId="5E2912CA" w14:textId="18AA5472" w:rsidR="00336FAF" w:rsidRPr="000352A9" w:rsidRDefault="00336FAF" w:rsidP="005A1247">
            <w:pPr>
              <w:pStyle w:val="TableText"/>
              <w:spacing w:before="60" w:after="60" w:line="240" w:lineRule="auto"/>
              <w:jc w:val="both"/>
              <w:rPr>
                <w:i/>
                <w:sz w:val="22"/>
              </w:rPr>
            </w:pPr>
            <w:r w:rsidRPr="00CC4F65">
              <w:rPr>
                <w:sz w:val="22"/>
              </w:rPr>
              <w:t>Investice do příslušné infrastruktury je pro dopravce nákladná zejména tam, kdy se v</w:t>
            </w:r>
            <w:r w:rsidR="005A1247">
              <w:rPr>
                <w:sz w:val="22"/>
              </w:rPr>
              <w:t> </w:t>
            </w:r>
            <w:r w:rsidRPr="00CC4F65">
              <w:rPr>
                <w:sz w:val="22"/>
              </w:rPr>
              <w:t>blízkosti vytipovaného místa pro stavbu stanice vedení s</w:t>
            </w:r>
            <w:r w:rsidR="005A1247">
              <w:rPr>
                <w:sz w:val="22"/>
              </w:rPr>
              <w:t> </w:t>
            </w:r>
            <w:r w:rsidRPr="00CC4F65">
              <w:rPr>
                <w:sz w:val="22"/>
              </w:rPr>
              <w:t>dostatečným příkonem nevyskytuje a</w:t>
            </w:r>
            <w:r w:rsidR="005A1247">
              <w:rPr>
                <w:sz w:val="22"/>
              </w:rPr>
              <w:t> </w:t>
            </w:r>
            <w:r w:rsidRPr="00CC4F65">
              <w:rPr>
                <w:sz w:val="22"/>
              </w:rPr>
              <w:t>je nutné jej tam dovést.</w:t>
            </w:r>
          </w:p>
        </w:tc>
      </w:tr>
      <w:tr w:rsidR="00336FAF" w:rsidRPr="00D5678F" w14:paraId="1B5EA125"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0A04D56" w14:textId="2CE33C4F" w:rsidR="00336FAF" w:rsidRPr="000352A9" w:rsidRDefault="00336FAF" w:rsidP="005A1247">
            <w:pPr>
              <w:spacing w:before="60" w:after="60"/>
              <w:jc w:val="both"/>
              <w:rPr>
                <w:rFonts w:cs="Arial"/>
                <w:szCs w:val="20"/>
              </w:rPr>
            </w:pPr>
            <w:r>
              <w:rPr>
                <w:rFonts w:cs="Arial"/>
                <w:szCs w:val="20"/>
              </w:rPr>
              <w:t>Příklad z</w:t>
            </w:r>
            <w:r w:rsidR="005A1247">
              <w:rPr>
                <w:rFonts w:cs="Arial"/>
                <w:szCs w:val="20"/>
              </w:rPr>
              <w:t> </w:t>
            </w:r>
            <w:r>
              <w:rPr>
                <w:rFonts w:cs="Arial"/>
                <w:szCs w:val="20"/>
              </w:rPr>
              <w:t>praxe</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0C39CAE" w14:textId="3A48FBE0" w:rsidR="00336FAF" w:rsidRPr="00CC4F65" w:rsidRDefault="00336FAF" w:rsidP="005A1247">
            <w:pPr>
              <w:pStyle w:val="TableText"/>
              <w:spacing w:before="60" w:after="60" w:line="240" w:lineRule="auto"/>
              <w:jc w:val="both"/>
              <w:rPr>
                <w:sz w:val="22"/>
              </w:rPr>
            </w:pPr>
            <w:r w:rsidRPr="00CC4F65">
              <w:rPr>
                <w:sz w:val="22"/>
              </w:rPr>
              <w:t>Dopravní podniky a</w:t>
            </w:r>
            <w:r w:rsidR="005A1247">
              <w:rPr>
                <w:sz w:val="22"/>
              </w:rPr>
              <w:t> </w:t>
            </w:r>
            <w:r w:rsidRPr="00CC4F65">
              <w:rPr>
                <w:sz w:val="22"/>
              </w:rPr>
              <w:t>soukromí dopravci provozující autobusy s</w:t>
            </w:r>
            <w:r w:rsidR="005A1247">
              <w:rPr>
                <w:sz w:val="22"/>
              </w:rPr>
              <w:t> </w:t>
            </w:r>
            <w:r w:rsidRPr="00CC4F65">
              <w:rPr>
                <w:sz w:val="22"/>
              </w:rPr>
              <w:t>alternativním pohonem na základě smluv o</w:t>
            </w:r>
            <w:r w:rsidR="005A1247">
              <w:rPr>
                <w:sz w:val="22"/>
              </w:rPr>
              <w:t> </w:t>
            </w:r>
            <w:r w:rsidRPr="00CC4F65">
              <w:rPr>
                <w:sz w:val="22"/>
              </w:rPr>
              <w:t>veřejných službách v</w:t>
            </w:r>
            <w:r w:rsidR="005A1247">
              <w:rPr>
                <w:sz w:val="22"/>
              </w:rPr>
              <w:t> </w:t>
            </w:r>
            <w:r w:rsidRPr="00CC4F65">
              <w:rPr>
                <w:sz w:val="22"/>
              </w:rPr>
              <w:t>přepravě cestujících uzavřených s</w:t>
            </w:r>
            <w:r w:rsidR="005A1247">
              <w:rPr>
                <w:sz w:val="22"/>
              </w:rPr>
              <w:t> </w:t>
            </w:r>
            <w:r w:rsidRPr="00CC4F65">
              <w:rPr>
                <w:sz w:val="22"/>
              </w:rPr>
              <w:t>městy nebo kraji</w:t>
            </w:r>
          </w:p>
        </w:tc>
      </w:tr>
      <w:tr w:rsidR="00336FAF" w:rsidRPr="00D5678F" w14:paraId="376AA95E"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858CB81" w14:textId="77777777" w:rsidR="00336FAF" w:rsidRPr="000352A9" w:rsidRDefault="00336FAF" w:rsidP="0054245B">
            <w:pPr>
              <w:spacing w:before="60" w:after="60"/>
              <w:jc w:val="both"/>
              <w:rPr>
                <w:rFonts w:cs="Arial"/>
                <w:szCs w:val="20"/>
              </w:rPr>
            </w:pPr>
            <w:r w:rsidRPr="000352A9">
              <w:rPr>
                <w:rFonts w:cs="Arial"/>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183DD25" w14:textId="77777777" w:rsidR="00336FAF" w:rsidRDefault="00336FAF" w:rsidP="0054245B">
            <w:pPr>
              <w:pStyle w:val="Zpat"/>
              <w:spacing w:before="60" w:after="60"/>
              <w:jc w:val="both"/>
              <w:rPr>
                <w:rFonts w:cs="Arial"/>
                <w:szCs w:val="20"/>
              </w:rPr>
            </w:pPr>
            <w:r w:rsidRPr="000352A9">
              <w:rPr>
                <w:rFonts w:cs="Arial"/>
                <w:szCs w:val="20"/>
              </w:rPr>
              <w:t>IROP</w:t>
            </w:r>
          </w:p>
          <w:p w14:paraId="5AC7A0A4" w14:textId="77777777" w:rsidR="00336FAF" w:rsidRPr="000352A9" w:rsidRDefault="00336FAF" w:rsidP="0054245B">
            <w:pPr>
              <w:pStyle w:val="Zpat"/>
              <w:spacing w:before="60" w:after="60"/>
              <w:jc w:val="both"/>
              <w:rPr>
                <w:rFonts w:cs="Arial"/>
                <w:szCs w:val="20"/>
              </w:rPr>
            </w:pPr>
            <w:r w:rsidRPr="00CC4F65">
              <w:rPr>
                <w:rFonts w:cs="Arial"/>
                <w:szCs w:val="20"/>
              </w:rPr>
              <w:t>Stovky milionů Kč.</w:t>
            </w:r>
          </w:p>
        </w:tc>
      </w:tr>
      <w:tr w:rsidR="00336FAF" w:rsidRPr="00D5678F" w14:paraId="0B1F7253"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1F0434F" w14:textId="77777777" w:rsidR="00336FAF" w:rsidRPr="000352A9" w:rsidRDefault="00336FAF" w:rsidP="0054245B">
            <w:pPr>
              <w:spacing w:before="60" w:after="60"/>
              <w:jc w:val="both"/>
              <w:rPr>
                <w:rFonts w:cs="Arial"/>
                <w:szCs w:val="20"/>
              </w:rPr>
            </w:pPr>
            <w:r w:rsidRPr="000352A9">
              <w:rPr>
                <w:rFonts w:cs="Arial"/>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952DE1A" w14:textId="77777777" w:rsidR="00336FAF" w:rsidRPr="000352A9" w:rsidRDefault="00336FAF" w:rsidP="0054245B">
            <w:pPr>
              <w:pStyle w:val="Zpat"/>
              <w:spacing w:before="60" w:after="60"/>
              <w:jc w:val="both"/>
              <w:rPr>
                <w:rFonts w:cs="Arial"/>
                <w:szCs w:val="20"/>
              </w:rPr>
            </w:pPr>
            <w:r w:rsidRPr="000352A9">
              <w:rPr>
                <w:rFonts w:cs="Arial"/>
                <w:szCs w:val="20"/>
              </w:rPr>
              <w:t>MMR</w:t>
            </w:r>
          </w:p>
        </w:tc>
      </w:tr>
      <w:tr w:rsidR="00336FAF" w:rsidRPr="00D5678F" w14:paraId="39F4C14F"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0719CB0" w14:textId="77777777" w:rsidR="00336FAF" w:rsidRPr="000352A9" w:rsidRDefault="00336FAF" w:rsidP="0054245B">
            <w:pPr>
              <w:spacing w:before="60" w:after="60"/>
              <w:jc w:val="both"/>
              <w:rPr>
                <w:rFonts w:cs="Arial"/>
                <w:szCs w:val="20"/>
              </w:rPr>
            </w:pPr>
            <w:r w:rsidRPr="000352A9">
              <w:rPr>
                <w:rFonts w:cs="Arial"/>
                <w:szCs w:val="20"/>
              </w:rPr>
              <w:t xml:space="preserve">Spolupráce </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194F12B" w14:textId="77777777" w:rsidR="00336FAF" w:rsidRPr="000352A9" w:rsidRDefault="00336FAF" w:rsidP="0054245B">
            <w:pPr>
              <w:pStyle w:val="Zpat"/>
              <w:spacing w:before="60" w:after="60"/>
              <w:jc w:val="both"/>
              <w:rPr>
                <w:rFonts w:cs="Arial"/>
                <w:szCs w:val="20"/>
              </w:rPr>
            </w:pPr>
            <w:r w:rsidRPr="000352A9">
              <w:rPr>
                <w:rFonts w:cs="Arial"/>
                <w:szCs w:val="20"/>
              </w:rPr>
              <w:t>MŽP</w:t>
            </w:r>
          </w:p>
        </w:tc>
      </w:tr>
      <w:tr w:rsidR="00336FAF" w:rsidRPr="00D5678F" w14:paraId="3736D740" w14:textId="77777777" w:rsidTr="0054245B">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7DA8C07F" w14:textId="77777777" w:rsidR="00336FAF" w:rsidRPr="000352A9" w:rsidRDefault="00336FAF" w:rsidP="0054245B">
            <w:pPr>
              <w:spacing w:before="60" w:after="60"/>
              <w:jc w:val="both"/>
              <w:rPr>
                <w:rFonts w:cs="Arial"/>
                <w:szCs w:val="20"/>
              </w:rPr>
            </w:pPr>
            <w:r w:rsidRPr="000352A9">
              <w:rPr>
                <w:rFonts w:cs="Arial"/>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4DEDCF4F" w14:textId="77777777" w:rsidR="00336FAF" w:rsidRPr="000352A9" w:rsidRDefault="00336FAF" w:rsidP="0054245B">
            <w:pPr>
              <w:spacing w:before="60" w:after="60"/>
              <w:jc w:val="both"/>
              <w:rPr>
                <w:rFonts w:cs="Arial"/>
                <w:szCs w:val="20"/>
              </w:rPr>
            </w:pPr>
            <w:r w:rsidRPr="000352A9">
              <w:rPr>
                <w:rFonts w:cs="Arial"/>
                <w:szCs w:val="20"/>
              </w:rPr>
              <w:t>20</w:t>
            </w:r>
            <w:r>
              <w:rPr>
                <w:rFonts w:cs="Arial"/>
                <w:szCs w:val="20"/>
              </w:rPr>
              <w:t>21</w:t>
            </w:r>
            <w:r w:rsidRPr="000352A9">
              <w:rPr>
                <w:rFonts w:cs="Arial"/>
                <w:szCs w:val="20"/>
              </w:rPr>
              <w:t>-202</w:t>
            </w:r>
            <w:r>
              <w:rPr>
                <w:rFonts w:cs="Arial"/>
                <w:szCs w:val="20"/>
              </w:rPr>
              <w:t>7</w:t>
            </w:r>
          </w:p>
        </w:tc>
      </w:tr>
    </w:tbl>
    <w:p w14:paraId="4DEC8C03" w14:textId="77777777" w:rsidR="00D560A5" w:rsidRDefault="00D560A5" w:rsidP="00B502A0"/>
    <w:p w14:paraId="06C44029" w14:textId="77777777" w:rsidR="00D560A5" w:rsidRDefault="00D560A5">
      <w:pPr>
        <w:spacing w:before="0" w:after="200" w:line="276" w:lineRule="auto"/>
        <w:rPr>
          <w:rFonts w:cs="Arial"/>
          <w:b/>
          <w:bCs/>
          <w:szCs w:val="26"/>
        </w:rPr>
      </w:pPr>
      <w:r>
        <w:br w:type="page"/>
      </w:r>
    </w:p>
    <w:p w14:paraId="31DE1C0B" w14:textId="46BB154F" w:rsidR="00776D10" w:rsidRPr="009E6295" w:rsidRDefault="008135B3" w:rsidP="00776D10">
      <w:pPr>
        <w:pStyle w:val="Nadpis3"/>
        <w:jc w:val="both"/>
      </w:pPr>
      <w:r>
        <w:lastRenderedPageBreak/>
        <w:t>S17</w:t>
      </w:r>
      <w:r w:rsidR="00776D10" w:rsidRPr="00776D10">
        <w:t xml:space="preserve"> </w:t>
      </w:r>
      <w:r w:rsidR="00776D10" w:rsidRPr="009E6295">
        <w:t>Investiční podpora pro budování firemní infrastruktury pro elektromobily</w:t>
      </w:r>
      <w:r w:rsidR="006A3213">
        <w:t>, LNG</w:t>
      </w:r>
      <w:r w:rsidR="00776D10" w:rsidRPr="009E6295">
        <w:t xml:space="preserve"> a</w:t>
      </w:r>
      <w:r w:rsidR="005A1247">
        <w:t> </w:t>
      </w:r>
      <w:r w:rsidR="00776D10" w:rsidRPr="009E6295">
        <w:t>vodík</w:t>
      </w:r>
    </w:p>
    <w:tbl>
      <w:tblPr>
        <w:tblW w:w="0" w:type="auto"/>
        <w:jc w:val="center"/>
        <w:tblCellMar>
          <w:left w:w="0" w:type="dxa"/>
          <w:right w:w="0" w:type="dxa"/>
        </w:tblCellMar>
        <w:tblLook w:val="00A0" w:firstRow="1" w:lastRow="0" w:firstColumn="1" w:lastColumn="0" w:noHBand="0" w:noVBand="0"/>
      </w:tblPr>
      <w:tblGrid>
        <w:gridCol w:w="1981"/>
        <w:gridCol w:w="7061"/>
      </w:tblGrid>
      <w:tr w:rsidR="00776D10" w:rsidRPr="00D5678F" w14:paraId="1A8F171C" w14:textId="77777777" w:rsidTr="0054245B">
        <w:trPr>
          <w:cantSplit/>
          <w:jc w:val="center"/>
        </w:trPr>
        <w:tc>
          <w:tcPr>
            <w:tcW w:w="907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30E69FD9" w14:textId="716F97DA" w:rsidR="00776D10" w:rsidRPr="00D5678F" w:rsidRDefault="008135B3" w:rsidP="005A1247">
            <w:pPr>
              <w:jc w:val="both"/>
              <w:rPr>
                <w:b/>
              </w:rPr>
            </w:pPr>
            <w:r>
              <w:rPr>
                <w:b/>
                <w:color w:val="FFFFFF" w:themeColor="background1"/>
              </w:rPr>
              <w:t>S17</w:t>
            </w:r>
            <w:r w:rsidR="00776D10" w:rsidRPr="00776D10">
              <w:rPr>
                <w:b/>
                <w:color w:val="FFFFFF" w:themeColor="background1"/>
              </w:rPr>
              <w:t xml:space="preserve"> Investiční</w:t>
            </w:r>
            <w:r w:rsidR="00776D10" w:rsidRPr="0044632E">
              <w:rPr>
                <w:b/>
                <w:color w:val="FFFFFF" w:themeColor="background1"/>
              </w:rPr>
              <w:t xml:space="preserve"> podpora pro budování firemní infrastruktury pro elektromobily</w:t>
            </w:r>
            <w:r w:rsidR="006A3213">
              <w:rPr>
                <w:b/>
                <w:color w:val="FFFFFF" w:themeColor="background1"/>
              </w:rPr>
              <w:t>, LNG</w:t>
            </w:r>
            <w:r w:rsidR="00776D10">
              <w:rPr>
                <w:b/>
                <w:color w:val="FFFFFF" w:themeColor="background1"/>
              </w:rPr>
              <w:t xml:space="preserve"> a</w:t>
            </w:r>
            <w:r w:rsidR="005A1247">
              <w:rPr>
                <w:b/>
                <w:color w:val="FFFFFF" w:themeColor="background1"/>
              </w:rPr>
              <w:t> </w:t>
            </w:r>
            <w:r w:rsidR="00776D10">
              <w:rPr>
                <w:b/>
                <w:color w:val="FFFFFF" w:themeColor="background1"/>
              </w:rPr>
              <w:t>vodík</w:t>
            </w:r>
          </w:p>
        </w:tc>
      </w:tr>
      <w:tr w:rsidR="00776D10" w:rsidRPr="00D5678F" w14:paraId="3F2D976E" w14:textId="77777777" w:rsidTr="0054245B">
        <w:trPr>
          <w:cantSplit/>
          <w:jc w:val="center"/>
        </w:trPr>
        <w:tc>
          <w:tcPr>
            <w:tcW w:w="1984"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7E764763" w14:textId="77777777" w:rsidR="00776D10" w:rsidRPr="0044632E" w:rsidRDefault="00776D10" w:rsidP="0054245B">
            <w:pPr>
              <w:jc w:val="both"/>
              <w:rPr>
                <w:szCs w:val="20"/>
              </w:rPr>
            </w:pPr>
            <w:r w:rsidRPr="0044632E">
              <w:rPr>
                <w:szCs w:val="20"/>
              </w:rPr>
              <w:t>Návaznost na strategický cíl</w:t>
            </w:r>
          </w:p>
        </w:tc>
        <w:tc>
          <w:tcPr>
            <w:tcW w:w="7087" w:type="dxa"/>
            <w:tcBorders>
              <w:top w:val="nil"/>
              <w:left w:val="nil"/>
              <w:bottom w:val="single" w:sz="4" w:space="0" w:color="auto"/>
              <w:right w:val="single" w:sz="12" w:space="0" w:color="auto"/>
            </w:tcBorders>
            <w:tcMar>
              <w:top w:w="0" w:type="dxa"/>
              <w:left w:w="70" w:type="dxa"/>
              <w:bottom w:w="0" w:type="dxa"/>
              <w:right w:w="70" w:type="dxa"/>
            </w:tcMar>
          </w:tcPr>
          <w:p w14:paraId="1A9DA657" w14:textId="2DFA8A7F" w:rsidR="00776D10" w:rsidRDefault="00776D10" w:rsidP="0054245B">
            <w:pPr>
              <w:jc w:val="both"/>
              <w:rPr>
                <w:szCs w:val="20"/>
              </w:rPr>
            </w:pPr>
            <w:r>
              <w:rPr>
                <w:szCs w:val="20"/>
              </w:rPr>
              <w:t>Rozvoj trhu elektrických vozidel (klasické bateriové i</w:t>
            </w:r>
            <w:r w:rsidR="005A1247">
              <w:rPr>
                <w:szCs w:val="20"/>
              </w:rPr>
              <w:t> </w:t>
            </w:r>
            <w:r>
              <w:rPr>
                <w:szCs w:val="20"/>
              </w:rPr>
              <w:t>ty s</w:t>
            </w:r>
            <w:r w:rsidR="005A1247">
              <w:rPr>
                <w:szCs w:val="20"/>
              </w:rPr>
              <w:t> </w:t>
            </w:r>
            <w:r>
              <w:rPr>
                <w:szCs w:val="20"/>
              </w:rPr>
              <w:t>palivovým článkem)</w:t>
            </w:r>
            <w:r w:rsidR="00E957C2">
              <w:rPr>
                <w:szCs w:val="20"/>
              </w:rPr>
              <w:t xml:space="preserve"> (kap. 2.4.1.)</w:t>
            </w:r>
          </w:p>
          <w:p w14:paraId="2D03175F" w14:textId="77777777" w:rsidR="00776D10" w:rsidRDefault="00776D10" w:rsidP="0054245B">
            <w:pPr>
              <w:jc w:val="both"/>
              <w:rPr>
                <w:szCs w:val="20"/>
              </w:rPr>
            </w:pPr>
            <w:r w:rsidRPr="00BA7006">
              <w:rPr>
                <w:szCs w:val="20"/>
              </w:rPr>
              <w:t>Rozvoj infrastruktury dobíjecích stanic</w:t>
            </w:r>
            <w:r w:rsidR="00E957C2">
              <w:rPr>
                <w:szCs w:val="20"/>
              </w:rPr>
              <w:t xml:space="preserve"> (kap. 2.4.2.)</w:t>
            </w:r>
          </w:p>
          <w:p w14:paraId="1DD3F422" w14:textId="395DB8A3" w:rsidR="006A3213" w:rsidRPr="006A3213" w:rsidRDefault="006A3213" w:rsidP="007E541C">
            <w:pPr>
              <w:tabs>
                <w:tab w:val="left" w:pos="567"/>
              </w:tabs>
              <w:jc w:val="both"/>
              <w:rPr>
                <w:szCs w:val="22"/>
              </w:rPr>
            </w:pPr>
            <w:r w:rsidRPr="007E541C">
              <w:rPr>
                <w:szCs w:val="22"/>
              </w:rPr>
              <w:t>Rozvoj infrastruktury CNG a</w:t>
            </w:r>
            <w:r w:rsidR="005A1247">
              <w:rPr>
                <w:szCs w:val="22"/>
              </w:rPr>
              <w:t> </w:t>
            </w:r>
            <w:r w:rsidRPr="007E541C">
              <w:rPr>
                <w:szCs w:val="22"/>
              </w:rPr>
              <w:t>LNG plnících stanic (kap. 3.3.2.)</w:t>
            </w:r>
          </w:p>
          <w:p w14:paraId="6AA46117" w14:textId="77777777" w:rsidR="00776D10" w:rsidRPr="0044632E" w:rsidRDefault="00776D10" w:rsidP="0054245B">
            <w:pPr>
              <w:jc w:val="both"/>
              <w:rPr>
                <w:szCs w:val="20"/>
              </w:rPr>
            </w:pPr>
            <w:r>
              <w:rPr>
                <w:szCs w:val="20"/>
              </w:rPr>
              <w:t>Rozvoj infrastruktury vodíkových plnicích stanic</w:t>
            </w:r>
            <w:r w:rsidR="00E957C2">
              <w:rPr>
                <w:szCs w:val="20"/>
              </w:rPr>
              <w:t xml:space="preserve"> (kap. 4.3.1.)</w:t>
            </w:r>
          </w:p>
        </w:tc>
      </w:tr>
      <w:tr w:rsidR="00776D10" w:rsidRPr="00D5678F" w14:paraId="0419801B"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3173C43" w14:textId="77777777" w:rsidR="00776D10" w:rsidRPr="0044632E" w:rsidRDefault="00776D10" w:rsidP="0054245B">
            <w:pPr>
              <w:jc w:val="both"/>
              <w:rPr>
                <w:szCs w:val="20"/>
              </w:rPr>
            </w:pPr>
            <w:r w:rsidRPr="0044632E">
              <w:rPr>
                <w:szCs w:val="20"/>
              </w:rPr>
              <w:t>Cíl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D6FC65C" w14:textId="0CEFB6BF" w:rsidR="00776D10" w:rsidRPr="0044632E" w:rsidRDefault="00776D10" w:rsidP="005A1247">
            <w:pPr>
              <w:jc w:val="both"/>
              <w:rPr>
                <w:szCs w:val="20"/>
              </w:rPr>
            </w:pPr>
            <w:r w:rsidRPr="00494899">
              <w:rPr>
                <w:szCs w:val="20"/>
              </w:rPr>
              <w:t xml:space="preserve">Cílem opatření je podpořit penetraci elektromobilů </w:t>
            </w:r>
            <w:r>
              <w:rPr>
                <w:szCs w:val="20"/>
              </w:rPr>
              <w:t>(BEV a</w:t>
            </w:r>
            <w:r w:rsidR="005A1247">
              <w:rPr>
                <w:szCs w:val="20"/>
              </w:rPr>
              <w:t> </w:t>
            </w:r>
            <w:r>
              <w:rPr>
                <w:szCs w:val="20"/>
              </w:rPr>
              <w:t xml:space="preserve">FCEV) </w:t>
            </w:r>
            <w:r w:rsidR="006A3213">
              <w:rPr>
                <w:szCs w:val="20"/>
              </w:rPr>
              <w:t>a</w:t>
            </w:r>
            <w:r w:rsidR="005A1247">
              <w:rPr>
                <w:szCs w:val="20"/>
              </w:rPr>
              <w:t> </w:t>
            </w:r>
            <w:r w:rsidR="006A3213">
              <w:rPr>
                <w:szCs w:val="20"/>
              </w:rPr>
              <w:t xml:space="preserve">nákladních vozidel LNG </w:t>
            </w:r>
            <w:r w:rsidRPr="00494899">
              <w:rPr>
                <w:szCs w:val="20"/>
              </w:rPr>
              <w:t>do firemních f</w:t>
            </w:r>
            <w:r>
              <w:rPr>
                <w:szCs w:val="20"/>
              </w:rPr>
              <w:t>lotil</w:t>
            </w:r>
            <w:r w:rsidRPr="00494899">
              <w:rPr>
                <w:szCs w:val="20"/>
              </w:rPr>
              <w:t xml:space="preserve"> pokrytím části nákladů spojených s</w:t>
            </w:r>
            <w:r w:rsidR="005A1247">
              <w:rPr>
                <w:szCs w:val="20"/>
              </w:rPr>
              <w:t> </w:t>
            </w:r>
            <w:r w:rsidRPr="00494899">
              <w:rPr>
                <w:szCs w:val="20"/>
              </w:rPr>
              <w:t>instalací potřebné infrastruktury neveřejného charakteru.</w:t>
            </w:r>
          </w:p>
        </w:tc>
      </w:tr>
      <w:tr w:rsidR="00776D10" w:rsidRPr="00D5678F" w14:paraId="1B09CE52"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15446A0" w14:textId="77777777" w:rsidR="00776D10" w:rsidRPr="0044632E" w:rsidRDefault="00776D10" w:rsidP="0054245B">
            <w:pPr>
              <w:jc w:val="both"/>
              <w:rPr>
                <w:szCs w:val="20"/>
              </w:rPr>
            </w:pPr>
            <w:r w:rsidRPr="0044632E">
              <w:rPr>
                <w:szCs w:val="20"/>
              </w:rPr>
              <w:t>Popis opatření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9265884" w14:textId="1C98486A" w:rsidR="00776D10" w:rsidRPr="00A019C6" w:rsidRDefault="00776D10" w:rsidP="0054245B">
            <w:pPr>
              <w:jc w:val="both"/>
              <w:rPr>
                <w:szCs w:val="20"/>
              </w:rPr>
            </w:pPr>
            <w:r w:rsidRPr="00A019C6">
              <w:rPr>
                <w:szCs w:val="20"/>
              </w:rPr>
              <w:t xml:space="preserve">Podmínkou pro využití dotace </w:t>
            </w:r>
            <w:r w:rsidR="00042582">
              <w:rPr>
                <w:szCs w:val="20"/>
              </w:rPr>
              <w:t>OP TAK</w:t>
            </w:r>
            <w:r w:rsidRPr="00A019C6">
              <w:rPr>
                <w:szCs w:val="20"/>
              </w:rPr>
              <w:t xml:space="preserve"> by bylo pořízení a</w:t>
            </w:r>
            <w:r w:rsidR="005A1247">
              <w:rPr>
                <w:szCs w:val="20"/>
              </w:rPr>
              <w:t> </w:t>
            </w:r>
            <w:r w:rsidRPr="00A019C6">
              <w:rPr>
                <w:szCs w:val="20"/>
              </w:rPr>
              <w:t xml:space="preserve">následné provozování </w:t>
            </w:r>
            <w:r w:rsidR="006A3213">
              <w:rPr>
                <w:szCs w:val="20"/>
              </w:rPr>
              <w:t>LNG vozidel a</w:t>
            </w:r>
            <w:r w:rsidR="005A1247">
              <w:rPr>
                <w:szCs w:val="20"/>
              </w:rPr>
              <w:t> </w:t>
            </w:r>
            <w:r w:rsidRPr="00A019C6">
              <w:rPr>
                <w:szCs w:val="20"/>
              </w:rPr>
              <w:t>elektromobilů (BEV a</w:t>
            </w:r>
            <w:r w:rsidR="005A1247">
              <w:rPr>
                <w:szCs w:val="20"/>
              </w:rPr>
              <w:t> </w:t>
            </w:r>
            <w:r w:rsidRPr="00A019C6">
              <w:rPr>
                <w:szCs w:val="20"/>
              </w:rPr>
              <w:t>FCEV).</w:t>
            </w:r>
          </w:p>
          <w:p w14:paraId="4F1EAB7A" w14:textId="07E80B6E" w:rsidR="00776D10" w:rsidRPr="00A019C6" w:rsidRDefault="00776D10" w:rsidP="0054245B">
            <w:pPr>
              <w:jc w:val="both"/>
              <w:rPr>
                <w:szCs w:val="20"/>
              </w:rPr>
            </w:pPr>
            <w:r w:rsidRPr="00A019C6">
              <w:rPr>
                <w:szCs w:val="20"/>
              </w:rPr>
              <w:t>Typovým projektem v</w:t>
            </w:r>
            <w:r w:rsidR="005A1247">
              <w:rPr>
                <w:szCs w:val="20"/>
              </w:rPr>
              <w:t> </w:t>
            </w:r>
            <w:r w:rsidRPr="00A019C6">
              <w:rPr>
                <w:szCs w:val="20"/>
              </w:rPr>
              <w:t>oblasti zavádění nízkouhlíkových technologií v</w:t>
            </w:r>
            <w:r w:rsidR="005A1247">
              <w:rPr>
                <w:szCs w:val="20"/>
              </w:rPr>
              <w:t> </w:t>
            </w:r>
            <w:r w:rsidRPr="00A019C6">
              <w:rPr>
                <w:szCs w:val="20"/>
              </w:rPr>
              <w:t>dopravě budou pilotní projekty zaměřené na zavádění elektromobility a</w:t>
            </w:r>
            <w:r w:rsidR="005A1247">
              <w:rPr>
                <w:szCs w:val="20"/>
              </w:rPr>
              <w:t> </w:t>
            </w:r>
            <w:r w:rsidRPr="00A019C6">
              <w:rPr>
                <w:szCs w:val="20"/>
              </w:rPr>
              <w:t>vodíkové mobility u</w:t>
            </w:r>
            <w:r w:rsidR="005A1247">
              <w:rPr>
                <w:szCs w:val="20"/>
              </w:rPr>
              <w:t> </w:t>
            </w:r>
            <w:r w:rsidRPr="00A019C6">
              <w:rPr>
                <w:szCs w:val="20"/>
              </w:rPr>
              <w:t>podnikatelských subjektů tak, aby došlo k</w:t>
            </w:r>
            <w:r w:rsidR="005A1247">
              <w:rPr>
                <w:szCs w:val="20"/>
              </w:rPr>
              <w:t> </w:t>
            </w:r>
            <w:r w:rsidRPr="00A019C6">
              <w:rPr>
                <w:szCs w:val="20"/>
              </w:rPr>
              <w:t>žádoucím synergiím s</w:t>
            </w:r>
            <w:r w:rsidR="005A1247">
              <w:rPr>
                <w:szCs w:val="20"/>
              </w:rPr>
              <w:t> </w:t>
            </w:r>
            <w:r w:rsidRPr="00A019C6">
              <w:rPr>
                <w:szCs w:val="20"/>
              </w:rPr>
              <w:t>OP Doprava a</w:t>
            </w:r>
            <w:r w:rsidR="005A1247">
              <w:rPr>
                <w:szCs w:val="20"/>
              </w:rPr>
              <w:t> </w:t>
            </w:r>
            <w:r w:rsidRPr="00A019C6">
              <w:rPr>
                <w:szCs w:val="20"/>
              </w:rPr>
              <w:t xml:space="preserve">Integrovaným regionálním operačním programem. </w:t>
            </w:r>
          </w:p>
          <w:p w14:paraId="66A533F8" w14:textId="037FF62F" w:rsidR="00776D10" w:rsidRPr="00A019C6" w:rsidRDefault="00776D10" w:rsidP="0054245B">
            <w:pPr>
              <w:jc w:val="both"/>
              <w:rPr>
                <w:szCs w:val="20"/>
              </w:rPr>
            </w:pPr>
            <w:r w:rsidRPr="00A019C6">
              <w:rPr>
                <w:szCs w:val="20"/>
              </w:rPr>
              <w:t>Způsobilé výdaje budou vynakládány na pořízení souvisejících technologií, dobíjecích a</w:t>
            </w:r>
            <w:r w:rsidR="005A1247">
              <w:rPr>
                <w:szCs w:val="20"/>
              </w:rPr>
              <w:t> </w:t>
            </w:r>
            <w:r w:rsidRPr="00A019C6">
              <w:rPr>
                <w:szCs w:val="20"/>
              </w:rPr>
              <w:t xml:space="preserve">plnicích stanic. </w:t>
            </w:r>
          </w:p>
          <w:p w14:paraId="6AC7AA53" w14:textId="6342C01A" w:rsidR="00776D10" w:rsidRPr="00A019C6" w:rsidRDefault="00776D10" w:rsidP="0054245B">
            <w:pPr>
              <w:jc w:val="both"/>
              <w:rPr>
                <w:szCs w:val="20"/>
              </w:rPr>
            </w:pPr>
            <w:r w:rsidRPr="00A019C6">
              <w:rPr>
                <w:szCs w:val="20"/>
              </w:rPr>
              <w:t>Výstupem projektu bude rozšiřování infrastruktury</w:t>
            </w:r>
            <w:r w:rsidR="006A3213">
              <w:rPr>
                <w:szCs w:val="20"/>
              </w:rPr>
              <w:t xml:space="preserve"> neveřejných stanic na alternativní paliva</w:t>
            </w:r>
            <w:r w:rsidRPr="00A019C6">
              <w:rPr>
                <w:szCs w:val="20"/>
              </w:rPr>
              <w:t xml:space="preserve"> a</w:t>
            </w:r>
            <w:r w:rsidR="005A1247">
              <w:rPr>
                <w:szCs w:val="20"/>
              </w:rPr>
              <w:t> </w:t>
            </w:r>
            <w:r w:rsidRPr="00A019C6">
              <w:rPr>
                <w:szCs w:val="20"/>
              </w:rPr>
              <w:t xml:space="preserve">počtu </w:t>
            </w:r>
            <w:r w:rsidR="006A3213">
              <w:rPr>
                <w:szCs w:val="20"/>
              </w:rPr>
              <w:t>vozidel na alternativní paliva</w:t>
            </w:r>
            <w:r w:rsidRPr="00A019C6">
              <w:rPr>
                <w:szCs w:val="20"/>
              </w:rPr>
              <w:t xml:space="preserve"> v</w:t>
            </w:r>
            <w:r w:rsidR="005A1247">
              <w:rPr>
                <w:szCs w:val="20"/>
              </w:rPr>
              <w:t> </w:t>
            </w:r>
            <w:r w:rsidRPr="00A019C6">
              <w:rPr>
                <w:szCs w:val="20"/>
              </w:rPr>
              <w:t>ČR.</w:t>
            </w:r>
          </w:p>
          <w:p w14:paraId="4EA365CA" w14:textId="68D469F5" w:rsidR="00776D10" w:rsidRPr="00494899" w:rsidRDefault="00776D10" w:rsidP="0054245B">
            <w:pPr>
              <w:jc w:val="both"/>
              <w:rPr>
                <w:szCs w:val="20"/>
              </w:rPr>
            </w:pPr>
            <w:r w:rsidRPr="00A019C6">
              <w:rPr>
                <w:szCs w:val="20"/>
              </w:rPr>
              <w:t>Podpora výstavby neveřejných plnicích stanic v</w:t>
            </w:r>
            <w:r w:rsidR="005A1247">
              <w:rPr>
                <w:szCs w:val="20"/>
              </w:rPr>
              <w:t> </w:t>
            </w:r>
            <w:r w:rsidRPr="00A019C6">
              <w:rPr>
                <w:szCs w:val="20"/>
              </w:rPr>
              <w:t>rámci IROP pro dopravní podniky využití velkých flotil vozidel veřejné dopravy.</w:t>
            </w:r>
          </w:p>
          <w:p w14:paraId="54EB1D3D" w14:textId="53633CE4" w:rsidR="00776D10" w:rsidRDefault="00776D10" w:rsidP="007E7A32">
            <w:pPr>
              <w:jc w:val="both"/>
              <w:rPr>
                <w:szCs w:val="20"/>
              </w:rPr>
            </w:pPr>
            <w:r w:rsidRPr="00494899">
              <w:rPr>
                <w:szCs w:val="20"/>
              </w:rPr>
              <w:t>Úspěšné projekty budou prezentovat mobilitu jako nízkoemisní a</w:t>
            </w:r>
            <w:r w:rsidR="005A1247">
              <w:rPr>
                <w:szCs w:val="20"/>
              </w:rPr>
              <w:t> </w:t>
            </w:r>
            <w:r w:rsidRPr="00494899">
              <w:rPr>
                <w:szCs w:val="20"/>
              </w:rPr>
              <w:t>nízkonákladový dopravní prostředek ve velkých aglomeracích.</w:t>
            </w:r>
          </w:p>
          <w:p w14:paraId="5ACD9E3A" w14:textId="796D1ABC" w:rsidR="006A3213" w:rsidRPr="007E541C" w:rsidRDefault="006A3213" w:rsidP="006A3213">
            <w:pPr>
              <w:tabs>
                <w:tab w:val="left" w:pos="567"/>
              </w:tabs>
              <w:jc w:val="both"/>
              <w:rPr>
                <w:rFonts w:ascii="Franklin Gothic Book" w:hAnsi="Franklin Gothic Book"/>
                <w:szCs w:val="22"/>
              </w:rPr>
            </w:pPr>
            <w:r w:rsidRPr="007E541C">
              <w:rPr>
                <w:rFonts w:ascii="Franklin Gothic Book" w:hAnsi="Franklin Gothic Book"/>
                <w:szCs w:val="22"/>
              </w:rPr>
              <w:t>Budování plnících stanic v</w:t>
            </w:r>
            <w:r w:rsidR="005A1247">
              <w:rPr>
                <w:rFonts w:ascii="Franklin Gothic Book" w:hAnsi="Franklin Gothic Book"/>
                <w:szCs w:val="22"/>
              </w:rPr>
              <w:t> </w:t>
            </w:r>
            <w:r w:rsidRPr="007E541C">
              <w:rPr>
                <w:rFonts w:ascii="Franklin Gothic Book" w:hAnsi="Franklin Gothic Book"/>
                <w:szCs w:val="22"/>
              </w:rPr>
              <w:t>podnicích</w:t>
            </w:r>
            <w:r w:rsidR="006537A3">
              <w:rPr>
                <w:rFonts w:ascii="Franklin Gothic Book" w:hAnsi="Franklin Gothic Book"/>
                <w:szCs w:val="22"/>
              </w:rPr>
              <w:t>.</w:t>
            </w:r>
          </w:p>
          <w:p w14:paraId="6D84CF18" w14:textId="5B5603BE" w:rsidR="006A3213" w:rsidRPr="006A3213" w:rsidRDefault="006A3213" w:rsidP="006A3213">
            <w:pPr>
              <w:jc w:val="both"/>
              <w:rPr>
                <w:szCs w:val="20"/>
              </w:rPr>
            </w:pPr>
            <w:r w:rsidRPr="007E541C">
              <w:rPr>
                <w:rFonts w:ascii="Franklin Gothic Book" w:hAnsi="Franklin Gothic Book"/>
                <w:szCs w:val="22"/>
              </w:rPr>
              <w:t>Zkapalňovací stanice LNG</w:t>
            </w:r>
            <w:r w:rsidR="006537A3">
              <w:rPr>
                <w:rFonts w:ascii="Franklin Gothic Book" w:hAnsi="Franklin Gothic Book"/>
                <w:szCs w:val="22"/>
              </w:rPr>
              <w:t>.</w:t>
            </w:r>
          </w:p>
        </w:tc>
      </w:tr>
      <w:tr w:rsidR="00776D10" w:rsidRPr="00D5678F" w14:paraId="0F46FA62"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23CEA57" w14:textId="77777777" w:rsidR="00776D10" w:rsidRPr="0044632E" w:rsidRDefault="00776D10" w:rsidP="0054245B">
            <w:pPr>
              <w:spacing w:before="60" w:after="60"/>
              <w:jc w:val="both"/>
              <w:rPr>
                <w:szCs w:val="20"/>
              </w:rPr>
            </w:pPr>
            <w:r w:rsidRPr="0044632E">
              <w:rPr>
                <w:szCs w:val="20"/>
              </w:rPr>
              <w:t>Rozpočtový dopad / financování</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5F7018B" w14:textId="5BDD8440" w:rsidR="00776D10" w:rsidRPr="00A019C6" w:rsidRDefault="00776D10" w:rsidP="0054245B">
            <w:pPr>
              <w:spacing w:before="60" w:after="60"/>
              <w:jc w:val="both"/>
              <w:rPr>
                <w:szCs w:val="20"/>
              </w:rPr>
            </w:pPr>
            <w:r w:rsidRPr="00A019C6">
              <w:rPr>
                <w:szCs w:val="20"/>
              </w:rPr>
              <w:t xml:space="preserve">Operační program </w:t>
            </w:r>
            <w:r w:rsidR="007166A5">
              <w:rPr>
                <w:szCs w:val="20"/>
              </w:rPr>
              <w:t>Technologie a</w:t>
            </w:r>
            <w:r w:rsidR="005A1247">
              <w:rPr>
                <w:szCs w:val="20"/>
              </w:rPr>
              <w:t> </w:t>
            </w:r>
            <w:r w:rsidR="007166A5">
              <w:rPr>
                <w:szCs w:val="20"/>
              </w:rPr>
              <w:t xml:space="preserve">aplikace </w:t>
            </w:r>
            <w:r w:rsidRPr="00A019C6">
              <w:rPr>
                <w:szCs w:val="20"/>
              </w:rPr>
              <w:t xml:space="preserve">pro </w:t>
            </w:r>
            <w:r w:rsidR="007166A5">
              <w:rPr>
                <w:szCs w:val="20"/>
              </w:rPr>
              <w:t>k</w:t>
            </w:r>
            <w:r w:rsidRPr="00A019C6">
              <w:rPr>
                <w:szCs w:val="20"/>
              </w:rPr>
              <w:t>onkurenceschopnost</w:t>
            </w:r>
          </w:p>
          <w:p w14:paraId="00030798" w14:textId="77777777" w:rsidR="00776D10" w:rsidRPr="0044632E" w:rsidRDefault="00776D10" w:rsidP="0054245B">
            <w:pPr>
              <w:spacing w:before="60" w:after="60"/>
              <w:jc w:val="both"/>
              <w:rPr>
                <w:szCs w:val="20"/>
              </w:rPr>
            </w:pPr>
            <w:r w:rsidRPr="00A019C6">
              <w:rPr>
                <w:szCs w:val="20"/>
              </w:rPr>
              <w:t>Integrovaný regionální operační program</w:t>
            </w:r>
          </w:p>
        </w:tc>
      </w:tr>
      <w:tr w:rsidR="00776D10" w:rsidRPr="00D5678F" w14:paraId="38C87199" w14:textId="77777777" w:rsidTr="0054245B">
        <w:trPr>
          <w:cantSplit/>
          <w:jc w:val="center"/>
        </w:trPr>
        <w:tc>
          <w:tcPr>
            <w:tcW w:w="1984"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310042DE" w14:textId="77777777" w:rsidR="00776D10" w:rsidRPr="0044632E" w:rsidRDefault="00776D10" w:rsidP="0054245B">
            <w:pPr>
              <w:spacing w:before="60" w:after="60"/>
              <w:jc w:val="both"/>
              <w:rPr>
                <w:szCs w:val="20"/>
              </w:rPr>
            </w:pPr>
            <w:r w:rsidRPr="0044632E">
              <w:rPr>
                <w:szCs w:val="20"/>
              </w:rPr>
              <w:t>Odpovědnost</w:t>
            </w:r>
          </w:p>
        </w:tc>
        <w:tc>
          <w:tcPr>
            <w:tcW w:w="7087"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21207F7" w14:textId="77777777" w:rsidR="00776D10" w:rsidRPr="0044632E" w:rsidRDefault="00776D10" w:rsidP="0054245B">
            <w:pPr>
              <w:spacing w:before="60" w:after="60"/>
              <w:jc w:val="both"/>
              <w:rPr>
                <w:szCs w:val="20"/>
              </w:rPr>
            </w:pPr>
            <w:r w:rsidRPr="0044632E">
              <w:rPr>
                <w:szCs w:val="20"/>
              </w:rPr>
              <w:t>MPO</w:t>
            </w:r>
            <w:r>
              <w:rPr>
                <w:szCs w:val="20"/>
              </w:rPr>
              <w:t>, MMR</w:t>
            </w:r>
          </w:p>
        </w:tc>
      </w:tr>
      <w:tr w:rsidR="00776D10" w:rsidRPr="00D5678F" w14:paraId="10AE4BD5" w14:textId="77777777" w:rsidTr="0054245B">
        <w:trPr>
          <w:cantSplit/>
          <w:jc w:val="center"/>
        </w:trPr>
        <w:tc>
          <w:tcPr>
            <w:tcW w:w="1984"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7CBADB29" w14:textId="77777777" w:rsidR="00776D10" w:rsidRPr="0044632E" w:rsidRDefault="00776D10" w:rsidP="0054245B">
            <w:pPr>
              <w:spacing w:before="60" w:after="60"/>
              <w:jc w:val="both"/>
              <w:rPr>
                <w:szCs w:val="20"/>
              </w:rPr>
            </w:pPr>
            <w:r w:rsidRPr="0044632E">
              <w:rPr>
                <w:szCs w:val="20"/>
              </w:rPr>
              <w:t>Termín</w:t>
            </w:r>
          </w:p>
        </w:tc>
        <w:tc>
          <w:tcPr>
            <w:tcW w:w="7087"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2776B945" w14:textId="77777777" w:rsidR="00776D10" w:rsidRPr="0044632E" w:rsidRDefault="00776D10" w:rsidP="0054245B">
            <w:pPr>
              <w:spacing w:before="60" w:after="60"/>
              <w:jc w:val="both"/>
              <w:rPr>
                <w:szCs w:val="20"/>
              </w:rPr>
            </w:pPr>
            <w:r w:rsidRPr="0044632E">
              <w:rPr>
                <w:szCs w:val="20"/>
              </w:rPr>
              <w:t>20</w:t>
            </w:r>
            <w:r>
              <w:rPr>
                <w:szCs w:val="20"/>
              </w:rPr>
              <w:t>20</w:t>
            </w:r>
            <w:r w:rsidRPr="0044632E">
              <w:rPr>
                <w:szCs w:val="20"/>
              </w:rPr>
              <w:t xml:space="preserve"> – 202</w:t>
            </w:r>
            <w:r>
              <w:rPr>
                <w:szCs w:val="20"/>
              </w:rPr>
              <w:t>7</w:t>
            </w:r>
          </w:p>
        </w:tc>
      </w:tr>
    </w:tbl>
    <w:p w14:paraId="099FF3F6" w14:textId="77777777" w:rsidR="00776D10" w:rsidRDefault="00776D10" w:rsidP="00776D10">
      <w:pPr>
        <w:jc w:val="both"/>
      </w:pPr>
    </w:p>
    <w:p w14:paraId="30C4AF2C" w14:textId="58C665EB" w:rsidR="0012139C" w:rsidRDefault="0012139C" w:rsidP="0012139C">
      <w:pPr>
        <w:pStyle w:val="Nadpis3"/>
        <w:jc w:val="both"/>
      </w:pPr>
      <w:r>
        <w:lastRenderedPageBreak/>
        <w:t>S18</w:t>
      </w:r>
      <w:r w:rsidR="001530C0">
        <w:t xml:space="preserve"> </w:t>
      </w:r>
      <w:r w:rsidRPr="00CE1C0B">
        <w:t>Mechanismus podpory lokální výroby z</w:t>
      </w:r>
      <w:r w:rsidR="005A1247">
        <w:t> </w:t>
      </w:r>
      <w:r w:rsidRPr="00CE1C0B">
        <w:t>OZE spolu s</w:t>
      </w:r>
      <w:r w:rsidR="005A1247">
        <w:t> </w:t>
      </w:r>
      <w:r w:rsidRPr="00CE1C0B">
        <w:t>akumulací pro napájení dobíjecích stanic u</w:t>
      </w:r>
      <w:r w:rsidR="005A1247">
        <w:t> </w:t>
      </w:r>
      <w:r w:rsidRPr="00CE1C0B">
        <w:t>zdrojů s</w:t>
      </w:r>
      <w:r w:rsidR="005A1247">
        <w:t> </w:t>
      </w:r>
      <w:r w:rsidRPr="00CE1C0B">
        <w:t>proměnlivým výkonem (VTE a</w:t>
      </w:r>
      <w:r w:rsidR="005A1247">
        <w:t> </w:t>
      </w:r>
      <w:r w:rsidRPr="00CE1C0B">
        <w:t>FVE)</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12139C" w14:paraId="65101F68" w14:textId="77777777" w:rsidTr="005A1247">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048107AD" w14:textId="3C810B11" w:rsidR="0012139C" w:rsidRDefault="0012139C" w:rsidP="005A1247">
            <w:pPr>
              <w:spacing w:before="60" w:after="60"/>
              <w:jc w:val="both"/>
              <w:rPr>
                <w:rFonts w:cs="Arial"/>
                <w:b/>
                <w:color w:val="FFFFFF" w:themeColor="background1"/>
              </w:rPr>
            </w:pPr>
            <w:r>
              <w:rPr>
                <w:rFonts w:cs="Arial"/>
                <w:b/>
                <w:color w:val="FFFFFF" w:themeColor="background1"/>
              </w:rPr>
              <w:t>S18 Mechanismus podpory lokální výroby z</w:t>
            </w:r>
            <w:r w:rsidR="005A1247">
              <w:rPr>
                <w:rFonts w:cs="Arial"/>
                <w:b/>
                <w:color w:val="FFFFFF" w:themeColor="background1"/>
              </w:rPr>
              <w:t> </w:t>
            </w:r>
            <w:r>
              <w:rPr>
                <w:rFonts w:cs="Arial"/>
                <w:b/>
                <w:color w:val="FFFFFF" w:themeColor="background1"/>
              </w:rPr>
              <w:t>OZE spolu s</w:t>
            </w:r>
            <w:r w:rsidR="005A1247">
              <w:rPr>
                <w:rFonts w:cs="Arial"/>
                <w:b/>
                <w:color w:val="FFFFFF" w:themeColor="background1"/>
              </w:rPr>
              <w:t> </w:t>
            </w:r>
            <w:r>
              <w:rPr>
                <w:rFonts w:cs="Arial"/>
                <w:b/>
                <w:color w:val="FFFFFF" w:themeColor="background1"/>
              </w:rPr>
              <w:t>akumulací pro napájení dobíjecích stanic u</w:t>
            </w:r>
            <w:r w:rsidR="005A1247">
              <w:rPr>
                <w:rFonts w:cs="Arial"/>
                <w:b/>
                <w:color w:val="FFFFFF" w:themeColor="background1"/>
              </w:rPr>
              <w:t> </w:t>
            </w:r>
            <w:r>
              <w:rPr>
                <w:rFonts w:cs="Arial"/>
                <w:b/>
                <w:color w:val="FFFFFF" w:themeColor="background1"/>
              </w:rPr>
              <w:t>zdrojů s</w:t>
            </w:r>
            <w:r w:rsidR="005A1247">
              <w:rPr>
                <w:rFonts w:cs="Arial"/>
                <w:b/>
                <w:color w:val="FFFFFF" w:themeColor="background1"/>
              </w:rPr>
              <w:t> </w:t>
            </w:r>
            <w:r>
              <w:rPr>
                <w:rFonts w:cs="Arial"/>
                <w:b/>
                <w:color w:val="FFFFFF" w:themeColor="background1"/>
              </w:rPr>
              <w:t>proměnlivým výkonem (VTE a</w:t>
            </w:r>
            <w:r w:rsidR="005A1247">
              <w:rPr>
                <w:rFonts w:cs="Arial"/>
                <w:b/>
                <w:color w:val="FFFFFF" w:themeColor="background1"/>
              </w:rPr>
              <w:t> </w:t>
            </w:r>
            <w:r>
              <w:rPr>
                <w:rFonts w:cs="Arial"/>
                <w:b/>
                <w:color w:val="FFFFFF" w:themeColor="background1"/>
              </w:rPr>
              <w:t>FVE)</w:t>
            </w:r>
          </w:p>
        </w:tc>
      </w:tr>
      <w:tr w:rsidR="0012139C" w14:paraId="61F04ECA" w14:textId="77777777" w:rsidTr="005A1247">
        <w:tc>
          <w:tcPr>
            <w:tcW w:w="1984" w:type="dxa"/>
            <w:tcBorders>
              <w:top w:val="single" w:sz="12" w:space="0" w:color="auto"/>
              <w:left w:val="single" w:sz="12" w:space="0" w:color="auto"/>
              <w:bottom w:val="single" w:sz="4" w:space="0" w:color="auto"/>
              <w:right w:val="single" w:sz="12" w:space="0" w:color="auto"/>
            </w:tcBorders>
            <w:vAlign w:val="center"/>
            <w:hideMark/>
          </w:tcPr>
          <w:p w14:paraId="3691D563" w14:textId="77777777" w:rsidR="0012139C" w:rsidRDefault="0012139C" w:rsidP="005A1247">
            <w:pPr>
              <w:pStyle w:val="Normln10"/>
              <w:spacing w:before="0" w:line="240" w:lineRule="auto"/>
              <w:jc w:val="left"/>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13B4136E" w14:textId="77777777" w:rsidR="0012139C" w:rsidRDefault="0012139C" w:rsidP="005A1247">
            <w:pPr>
              <w:pStyle w:val="Normln10"/>
              <w:spacing w:before="0" w:line="240" w:lineRule="auto"/>
              <w:rPr>
                <w:rFonts w:cs="Arial"/>
                <w:sz w:val="22"/>
                <w:szCs w:val="22"/>
              </w:rPr>
            </w:pPr>
            <w:r w:rsidRPr="00432DDF">
              <w:rPr>
                <w:rFonts w:cs="Arial"/>
                <w:sz w:val="22"/>
                <w:szCs w:val="22"/>
              </w:rPr>
              <w:t>Rozvoj infrastruktury dobíjecích stanic</w:t>
            </w:r>
            <w:r>
              <w:rPr>
                <w:rFonts w:cs="Arial"/>
                <w:sz w:val="22"/>
                <w:szCs w:val="22"/>
              </w:rPr>
              <w:t xml:space="preserve"> (kap. 2.4.2.)</w:t>
            </w:r>
          </w:p>
          <w:p w14:paraId="7E5A1BFA" w14:textId="77777777" w:rsidR="0012139C" w:rsidRDefault="0012139C" w:rsidP="005A1247">
            <w:pPr>
              <w:pStyle w:val="Normln10"/>
              <w:spacing w:before="0" w:line="240" w:lineRule="auto"/>
              <w:rPr>
                <w:rFonts w:cs="Arial"/>
                <w:sz w:val="22"/>
                <w:szCs w:val="22"/>
              </w:rPr>
            </w:pPr>
            <w:r w:rsidRPr="00432DDF">
              <w:rPr>
                <w:rFonts w:cs="Arial"/>
                <w:sz w:val="22"/>
                <w:szCs w:val="22"/>
              </w:rPr>
              <w:t>Zajištění stabilního regulatorního rámce pro rozvoj elektromobility</w:t>
            </w:r>
            <w:r>
              <w:rPr>
                <w:rFonts w:cs="Arial"/>
                <w:sz w:val="22"/>
                <w:szCs w:val="22"/>
              </w:rPr>
              <w:t xml:space="preserve"> (kap. 2.4.3.)</w:t>
            </w:r>
          </w:p>
        </w:tc>
      </w:tr>
      <w:tr w:rsidR="0012139C" w14:paraId="7765F170"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5B0B76B8" w14:textId="77777777" w:rsidR="0012139C" w:rsidRDefault="0012139C" w:rsidP="005A1247">
            <w:pPr>
              <w:pStyle w:val="Normln10"/>
              <w:spacing w:before="0" w:line="240" w:lineRule="auto"/>
              <w:jc w:val="left"/>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61D65ACA" w14:textId="3881BCCC" w:rsidR="0012139C" w:rsidRDefault="0012139C" w:rsidP="005A1247">
            <w:pPr>
              <w:pStyle w:val="Normln10"/>
              <w:spacing w:before="0" w:line="240" w:lineRule="auto"/>
              <w:rPr>
                <w:rFonts w:cs="Arial"/>
                <w:sz w:val="22"/>
                <w:szCs w:val="22"/>
              </w:rPr>
            </w:pPr>
            <w:r>
              <w:rPr>
                <w:rFonts w:cs="Arial"/>
                <w:sz w:val="22"/>
                <w:szCs w:val="22"/>
              </w:rPr>
              <w:t>Cílem karty je tedy analyzovat a</w:t>
            </w:r>
            <w:r w:rsidR="005A1247">
              <w:rPr>
                <w:rFonts w:cs="Arial"/>
                <w:sz w:val="22"/>
                <w:szCs w:val="22"/>
              </w:rPr>
              <w:t> </w:t>
            </w:r>
            <w:r>
              <w:rPr>
                <w:rFonts w:cs="Arial"/>
                <w:sz w:val="22"/>
                <w:szCs w:val="22"/>
              </w:rPr>
              <w:t>následně navrhnout mechanismus podpory lokální výroby z</w:t>
            </w:r>
            <w:r w:rsidR="005A1247">
              <w:rPr>
                <w:rFonts w:cs="Arial"/>
                <w:sz w:val="22"/>
                <w:szCs w:val="22"/>
              </w:rPr>
              <w:t> </w:t>
            </w:r>
            <w:r>
              <w:rPr>
                <w:rFonts w:cs="Arial"/>
                <w:sz w:val="22"/>
                <w:szCs w:val="22"/>
              </w:rPr>
              <w:t>OZE (u VTE a</w:t>
            </w:r>
            <w:r w:rsidR="005A1247">
              <w:rPr>
                <w:rFonts w:cs="Arial"/>
                <w:sz w:val="22"/>
                <w:szCs w:val="22"/>
              </w:rPr>
              <w:t> </w:t>
            </w:r>
            <w:r>
              <w:rPr>
                <w:rFonts w:cs="Arial"/>
                <w:sz w:val="22"/>
                <w:szCs w:val="22"/>
              </w:rPr>
              <w:t>FVE ve spojení s</w:t>
            </w:r>
            <w:r w:rsidR="005A1247">
              <w:rPr>
                <w:rFonts w:cs="Arial"/>
                <w:sz w:val="22"/>
                <w:szCs w:val="22"/>
              </w:rPr>
              <w:t> </w:t>
            </w:r>
            <w:r>
              <w:rPr>
                <w:rFonts w:cs="Arial"/>
                <w:sz w:val="22"/>
                <w:szCs w:val="22"/>
              </w:rPr>
              <w:t>akumulací) jako způsobu zajištění elektřiny pro dobíjení elektromobilů v</w:t>
            </w:r>
            <w:r w:rsidR="005A1247">
              <w:rPr>
                <w:rFonts w:cs="Arial"/>
                <w:sz w:val="22"/>
                <w:szCs w:val="22"/>
              </w:rPr>
              <w:t> </w:t>
            </w:r>
            <w:r>
              <w:rPr>
                <w:rFonts w:cs="Arial"/>
                <w:sz w:val="22"/>
                <w:szCs w:val="22"/>
              </w:rPr>
              <w:t>místě výroby.</w:t>
            </w:r>
          </w:p>
        </w:tc>
      </w:tr>
      <w:tr w:rsidR="0012139C" w14:paraId="31BA33D4"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1CEC51C5" w14:textId="77777777" w:rsidR="0012139C" w:rsidRDefault="0012139C" w:rsidP="005A1247">
            <w:pPr>
              <w:pStyle w:val="Normln10"/>
              <w:spacing w:before="0" w:line="240" w:lineRule="auto"/>
              <w:jc w:val="left"/>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3109C49D" w14:textId="7F68145E" w:rsidR="0012139C" w:rsidRDefault="0012139C" w:rsidP="005A1247">
            <w:pPr>
              <w:pStyle w:val="Normln10"/>
              <w:spacing w:before="0" w:line="240" w:lineRule="auto"/>
              <w:rPr>
                <w:rFonts w:cs="Arial"/>
                <w:sz w:val="22"/>
                <w:szCs w:val="22"/>
              </w:rPr>
            </w:pPr>
            <w:r>
              <w:rPr>
                <w:rFonts w:cs="Arial"/>
                <w:sz w:val="22"/>
                <w:szCs w:val="22"/>
              </w:rPr>
              <w:t>Vzhledem k</w:t>
            </w:r>
            <w:r w:rsidR="005A1247">
              <w:rPr>
                <w:rFonts w:cs="Arial"/>
                <w:sz w:val="22"/>
                <w:szCs w:val="22"/>
              </w:rPr>
              <w:t> </w:t>
            </w:r>
            <w:r>
              <w:rPr>
                <w:rFonts w:cs="Arial"/>
                <w:sz w:val="22"/>
                <w:szCs w:val="22"/>
              </w:rPr>
              <w:t>očekávanému rozvoji elektromobility v</w:t>
            </w:r>
            <w:r w:rsidR="005A1247">
              <w:rPr>
                <w:rFonts w:cs="Arial"/>
                <w:sz w:val="22"/>
                <w:szCs w:val="22"/>
              </w:rPr>
              <w:t> </w:t>
            </w:r>
            <w:r>
              <w:rPr>
                <w:rFonts w:cs="Arial"/>
                <w:sz w:val="22"/>
                <w:szCs w:val="22"/>
              </w:rPr>
              <w:t>ČR je zejména v</w:t>
            </w:r>
            <w:r w:rsidR="005A1247">
              <w:rPr>
                <w:rFonts w:cs="Arial"/>
                <w:sz w:val="22"/>
                <w:szCs w:val="22"/>
              </w:rPr>
              <w:t> </w:t>
            </w:r>
            <w:r>
              <w:rPr>
                <w:rFonts w:cs="Arial"/>
                <w:sz w:val="22"/>
                <w:szCs w:val="22"/>
              </w:rPr>
              <w:t>kontextu plnění cíle ČR v</w:t>
            </w:r>
            <w:r w:rsidR="005A1247">
              <w:rPr>
                <w:rFonts w:cs="Arial"/>
                <w:sz w:val="22"/>
                <w:szCs w:val="22"/>
              </w:rPr>
              <w:t> </w:t>
            </w:r>
            <w:r>
              <w:rPr>
                <w:rFonts w:cs="Arial"/>
                <w:sz w:val="22"/>
                <w:szCs w:val="22"/>
              </w:rPr>
              <w:t>oblasti podílu OZE v</w:t>
            </w:r>
            <w:r w:rsidR="005A1247">
              <w:rPr>
                <w:rFonts w:cs="Arial"/>
                <w:sz w:val="22"/>
                <w:szCs w:val="22"/>
              </w:rPr>
              <w:t> </w:t>
            </w:r>
            <w:r>
              <w:rPr>
                <w:rFonts w:cs="Arial"/>
                <w:sz w:val="22"/>
                <w:szCs w:val="22"/>
              </w:rPr>
              <w:t>dopravě potřebné podpořit takové možnosti dobíjení elektromobilů, které v</w:t>
            </w:r>
            <w:r w:rsidR="005A1247">
              <w:rPr>
                <w:rFonts w:cs="Arial"/>
                <w:sz w:val="22"/>
                <w:szCs w:val="22"/>
              </w:rPr>
              <w:t> </w:t>
            </w:r>
            <w:r>
              <w:rPr>
                <w:rFonts w:cs="Arial"/>
                <w:sz w:val="22"/>
                <w:szCs w:val="22"/>
              </w:rPr>
              <w:t>co největší míře využívají elektřinu vyrobenou z</w:t>
            </w:r>
            <w:r w:rsidR="005A1247">
              <w:rPr>
                <w:rFonts w:cs="Arial"/>
                <w:sz w:val="22"/>
                <w:szCs w:val="22"/>
              </w:rPr>
              <w:t> </w:t>
            </w:r>
            <w:r>
              <w:rPr>
                <w:rFonts w:cs="Arial"/>
                <w:sz w:val="22"/>
                <w:szCs w:val="22"/>
              </w:rPr>
              <w:t>OZE, ideálně v</w:t>
            </w:r>
            <w:r w:rsidR="005A1247">
              <w:rPr>
                <w:rFonts w:cs="Arial"/>
                <w:sz w:val="22"/>
                <w:szCs w:val="22"/>
              </w:rPr>
              <w:t> </w:t>
            </w:r>
            <w:r>
              <w:rPr>
                <w:rFonts w:cs="Arial"/>
                <w:sz w:val="22"/>
                <w:szCs w:val="22"/>
              </w:rPr>
              <w:t>místě výroby.</w:t>
            </w:r>
          </w:p>
          <w:p w14:paraId="5EC890E7" w14:textId="69F4AF6E" w:rsidR="0012139C" w:rsidRDefault="0012139C" w:rsidP="005A1247">
            <w:pPr>
              <w:pStyle w:val="Normln10"/>
              <w:spacing w:before="0" w:line="240" w:lineRule="auto"/>
              <w:rPr>
                <w:rFonts w:cs="Arial"/>
                <w:sz w:val="22"/>
                <w:szCs w:val="22"/>
              </w:rPr>
            </w:pPr>
            <w:r>
              <w:rPr>
                <w:rFonts w:cs="Arial"/>
                <w:sz w:val="22"/>
                <w:szCs w:val="22"/>
              </w:rPr>
              <w:t>Vzhledem k</w:t>
            </w:r>
            <w:r w:rsidR="005A1247">
              <w:rPr>
                <w:rFonts w:cs="Arial"/>
                <w:sz w:val="22"/>
                <w:szCs w:val="22"/>
              </w:rPr>
              <w:t> </w:t>
            </w:r>
            <w:r>
              <w:rPr>
                <w:rFonts w:cs="Arial"/>
                <w:sz w:val="22"/>
                <w:szCs w:val="22"/>
              </w:rPr>
              <w:t>povaze technologií i</w:t>
            </w:r>
            <w:r w:rsidR="005A1247">
              <w:rPr>
                <w:rFonts w:cs="Arial"/>
                <w:sz w:val="22"/>
                <w:szCs w:val="22"/>
              </w:rPr>
              <w:t> </w:t>
            </w:r>
            <w:r>
              <w:rPr>
                <w:rFonts w:cs="Arial"/>
                <w:sz w:val="22"/>
                <w:szCs w:val="22"/>
              </w:rPr>
              <w:t>očekávaného vytížení různých typů dobíjecích stanic (rychlodobíjecí vs. normální dobíjecí, veřejné vs. neveřejné) je třeba před samotným návrhem vhodného mechanismu podpory analyzovat technologické i</w:t>
            </w:r>
            <w:r w:rsidR="005A1247">
              <w:rPr>
                <w:rFonts w:cs="Arial"/>
                <w:sz w:val="22"/>
                <w:szCs w:val="22"/>
              </w:rPr>
              <w:t> </w:t>
            </w:r>
            <w:r>
              <w:rPr>
                <w:rFonts w:cs="Arial"/>
                <w:sz w:val="22"/>
                <w:szCs w:val="22"/>
              </w:rPr>
              <w:t>ekonomické parametry možných řešení kombinace dobíjení a</w:t>
            </w:r>
            <w:r w:rsidR="005A1247">
              <w:rPr>
                <w:rFonts w:cs="Arial"/>
                <w:sz w:val="22"/>
                <w:szCs w:val="22"/>
              </w:rPr>
              <w:t> </w:t>
            </w:r>
            <w:r>
              <w:rPr>
                <w:rFonts w:cs="Arial"/>
                <w:sz w:val="22"/>
                <w:szCs w:val="22"/>
              </w:rPr>
              <w:t>lokální výroby OZE, a</w:t>
            </w:r>
            <w:r w:rsidR="005A1247">
              <w:rPr>
                <w:rFonts w:cs="Arial"/>
                <w:sz w:val="22"/>
                <w:szCs w:val="22"/>
              </w:rPr>
              <w:t> </w:t>
            </w:r>
            <w:r>
              <w:rPr>
                <w:rFonts w:cs="Arial"/>
                <w:sz w:val="22"/>
                <w:szCs w:val="22"/>
              </w:rPr>
              <w:t>to jak u</w:t>
            </w:r>
            <w:r w:rsidR="005A1247">
              <w:rPr>
                <w:rFonts w:cs="Arial"/>
                <w:sz w:val="22"/>
                <w:szCs w:val="22"/>
              </w:rPr>
              <w:t> </w:t>
            </w:r>
            <w:r>
              <w:rPr>
                <w:rFonts w:cs="Arial"/>
                <w:sz w:val="22"/>
                <w:szCs w:val="22"/>
              </w:rPr>
              <w:t>stávajících zdrojů, tak i</w:t>
            </w:r>
            <w:r w:rsidR="005A1247">
              <w:rPr>
                <w:rFonts w:cs="Arial"/>
                <w:sz w:val="22"/>
                <w:szCs w:val="22"/>
              </w:rPr>
              <w:t> </w:t>
            </w:r>
            <w:r>
              <w:rPr>
                <w:rFonts w:cs="Arial"/>
                <w:sz w:val="22"/>
                <w:szCs w:val="22"/>
              </w:rPr>
              <w:t>u zdrojů nově cíleně za tímto účelem budovaných. Je zjevné, že u</w:t>
            </w:r>
            <w:r w:rsidR="005A1247">
              <w:rPr>
                <w:rFonts w:cs="Arial"/>
                <w:sz w:val="22"/>
                <w:szCs w:val="22"/>
              </w:rPr>
              <w:t> </w:t>
            </w:r>
            <w:r>
              <w:rPr>
                <w:rFonts w:cs="Arial"/>
                <w:sz w:val="22"/>
                <w:szCs w:val="22"/>
              </w:rPr>
              <w:t>větrných a</w:t>
            </w:r>
            <w:r w:rsidR="005A1247">
              <w:rPr>
                <w:rFonts w:cs="Arial"/>
                <w:sz w:val="22"/>
                <w:szCs w:val="22"/>
              </w:rPr>
              <w:t> </w:t>
            </w:r>
            <w:r>
              <w:rPr>
                <w:rFonts w:cs="Arial"/>
                <w:sz w:val="22"/>
                <w:szCs w:val="22"/>
              </w:rPr>
              <w:t>fotovoltaických elektráren bude vzhledem k</w:t>
            </w:r>
            <w:r w:rsidR="005A1247">
              <w:rPr>
                <w:rFonts w:cs="Arial"/>
                <w:sz w:val="22"/>
                <w:szCs w:val="22"/>
              </w:rPr>
              <w:t> </w:t>
            </w:r>
            <w:r>
              <w:rPr>
                <w:rFonts w:cs="Arial"/>
                <w:sz w:val="22"/>
                <w:szCs w:val="22"/>
              </w:rPr>
              <w:t>časovému nesouladu výroby z</w:t>
            </w:r>
            <w:r w:rsidR="005A1247">
              <w:rPr>
                <w:rFonts w:cs="Arial"/>
                <w:sz w:val="22"/>
                <w:szCs w:val="22"/>
              </w:rPr>
              <w:t> </w:t>
            </w:r>
            <w:r>
              <w:rPr>
                <w:rFonts w:cs="Arial"/>
                <w:sz w:val="22"/>
                <w:szCs w:val="22"/>
              </w:rPr>
              <w:t>OZE a</w:t>
            </w:r>
            <w:r w:rsidR="005A1247">
              <w:rPr>
                <w:rFonts w:cs="Arial"/>
                <w:sz w:val="22"/>
                <w:szCs w:val="22"/>
              </w:rPr>
              <w:t> </w:t>
            </w:r>
            <w:r>
              <w:rPr>
                <w:rFonts w:cs="Arial"/>
                <w:sz w:val="22"/>
                <w:szCs w:val="22"/>
              </w:rPr>
              <w:t>dobíjení vozidel muset být součástí řešení i</w:t>
            </w:r>
            <w:r w:rsidR="005A1247">
              <w:rPr>
                <w:rFonts w:cs="Arial"/>
                <w:sz w:val="22"/>
                <w:szCs w:val="22"/>
              </w:rPr>
              <w:t> </w:t>
            </w:r>
            <w:r>
              <w:rPr>
                <w:rFonts w:cs="Arial"/>
                <w:sz w:val="22"/>
                <w:szCs w:val="22"/>
              </w:rPr>
              <w:t xml:space="preserve">technologie akumulace elektřiny. </w:t>
            </w:r>
          </w:p>
          <w:p w14:paraId="4F6BCDE7" w14:textId="319B03D9" w:rsidR="0012139C" w:rsidRDefault="0012139C" w:rsidP="005A1247">
            <w:pPr>
              <w:pStyle w:val="Normln10"/>
              <w:spacing w:before="0" w:line="240" w:lineRule="auto"/>
              <w:rPr>
                <w:rFonts w:cs="Arial"/>
                <w:sz w:val="22"/>
                <w:szCs w:val="22"/>
              </w:rPr>
            </w:pPr>
            <w:r>
              <w:rPr>
                <w:rFonts w:cs="Arial"/>
                <w:sz w:val="22"/>
                <w:szCs w:val="22"/>
              </w:rPr>
              <w:t>Dále bude nezbytná analýza možných legislativních bariér pro rozšíření dobíjení elektromobilů z</w:t>
            </w:r>
            <w:r w:rsidR="005A1247">
              <w:rPr>
                <w:rFonts w:cs="Arial"/>
                <w:sz w:val="22"/>
                <w:szCs w:val="22"/>
              </w:rPr>
              <w:t> </w:t>
            </w:r>
            <w:r>
              <w:rPr>
                <w:rFonts w:cs="Arial"/>
                <w:sz w:val="22"/>
                <w:szCs w:val="22"/>
              </w:rPr>
              <w:t>OZE a</w:t>
            </w:r>
            <w:r w:rsidR="005A1247">
              <w:rPr>
                <w:rFonts w:cs="Arial"/>
                <w:sz w:val="22"/>
                <w:szCs w:val="22"/>
              </w:rPr>
              <w:t> </w:t>
            </w:r>
            <w:r>
              <w:rPr>
                <w:rFonts w:cs="Arial"/>
                <w:sz w:val="22"/>
                <w:szCs w:val="22"/>
              </w:rPr>
              <w:t>identifikace jeho potenciálu s</w:t>
            </w:r>
            <w:r w:rsidR="005A1247">
              <w:rPr>
                <w:rFonts w:cs="Arial"/>
                <w:sz w:val="22"/>
                <w:szCs w:val="22"/>
              </w:rPr>
              <w:t> </w:t>
            </w:r>
            <w:r>
              <w:rPr>
                <w:rFonts w:cs="Arial"/>
                <w:sz w:val="22"/>
                <w:szCs w:val="22"/>
              </w:rPr>
              <w:t>ohledem na další způsoby využití elektřiny z</w:t>
            </w:r>
            <w:r w:rsidR="005A1247">
              <w:rPr>
                <w:rFonts w:cs="Arial"/>
                <w:sz w:val="22"/>
                <w:szCs w:val="22"/>
              </w:rPr>
              <w:t> </w:t>
            </w:r>
            <w:r>
              <w:rPr>
                <w:rFonts w:cs="Arial"/>
                <w:sz w:val="22"/>
                <w:szCs w:val="22"/>
              </w:rPr>
              <w:t>OZE. Završením prací bude zpracování komplexního Návrhu doporučení k</w:t>
            </w:r>
            <w:r w:rsidR="005A1247">
              <w:rPr>
                <w:rFonts w:cs="Arial"/>
                <w:sz w:val="22"/>
                <w:szCs w:val="22"/>
              </w:rPr>
              <w:t> </w:t>
            </w:r>
            <w:r>
              <w:rPr>
                <w:rFonts w:cs="Arial"/>
                <w:sz w:val="22"/>
                <w:szCs w:val="22"/>
              </w:rPr>
              <w:t>dobíjení elektromobilů z</w:t>
            </w:r>
            <w:r w:rsidR="005A1247">
              <w:rPr>
                <w:rFonts w:cs="Arial"/>
                <w:sz w:val="22"/>
                <w:szCs w:val="22"/>
              </w:rPr>
              <w:t> </w:t>
            </w:r>
            <w:r>
              <w:rPr>
                <w:rFonts w:cs="Arial"/>
                <w:sz w:val="22"/>
                <w:szCs w:val="22"/>
              </w:rPr>
              <w:t>OZE pro oblast technologickou, ekonomickou a</w:t>
            </w:r>
            <w:r w:rsidR="005A1247">
              <w:rPr>
                <w:rFonts w:cs="Arial"/>
                <w:sz w:val="22"/>
                <w:szCs w:val="22"/>
              </w:rPr>
              <w:t> </w:t>
            </w:r>
            <w:r>
              <w:rPr>
                <w:rFonts w:cs="Arial"/>
                <w:sz w:val="22"/>
                <w:szCs w:val="22"/>
              </w:rPr>
              <w:t>legislativní.</w:t>
            </w:r>
          </w:p>
          <w:p w14:paraId="75C6E48A" w14:textId="58624F11" w:rsidR="0012139C" w:rsidRDefault="0012139C" w:rsidP="005A1247">
            <w:pPr>
              <w:pStyle w:val="Normln10"/>
              <w:spacing w:before="0" w:line="240" w:lineRule="auto"/>
              <w:rPr>
                <w:rFonts w:cs="Arial"/>
                <w:sz w:val="22"/>
                <w:szCs w:val="22"/>
              </w:rPr>
            </w:pPr>
            <w:r>
              <w:rPr>
                <w:rFonts w:cs="Arial"/>
                <w:sz w:val="22"/>
                <w:szCs w:val="22"/>
              </w:rPr>
              <w:t>Komora obnovitelných zdrojů energie zatím k</w:t>
            </w:r>
            <w:r w:rsidR="005A1247">
              <w:rPr>
                <w:rFonts w:cs="Arial"/>
                <w:sz w:val="22"/>
                <w:szCs w:val="22"/>
              </w:rPr>
              <w:t> </w:t>
            </w:r>
            <w:r>
              <w:rPr>
                <w:rFonts w:cs="Arial"/>
                <w:sz w:val="22"/>
                <w:szCs w:val="22"/>
              </w:rPr>
              <w:t>tématu zpracovala 2 úvodní materiály:</w:t>
            </w:r>
          </w:p>
          <w:p w14:paraId="6A3A893A" w14:textId="26CD57C7" w:rsidR="0012139C" w:rsidRDefault="0012139C" w:rsidP="005A1247">
            <w:pPr>
              <w:pStyle w:val="Bullet1"/>
              <w:spacing w:before="0" w:after="0"/>
              <w:jc w:val="both"/>
            </w:pPr>
            <w:r>
              <w:t>Rešerše a</w:t>
            </w:r>
            <w:r w:rsidR="005A1247">
              <w:t> </w:t>
            </w:r>
            <w:r>
              <w:t>analýza zahraničních zkušeností</w:t>
            </w:r>
          </w:p>
          <w:p w14:paraId="62AF6317" w14:textId="458697F1" w:rsidR="0012139C" w:rsidRDefault="0012139C" w:rsidP="005A1247">
            <w:pPr>
              <w:pStyle w:val="Bullet1"/>
              <w:spacing w:before="0" w:after="0"/>
              <w:jc w:val="both"/>
            </w:pPr>
            <w:r>
              <w:t>Identifikace ověřených a</w:t>
            </w:r>
            <w:r w:rsidR="005A1247">
              <w:t> </w:t>
            </w:r>
            <w:r>
              <w:t>inovativních technických řešení</w:t>
            </w:r>
          </w:p>
          <w:p w14:paraId="7D794E35" w14:textId="0A2B3D6F" w:rsidR="0012139C" w:rsidRDefault="0012139C" w:rsidP="005A1247">
            <w:pPr>
              <w:pStyle w:val="Normln10"/>
              <w:spacing w:before="0" w:line="240" w:lineRule="auto"/>
              <w:rPr>
                <w:rFonts w:cs="Arial"/>
                <w:sz w:val="22"/>
                <w:szCs w:val="22"/>
              </w:rPr>
            </w:pPr>
            <w:r>
              <w:rPr>
                <w:rFonts w:cs="Arial"/>
                <w:sz w:val="22"/>
                <w:szCs w:val="22"/>
              </w:rPr>
              <w:t>a p</w:t>
            </w:r>
            <w:r w:rsidRPr="009C0D51">
              <w:rPr>
                <w:rFonts w:cs="Arial"/>
                <w:sz w:val="22"/>
                <w:szCs w:val="22"/>
              </w:rPr>
              <w:t>roblematiku využití OZE v</w:t>
            </w:r>
            <w:r w:rsidR="005A1247">
              <w:rPr>
                <w:rFonts w:cs="Arial"/>
                <w:sz w:val="22"/>
                <w:szCs w:val="22"/>
              </w:rPr>
              <w:t> </w:t>
            </w:r>
            <w:r w:rsidRPr="009C0D51">
              <w:rPr>
                <w:rFonts w:cs="Arial"/>
                <w:sz w:val="22"/>
                <w:szCs w:val="22"/>
              </w:rPr>
              <w:t xml:space="preserve">dopravě řeší </w:t>
            </w:r>
            <w:r>
              <w:rPr>
                <w:rFonts w:cs="Arial"/>
                <w:sz w:val="22"/>
                <w:szCs w:val="22"/>
              </w:rPr>
              <w:t>i</w:t>
            </w:r>
            <w:r w:rsidR="005A1247">
              <w:rPr>
                <w:rFonts w:cs="Arial"/>
                <w:sz w:val="22"/>
                <w:szCs w:val="22"/>
              </w:rPr>
              <w:t> </w:t>
            </w:r>
            <w:r w:rsidRPr="009C0D51">
              <w:rPr>
                <w:rFonts w:cs="Arial"/>
                <w:sz w:val="22"/>
                <w:szCs w:val="22"/>
              </w:rPr>
              <w:t>projekt "Analýza potenciálu, scénářů a</w:t>
            </w:r>
            <w:r w:rsidR="005A1247">
              <w:rPr>
                <w:rFonts w:cs="Arial"/>
                <w:sz w:val="22"/>
                <w:szCs w:val="22"/>
              </w:rPr>
              <w:t> </w:t>
            </w:r>
            <w:r w:rsidRPr="009C0D51">
              <w:rPr>
                <w:rFonts w:cs="Arial"/>
                <w:sz w:val="22"/>
                <w:szCs w:val="22"/>
              </w:rPr>
              <w:t>návrh využití decentralizovaných obnovitelných zdrojů pro rozšíření sítě nabíjecích a</w:t>
            </w:r>
            <w:r w:rsidR="005A1247">
              <w:rPr>
                <w:rFonts w:cs="Arial"/>
                <w:sz w:val="22"/>
                <w:szCs w:val="22"/>
              </w:rPr>
              <w:t> </w:t>
            </w:r>
            <w:r w:rsidRPr="009C0D51">
              <w:rPr>
                <w:rFonts w:cs="Arial"/>
                <w:sz w:val="22"/>
                <w:szCs w:val="22"/>
              </w:rPr>
              <w:t>plnicích stanic s</w:t>
            </w:r>
            <w:r w:rsidR="005A1247">
              <w:rPr>
                <w:rFonts w:cs="Arial"/>
                <w:sz w:val="22"/>
                <w:szCs w:val="22"/>
              </w:rPr>
              <w:t> </w:t>
            </w:r>
            <w:r w:rsidRPr="009C0D51">
              <w:rPr>
                <w:rFonts w:cs="Arial"/>
                <w:sz w:val="22"/>
                <w:szCs w:val="22"/>
              </w:rPr>
              <w:t>cílem akcelerovat efekt mitigačních opatření v</w:t>
            </w:r>
            <w:r w:rsidR="005A1247">
              <w:rPr>
                <w:rFonts w:cs="Arial"/>
                <w:sz w:val="22"/>
                <w:szCs w:val="22"/>
              </w:rPr>
              <w:t> </w:t>
            </w:r>
            <w:r w:rsidRPr="009C0D51">
              <w:rPr>
                <w:rFonts w:cs="Arial"/>
                <w:sz w:val="22"/>
                <w:szCs w:val="22"/>
              </w:rPr>
              <w:t>sektoru dopravy ČR", podpořený v</w:t>
            </w:r>
            <w:r w:rsidR="005A1247">
              <w:rPr>
                <w:rFonts w:cs="Arial"/>
                <w:sz w:val="22"/>
                <w:szCs w:val="22"/>
              </w:rPr>
              <w:t> </w:t>
            </w:r>
            <w:r w:rsidRPr="009C0D51">
              <w:rPr>
                <w:rFonts w:cs="Arial"/>
                <w:sz w:val="22"/>
                <w:szCs w:val="22"/>
              </w:rPr>
              <w:t>rámci programu Théta TA</w:t>
            </w:r>
            <w:r>
              <w:rPr>
                <w:rFonts w:cs="Arial"/>
                <w:sz w:val="22"/>
                <w:szCs w:val="22"/>
              </w:rPr>
              <w:t xml:space="preserve"> </w:t>
            </w:r>
            <w:r w:rsidRPr="009C0D51">
              <w:rPr>
                <w:rFonts w:cs="Arial"/>
                <w:sz w:val="22"/>
                <w:szCs w:val="22"/>
              </w:rPr>
              <w:t xml:space="preserve">ČR, jehož řešitelem je Komora </w:t>
            </w:r>
            <w:r w:rsidRPr="00B502A0">
              <w:rPr>
                <w:sz w:val="22"/>
                <w:szCs w:val="22"/>
              </w:rPr>
              <w:t>obnovitelných</w:t>
            </w:r>
            <w:r w:rsidRPr="00307E04">
              <w:rPr>
                <w:rFonts w:cs="Arial"/>
                <w:sz w:val="22"/>
                <w:szCs w:val="22"/>
              </w:rPr>
              <w:t xml:space="preserve"> zdrojů</w:t>
            </w:r>
            <w:r w:rsidRPr="009C0D51">
              <w:rPr>
                <w:rFonts w:cs="Arial"/>
                <w:sz w:val="22"/>
                <w:szCs w:val="22"/>
              </w:rPr>
              <w:t xml:space="preserve"> energie</w:t>
            </w:r>
            <w:r>
              <w:rPr>
                <w:rFonts w:cs="Arial"/>
                <w:sz w:val="22"/>
                <w:szCs w:val="22"/>
              </w:rPr>
              <w:t>.</w:t>
            </w:r>
          </w:p>
        </w:tc>
      </w:tr>
      <w:tr w:rsidR="0012139C" w14:paraId="463F5DA7" w14:textId="77777777" w:rsidTr="005A1247">
        <w:trPr>
          <w:trHeight w:val="692"/>
        </w:trPr>
        <w:tc>
          <w:tcPr>
            <w:tcW w:w="1984" w:type="dxa"/>
            <w:tcBorders>
              <w:top w:val="single" w:sz="4" w:space="0" w:color="auto"/>
              <w:left w:val="single" w:sz="12" w:space="0" w:color="auto"/>
              <w:bottom w:val="single" w:sz="4" w:space="0" w:color="auto"/>
              <w:right w:val="single" w:sz="12" w:space="0" w:color="auto"/>
            </w:tcBorders>
            <w:vAlign w:val="center"/>
            <w:hideMark/>
          </w:tcPr>
          <w:p w14:paraId="4F630722" w14:textId="77777777" w:rsidR="0012139C" w:rsidRDefault="0012139C" w:rsidP="005A1247">
            <w:pPr>
              <w:pStyle w:val="Normln10"/>
              <w:spacing w:before="0" w:line="240" w:lineRule="auto"/>
              <w:jc w:val="left"/>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25158942" w14:textId="77777777" w:rsidR="0012139C" w:rsidRDefault="0012139C" w:rsidP="005A1247">
            <w:pPr>
              <w:pStyle w:val="Normln10"/>
              <w:spacing w:before="0" w:line="240" w:lineRule="auto"/>
              <w:jc w:val="left"/>
              <w:rPr>
                <w:rFonts w:cs="Arial"/>
                <w:sz w:val="22"/>
                <w:szCs w:val="22"/>
              </w:rPr>
            </w:pPr>
            <w:r>
              <w:rPr>
                <w:rFonts w:cs="Arial"/>
                <w:sz w:val="22"/>
                <w:szCs w:val="22"/>
              </w:rPr>
              <w:t>Žádný</w:t>
            </w:r>
          </w:p>
        </w:tc>
      </w:tr>
      <w:tr w:rsidR="0012139C" w14:paraId="0E05AD1D" w14:textId="77777777" w:rsidTr="005A1247">
        <w:tc>
          <w:tcPr>
            <w:tcW w:w="1984" w:type="dxa"/>
            <w:tcBorders>
              <w:top w:val="single" w:sz="4" w:space="0" w:color="auto"/>
              <w:left w:val="single" w:sz="12" w:space="0" w:color="auto"/>
              <w:bottom w:val="single" w:sz="4" w:space="0" w:color="auto"/>
              <w:right w:val="single" w:sz="12" w:space="0" w:color="auto"/>
            </w:tcBorders>
            <w:vAlign w:val="center"/>
            <w:hideMark/>
          </w:tcPr>
          <w:p w14:paraId="07F89DBF" w14:textId="77777777" w:rsidR="0012139C" w:rsidRDefault="0012139C" w:rsidP="005A1247">
            <w:pPr>
              <w:pStyle w:val="Normln10"/>
              <w:spacing w:before="0" w:line="240" w:lineRule="auto"/>
              <w:jc w:val="left"/>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hideMark/>
          </w:tcPr>
          <w:p w14:paraId="67C86633" w14:textId="77777777" w:rsidR="0012139C" w:rsidRDefault="0012139C" w:rsidP="005A1247">
            <w:pPr>
              <w:pStyle w:val="Normln10"/>
              <w:spacing w:before="0" w:line="240" w:lineRule="auto"/>
              <w:rPr>
                <w:rFonts w:cs="Arial"/>
                <w:sz w:val="22"/>
                <w:szCs w:val="22"/>
              </w:rPr>
            </w:pPr>
            <w:r>
              <w:rPr>
                <w:rFonts w:cs="Arial"/>
                <w:sz w:val="22"/>
                <w:szCs w:val="22"/>
              </w:rPr>
              <w:t>MPO</w:t>
            </w:r>
          </w:p>
        </w:tc>
      </w:tr>
      <w:tr w:rsidR="0012139C" w14:paraId="2CB1520C" w14:textId="77777777" w:rsidTr="005A1247">
        <w:tc>
          <w:tcPr>
            <w:tcW w:w="1984" w:type="dxa"/>
            <w:tcBorders>
              <w:top w:val="single" w:sz="4" w:space="0" w:color="auto"/>
              <w:left w:val="single" w:sz="12" w:space="0" w:color="auto"/>
              <w:bottom w:val="single" w:sz="8" w:space="0" w:color="auto"/>
              <w:right w:val="single" w:sz="12" w:space="0" w:color="auto"/>
            </w:tcBorders>
            <w:vAlign w:val="center"/>
            <w:hideMark/>
          </w:tcPr>
          <w:p w14:paraId="0ACEEB4F" w14:textId="77777777" w:rsidR="0012139C" w:rsidRDefault="0012139C" w:rsidP="005A1247">
            <w:pPr>
              <w:pStyle w:val="Normln10"/>
              <w:spacing w:before="0" w:line="240" w:lineRule="auto"/>
              <w:jc w:val="left"/>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8" w:space="0" w:color="auto"/>
              <w:right w:val="single" w:sz="12" w:space="0" w:color="auto"/>
            </w:tcBorders>
            <w:hideMark/>
          </w:tcPr>
          <w:p w14:paraId="3F25EAE6" w14:textId="3BE5DF34" w:rsidR="0012139C" w:rsidRDefault="0012139C" w:rsidP="005A1247">
            <w:pPr>
              <w:pStyle w:val="Normln10"/>
              <w:spacing w:before="0" w:line="240" w:lineRule="auto"/>
              <w:rPr>
                <w:rFonts w:cs="Arial"/>
                <w:sz w:val="22"/>
                <w:szCs w:val="22"/>
              </w:rPr>
            </w:pPr>
            <w:r>
              <w:rPr>
                <w:rFonts w:cs="Arial"/>
                <w:sz w:val="22"/>
                <w:szCs w:val="22"/>
              </w:rPr>
              <w:t>Komora OZE, CZ BIOM, CAFT, Cech MVE, MŽP, Energetické a</w:t>
            </w:r>
            <w:r w:rsidR="005A1247">
              <w:rPr>
                <w:rFonts w:cs="Arial"/>
                <w:sz w:val="22"/>
                <w:szCs w:val="22"/>
              </w:rPr>
              <w:t> </w:t>
            </w:r>
            <w:r>
              <w:rPr>
                <w:rFonts w:cs="Arial"/>
                <w:sz w:val="22"/>
                <w:szCs w:val="22"/>
              </w:rPr>
              <w:t>distribuční společnosti</w:t>
            </w:r>
          </w:p>
        </w:tc>
      </w:tr>
      <w:tr w:rsidR="0012139C" w14:paraId="44EC9A33" w14:textId="77777777" w:rsidTr="005A1247">
        <w:tc>
          <w:tcPr>
            <w:tcW w:w="1984" w:type="dxa"/>
            <w:tcBorders>
              <w:top w:val="single" w:sz="8" w:space="0" w:color="auto"/>
              <w:left w:val="single" w:sz="12" w:space="0" w:color="auto"/>
              <w:bottom w:val="single" w:sz="12" w:space="0" w:color="auto"/>
              <w:right w:val="single" w:sz="12" w:space="0" w:color="auto"/>
            </w:tcBorders>
            <w:vAlign w:val="center"/>
            <w:hideMark/>
          </w:tcPr>
          <w:p w14:paraId="29A55DB1" w14:textId="77777777" w:rsidR="0012139C" w:rsidRDefault="0012139C" w:rsidP="005A1247">
            <w:pPr>
              <w:pStyle w:val="Normln10"/>
              <w:spacing w:before="0" w:line="240" w:lineRule="auto"/>
              <w:jc w:val="left"/>
              <w:rPr>
                <w:rFonts w:cs="Arial"/>
                <w:sz w:val="22"/>
                <w:szCs w:val="22"/>
              </w:rPr>
            </w:pPr>
            <w:r>
              <w:rPr>
                <w:rFonts w:cs="Arial"/>
                <w:sz w:val="22"/>
                <w:szCs w:val="22"/>
              </w:rPr>
              <w:t>Termín</w:t>
            </w:r>
          </w:p>
        </w:tc>
        <w:tc>
          <w:tcPr>
            <w:tcW w:w="7087" w:type="dxa"/>
            <w:tcBorders>
              <w:top w:val="single" w:sz="8" w:space="0" w:color="auto"/>
              <w:left w:val="single" w:sz="12" w:space="0" w:color="auto"/>
              <w:bottom w:val="single" w:sz="12" w:space="0" w:color="auto"/>
              <w:right w:val="single" w:sz="12" w:space="0" w:color="auto"/>
            </w:tcBorders>
            <w:hideMark/>
          </w:tcPr>
          <w:p w14:paraId="48082624" w14:textId="77777777" w:rsidR="0012139C" w:rsidRDefault="0012139C" w:rsidP="005A1247">
            <w:pPr>
              <w:pStyle w:val="Normln10"/>
              <w:tabs>
                <w:tab w:val="left" w:pos="975"/>
              </w:tabs>
              <w:spacing w:before="0" w:line="240" w:lineRule="auto"/>
              <w:rPr>
                <w:rFonts w:cs="Arial"/>
                <w:sz w:val="22"/>
                <w:szCs w:val="22"/>
              </w:rPr>
            </w:pPr>
            <w:r>
              <w:rPr>
                <w:rFonts w:cs="Arial"/>
                <w:sz w:val="22"/>
                <w:szCs w:val="22"/>
              </w:rPr>
              <w:t>Zpracování ekonomické analýzy</w:t>
            </w:r>
            <w:r>
              <w:rPr>
                <w:rFonts w:cs="Arial"/>
                <w:sz w:val="22"/>
                <w:szCs w:val="22"/>
              </w:rPr>
              <w:tab/>
            </w:r>
            <w:r>
              <w:rPr>
                <w:rFonts w:cs="Arial"/>
                <w:sz w:val="22"/>
                <w:szCs w:val="22"/>
              </w:rPr>
              <w:tab/>
              <w:t>10/2019 – 3/2020</w:t>
            </w:r>
          </w:p>
          <w:p w14:paraId="7BAC20EB" w14:textId="77777777" w:rsidR="0012139C" w:rsidRDefault="0012139C" w:rsidP="005A1247">
            <w:pPr>
              <w:pStyle w:val="Normln10"/>
              <w:tabs>
                <w:tab w:val="left" w:pos="975"/>
              </w:tabs>
              <w:spacing w:before="0" w:line="240" w:lineRule="auto"/>
              <w:rPr>
                <w:rFonts w:cs="Arial"/>
                <w:sz w:val="22"/>
                <w:szCs w:val="22"/>
              </w:rPr>
            </w:pPr>
            <w:r>
              <w:rPr>
                <w:rFonts w:cs="Arial"/>
                <w:sz w:val="22"/>
                <w:szCs w:val="22"/>
              </w:rPr>
              <w:t>Zpracování studie identifikující potenciál</w:t>
            </w:r>
            <w:r>
              <w:rPr>
                <w:rFonts w:cs="Arial"/>
                <w:sz w:val="22"/>
                <w:szCs w:val="22"/>
              </w:rPr>
              <w:tab/>
              <w:t>4/2020 – 9/2020</w:t>
            </w:r>
          </w:p>
          <w:p w14:paraId="1577E284" w14:textId="77777777" w:rsidR="0012139C" w:rsidRDefault="0012139C" w:rsidP="005A1247">
            <w:pPr>
              <w:pStyle w:val="Normln10"/>
              <w:tabs>
                <w:tab w:val="left" w:pos="975"/>
              </w:tabs>
              <w:spacing w:before="0" w:line="240" w:lineRule="auto"/>
              <w:rPr>
                <w:rFonts w:cs="Arial"/>
                <w:sz w:val="22"/>
                <w:szCs w:val="22"/>
              </w:rPr>
            </w:pPr>
            <w:r>
              <w:rPr>
                <w:rFonts w:cs="Arial"/>
                <w:sz w:val="22"/>
                <w:szCs w:val="22"/>
              </w:rPr>
              <w:t>Zpracování studie legislativních bariér</w:t>
            </w:r>
            <w:r>
              <w:rPr>
                <w:rFonts w:cs="Arial"/>
                <w:sz w:val="22"/>
                <w:szCs w:val="22"/>
              </w:rPr>
              <w:tab/>
              <w:t>10/2020 – 3/2021</w:t>
            </w:r>
          </w:p>
          <w:p w14:paraId="3339A145" w14:textId="77777777" w:rsidR="0012139C" w:rsidRDefault="0012139C" w:rsidP="005A1247">
            <w:pPr>
              <w:pStyle w:val="Normln10"/>
              <w:tabs>
                <w:tab w:val="left" w:pos="975"/>
              </w:tabs>
              <w:spacing w:before="0" w:line="240" w:lineRule="auto"/>
              <w:rPr>
                <w:rFonts w:cs="Arial"/>
                <w:sz w:val="22"/>
                <w:szCs w:val="22"/>
              </w:rPr>
            </w:pPr>
            <w:r>
              <w:rPr>
                <w:rFonts w:cs="Arial"/>
                <w:sz w:val="22"/>
                <w:szCs w:val="22"/>
              </w:rPr>
              <w:t>Zpracování komplexního návrhu opatření</w:t>
            </w:r>
            <w:r>
              <w:rPr>
                <w:rFonts w:cs="Arial"/>
                <w:sz w:val="22"/>
                <w:szCs w:val="22"/>
              </w:rPr>
              <w:tab/>
              <w:t>4/2021 – 9/2021</w:t>
            </w:r>
          </w:p>
        </w:tc>
      </w:tr>
    </w:tbl>
    <w:p w14:paraId="4DE3EC0F" w14:textId="1FA3E82B" w:rsidR="0012139C" w:rsidRDefault="0012139C" w:rsidP="009A3B7E">
      <w:pPr>
        <w:pStyle w:val="Nadpis3"/>
        <w:jc w:val="both"/>
      </w:pPr>
      <w:r>
        <w:lastRenderedPageBreak/>
        <w:t xml:space="preserve"> E13 </w:t>
      </w:r>
      <w:r w:rsidRPr="006C7843">
        <w:t>Investiční podpora neveřejných dobíjecích stanic u</w:t>
      </w:r>
      <w:r w:rsidR="005A1247">
        <w:t> </w:t>
      </w:r>
      <w:r w:rsidRPr="006C7843">
        <w:t>nepodnikajících subjektů (domácnosti, bytové domy)</w:t>
      </w:r>
    </w:p>
    <w:bookmarkEnd w:id="104"/>
    <w:p w14:paraId="585EE614" w14:textId="65E45D40" w:rsidR="001530C0" w:rsidRDefault="001530C0" w:rsidP="0012139C">
      <w:pPr>
        <w:pStyle w:val="Nadpis3"/>
        <w:numPr>
          <w:ilvl w:val="0"/>
          <w:numId w:val="0"/>
        </w:numPr>
        <w:ind w:left="284"/>
        <w:jc w:val="both"/>
      </w:pP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1530C0" w14:paraId="581114B1"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4BAD7291" w14:textId="3DFD0168" w:rsidR="001530C0" w:rsidRDefault="0012139C" w:rsidP="005A1247">
            <w:pPr>
              <w:spacing w:before="60" w:after="60"/>
              <w:jc w:val="both"/>
              <w:rPr>
                <w:rFonts w:cs="Arial"/>
                <w:b/>
                <w:color w:val="FFFFFF" w:themeColor="background1"/>
              </w:rPr>
            </w:pPr>
            <w:r>
              <w:rPr>
                <w:rFonts w:cs="Arial"/>
                <w:b/>
                <w:color w:val="FFFFFF" w:themeColor="background1"/>
              </w:rPr>
              <w:t>E13</w:t>
            </w:r>
            <w:r w:rsidR="001530C0" w:rsidRPr="00B11B19">
              <w:rPr>
                <w:rFonts w:cs="Arial"/>
                <w:b/>
                <w:color w:val="FFFFFF" w:themeColor="background1"/>
              </w:rPr>
              <w:t xml:space="preserve"> Investiční</w:t>
            </w:r>
            <w:r w:rsidR="001530C0">
              <w:rPr>
                <w:rFonts w:cs="Arial"/>
                <w:b/>
                <w:color w:val="FFFFFF" w:themeColor="background1"/>
              </w:rPr>
              <w:t xml:space="preserve"> podpora neveřejných dobíjecích stanic u</w:t>
            </w:r>
            <w:r w:rsidR="005A1247">
              <w:rPr>
                <w:rFonts w:cs="Arial"/>
                <w:b/>
                <w:color w:val="FFFFFF" w:themeColor="background1"/>
              </w:rPr>
              <w:t> </w:t>
            </w:r>
            <w:r w:rsidR="001530C0">
              <w:rPr>
                <w:rFonts w:cs="Arial"/>
                <w:b/>
                <w:color w:val="FFFFFF" w:themeColor="background1"/>
              </w:rPr>
              <w:t>nepodnikajících subjektů (domácnosti, bytové domy)</w:t>
            </w:r>
          </w:p>
        </w:tc>
      </w:tr>
      <w:tr w:rsidR="00821755" w14:paraId="1C621033" w14:textId="77777777" w:rsidTr="00B502A0">
        <w:tc>
          <w:tcPr>
            <w:tcW w:w="1984" w:type="dxa"/>
            <w:tcBorders>
              <w:top w:val="single" w:sz="12" w:space="0" w:color="auto"/>
              <w:left w:val="single" w:sz="12" w:space="0" w:color="auto"/>
              <w:bottom w:val="single" w:sz="4" w:space="0" w:color="auto"/>
              <w:right w:val="single" w:sz="12" w:space="0" w:color="auto"/>
            </w:tcBorders>
            <w:hideMark/>
          </w:tcPr>
          <w:p w14:paraId="2253B959" w14:textId="77777777" w:rsidR="001530C0" w:rsidRDefault="001530C0" w:rsidP="009A3B7E">
            <w:pPr>
              <w:pStyle w:val="Normln10"/>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00FA4628" w14:textId="77777777" w:rsidR="001530C0" w:rsidRDefault="001530C0" w:rsidP="009A3B7E">
            <w:pPr>
              <w:pStyle w:val="Normln10"/>
              <w:spacing w:line="240" w:lineRule="auto"/>
              <w:rPr>
                <w:rFonts w:cs="Arial"/>
                <w:sz w:val="22"/>
                <w:szCs w:val="22"/>
              </w:rPr>
            </w:pPr>
            <w:r>
              <w:rPr>
                <w:rFonts w:cs="Arial"/>
                <w:sz w:val="22"/>
                <w:szCs w:val="22"/>
              </w:rPr>
              <w:t>Rozvoj infrastruktury dobíjecích stanic</w:t>
            </w:r>
            <w:r w:rsidR="00E957C2">
              <w:rPr>
                <w:rFonts w:cs="Arial"/>
                <w:sz w:val="22"/>
                <w:szCs w:val="22"/>
              </w:rPr>
              <w:t xml:space="preserve"> (kap. 2.4.2.)</w:t>
            </w:r>
          </w:p>
        </w:tc>
      </w:tr>
      <w:tr w:rsidR="00821755" w14:paraId="50928D0A"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791439AF" w14:textId="77777777" w:rsidR="001530C0" w:rsidRDefault="001530C0" w:rsidP="009A3B7E">
            <w:pPr>
              <w:pStyle w:val="Normln10"/>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17F5ED05" w14:textId="1C0D7C5E" w:rsidR="001530C0" w:rsidRDefault="001530C0" w:rsidP="005A1247">
            <w:pPr>
              <w:pStyle w:val="Normln10"/>
              <w:spacing w:line="240" w:lineRule="auto"/>
              <w:rPr>
                <w:rFonts w:cs="Arial"/>
                <w:sz w:val="22"/>
                <w:szCs w:val="22"/>
              </w:rPr>
            </w:pPr>
            <w:r>
              <w:rPr>
                <w:rFonts w:cs="Arial"/>
                <w:sz w:val="22"/>
                <w:szCs w:val="22"/>
              </w:rPr>
              <w:t>Cílem opatření je doplnit stávající programy/případně nové programy o</w:t>
            </w:r>
            <w:r w:rsidR="005A1247">
              <w:rPr>
                <w:rFonts w:cs="Arial"/>
                <w:sz w:val="22"/>
                <w:szCs w:val="22"/>
              </w:rPr>
              <w:t> </w:t>
            </w:r>
            <w:r>
              <w:rPr>
                <w:rFonts w:cs="Arial"/>
                <w:sz w:val="22"/>
                <w:szCs w:val="22"/>
              </w:rPr>
              <w:t>podporu výstavby neveřejné dobíjecí infrastruktury (zejména v</w:t>
            </w:r>
            <w:r w:rsidR="005A1247">
              <w:rPr>
                <w:rFonts w:cs="Arial"/>
                <w:sz w:val="22"/>
                <w:szCs w:val="22"/>
              </w:rPr>
              <w:t> </w:t>
            </w:r>
            <w:r>
              <w:rPr>
                <w:rFonts w:cs="Arial"/>
                <w:sz w:val="22"/>
                <w:szCs w:val="22"/>
              </w:rPr>
              <w:t xml:space="preserve">bytových jednotkách). </w:t>
            </w:r>
          </w:p>
        </w:tc>
      </w:tr>
      <w:tr w:rsidR="00821755" w14:paraId="4E078781"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2139A9A0" w14:textId="77777777" w:rsidR="001530C0" w:rsidRDefault="001530C0" w:rsidP="009A3B7E">
            <w:pPr>
              <w:pStyle w:val="Normln10"/>
              <w:rPr>
                <w:rFonts w:cs="Arial"/>
                <w:sz w:val="22"/>
                <w:szCs w:val="22"/>
              </w:rPr>
            </w:pPr>
            <w:r>
              <w:rPr>
                <w:rFonts w:cs="Arial"/>
                <w:sz w:val="22"/>
                <w:szCs w:val="22"/>
              </w:rPr>
              <w:t>Popis opatření</w:t>
            </w:r>
            <w:r>
              <w:rPr>
                <w:rFonts w:cs="Arial"/>
                <w:sz w:val="22"/>
                <w:szCs w:val="22"/>
              </w:rPr>
              <w:tab/>
            </w:r>
          </w:p>
        </w:tc>
        <w:tc>
          <w:tcPr>
            <w:tcW w:w="7087" w:type="dxa"/>
            <w:tcBorders>
              <w:top w:val="single" w:sz="4" w:space="0" w:color="auto"/>
              <w:left w:val="single" w:sz="12" w:space="0" w:color="auto"/>
              <w:bottom w:val="single" w:sz="4" w:space="0" w:color="auto"/>
              <w:right w:val="single" w:sz="12" w:space="0" w:color="auto"/>
            </w:tcBorders>
            <w:hideMark/>
          </w:tcPr>
          <w:p w14:paraId="3C2D35AB" w14:textId="21BC49E1" w:rsidR="001530C0" w:rsidRDefault="001530C0" w:rsidP="009A3B7E">
            <w:pPr>
              <w:pStyle w:val="Normln10"/>
              <w:spacing w:line="240" w:lineRule="auto"/>
              <w:rPr>
                <w:rFonts w:cs="Arial"/>
                <w:sz w:val="22"/>
                <w:szCs w:val="22"/>
              </w:rPr>
            </w:pPr>
            <w:r>
              <w:rPr>
                <w:rFonts w:cs="Arial"/>
                <w:sz w:val="22"/>
                <w:szCs w:val="22"/>
              </w:rPr>
              <w:t>Očekávaný rozvoj elektromobility v</w:t>
            </w:r>
            <w:r w:rsidR="005A1247">
              <w:rPr>
                <w:rFonts w:cs="Arial"/>
                <w:sz w:val="22"/>
                <w:szCs w:val="22"/>
              </w:rPr>
              <w:t> </w:t>
            </w:r>
            <w:r>
              <w:rPr>
                <w:rFonts w:cs="Arial"/>
                <w:sz w:val="22"/>
                <w:szCs w:val="22"/>
              </w:rPr>
              <w:t>rozsahu 2</w:t>
            </w:r>
            <w:r w:rsidR="00056999">
              <w:rPr>
                <w:rFonts w:cs="Arial"/>
                <w:sz w:val="22"/>
                <w:szCs w:val="22"/>
              </w:rPr>
              <w:t>2</w:t>
            </w:r>
            <w:r>
              <w:rPr>
                <w:rFonts w:cs="Arial"/>
                <w:sz w:val="22"/>
                <w:szCs w:val="22"/>
              </w:rPr>
              <w:t>0-500 tisíc elektromobilů k</w:t>
            </w:r>
            <w:r w:rsidR="005A1247">
              <w:rPr>
                <w:rFonts w:cs="Arial"/>
                <w:sz w:val="22"/>
                <w:szCs w:val="22"/>
              </w:rPr>
              <w:t> </w:t>
            </w:r>
            <w:r>
              <w:rPr>
                <w:rFonts w:cs="Arial"/>
                <w:sz w:val="22"/>
                <w:szCs w:val="22"/>
              </w:rPr>
              <w:t>roku 2030 vyvolá potřebu zajištění dostatečného počtu nejen veřejných dobíjecích stanic, ale zejména neveřejných dobíjecích bodů. Dobíjení v</w:t>
            </w:r>
            <w:r w:rsidR="005A1247">
              <w:rPr>
                <w:rFonts w:cs="Arial"/>
                <w:sz w:val="22"/>
                <w:szCs w:val="22"/>
              </w:rPr>
              <w:t> </w:t>
            </w:r>
            <w:r>
              <w:rPr>
                <w:rFonts w:cs="Arial"/>
                <w:sz w:val="22"/>
                <w:szCs w:val="22"/>
              </w:rPr>
              <w:t>domácnostech a</w:t>
            </w:r>
            <w:r w:rsidR="005A1247">
              <w:rPr>
                <w:rFonts w:cs="Arial"/>
                <w:sz w:val="22"/>
                <w:szCs w:val="22"/>
              </w:rPr>
              <w:t> </w:t>
            </w:r>
            <w:r>
              <w:rPr>
                <w:rFonts w:cs="Arial"/>
                <w:sz w:val="22"/>
                <w:szCs w:val="22"/>
              </w:rPr>
              <w:t>bytových domech přitom bude uspokojovat podstatnou část poptávky po dobíjení.</w:t>
            </w:r>
          </w:p>
          <w:p w14:paraId="2D70B318" w14:textId="0043E4AE" w:rsidR="001530C0" w:rsidRDefault="001530C0" w:rsidP="009A3B7E">
            <w:pPr>
              <w:pStyle w:val="Normln10"/>
              <w:spacing w:line="240" w:lineRule="auto"/>
              <w:rPr>
                <w:rFonts w:cs="Arial"/>
                <w:sz w:val="22"/>
                <w:szCs w:val="22"/>
              </w:rPr>
            </w:pPr>
            <w:r>
              <w:rPr>
                <w:rFonts w:cs="Arial"/>
                <w:sz w:val="22"/>
                <w:szCs w:val="22"/>
              </w:rPr>
              <w:t>V případě bytových domů je existence podpory důležitá i</w:t>
            </w:r>
            <w:r w:rsidR="005A1247">
              <w:rPr>
                <w:rFonts w:cs="Arial"/>
                <w:sz w:val="22"/>
                <w:szCs w:val="22"/>
              </w:rPr>
              <w:t> </w:t>
            </w:r>
            <w:r>
              <w:rPr>
                <w:rFonts w:cs="Arial"/>
                <w:sz w:val="22"/>
                <w:szCs w:val="22"/>
              </w:rPr>
              <w:t>v</w:t>
            </w:r>
            <w:r w:rsidR="000F2439">
              <w:rPr>
                <w:rFonts w:cs="Arial"/>
                <w:sz w:val="22"/>
                <w:szCs w:val="22"/>
              </w:rPr>
              <w:t> </w:t>
            </w:r>
            <w:r>
              <w:rPr>
                <w:rFonts w:cs="Arial"/>
                <w:sz w:val="22"/>
                <w:szCs w:val="22"/>
              </w:rPr>
              <w:t>kontextu schválené legislativy EU týkající se energetické účinnosti budov (povinnost zajistit přípravu pro instalaci dobíjecích stanic). Instalace v</w:t>
            </w:r>
            <w:r w:rsidR="005A1247">
              <w:rPr>
                <w:rFonts w:cs="Arial"/>
                <w:sz w:val="22"/>
                <w:szCs w:val="22"/>
              </w:rPr>
              <w:t> </w:t>
            </w:r>
            <w:r>
              <w:rPr>
                <w:rFonts w:cs="Arial"/>
                <w:sz w:val="22"/>
                <w:szCs w:val="22"/>
              </w:rPr>
              <w:t>bytových domech je komplikována rozhodovacími procesy vyžadujícími souhlas vlastníků/nájemníků.</w:t>
            </w:r>
          </w:p>
          <w:p w14:paraId="57936E9E" w14:textId="1DCA84F4" w:rsidR="001530C0" w:rsidRDefault="001530C0" w:rsidP="005A1247">
            <w:pPr>
              <w:pStyle w:val="Normln10"/>
              <w:spacing w:line="240" w:lineRule="auto"/>
              <w:rPr>
                <w:rFonts w:cs="Arial"/>
                <w:sz w:val="22"/>
                <w:szCs w:val="22"/>
              </w:rPr>
            </w:pPr>
            <w:r>
              <w:rPr>
                <w:rFonts w:cs="Arial"/>
                <w:sz w:val="22"/>
                <w:szCs w:val="22"/>
              </w:rPr>
              <w:t>V případě segmentu domácností a</w:t>
            </w:r>
            <w:r w:rsidR="005A1247">
              <w:rPr>
                <w:rFonts w:cs="Arial"/>
                <w:sz w:val="22"/>
                <w:szCs w:val="22"/>
              </w:rPr>
              <w:t> </w:t>
            </w:r>
            <w:r>
              <w:rPr>
                <w:rFonts w:cs="Arial"/>
                <w:sz w:val="22"/>
                <w:szCs w:val="22"/>
              </w:rPr>
              <w:t>bytových domů navíc dává smysl kombinovat technologii pro elektromobilitu s</w:t>
            </w:r>
            <w:r w:rsidR="005A1247">
              <w:rPr>
                <w:rFonts w:cs="Arial"/>
                <w:sz w:val="22"/>
                <w:szCs w:val="22"/>
              </w:rPr>
              <w:t> </w:t>
            </w:r>
            <w:r>
              <w:rPr>
                <w:rFonts w:cs="Arial"/>
                <w:sz w:val="22"/>
                <w:szCs w:val="22"/>
              </w:rPr>
              <w:t>OZE (FVE) a</w:t>
            </w:r>
            <w:r w:rsidR="005A1247">
              <w:rPr>
                <w:rFonts w:cs="Arial"/>
                <w:sz w:val="22"/>
                <w:szCs w:val="22"/>
              </w:rPr>
              <w:t> </w:t>
            </w:r>
            <w:r>
              <w:rPr>
                <w:rFonts w:cs="Arial"/>
                <w:sz w:val="22"/>
                <w:szCs w:val="22"/>
              </w:rPr>
              <w:t>akumulací energie, v</w:t>
            </w:r>
            <w:r w:rsidR="005A1247">
              <w:rPr>
                <w:rFonts w:cs="Arial"/>
                <w:sz w:val="22"/>
                <w:szCs w:val="22"/>
              </w:rPr>
              <w:t> </w:t>
            </w:r>
            <w:r>
              <w:rPr>
                <w:rFonts w:cs="Arial"/>
                <w:sz w:val="22"/>
                <w:szCs w:val="22"/>
              </w:rPr>
              <w:t>případě bytových domů by navíc kombinace podpory mohla iniciovat větší zájem o</w:t>
            </w:r>
            <w:r w:rsidR="005A1247">
              <w:rPr>
                <w:rFonts w:cs="Arial"/>
                <w:sz w:val="22"/>
                <w:szCs w:val="22"/>
              </w:rPr>
              <w:t> </w:t>
            </w:r>
            <w:r>
              <w:rPr>
                <w:rFonts w:cs="Arial"/>
                <w:sz w:val="22"/>
                <w:szCs w:val="22"/>
              </w:rPr>
              <w:t xml:space="preserve">instalace FVE na bytových domech, kde se skrývá značný potenciál, který zatím není využit. </w:t>
            </w:r>
          </w:p>
        </w:tc>
      </w:tr>
      <w:tr w:rsidR="00821755" w14:paraId="0F484193"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11E62D1E" w14:textId="77777777" w:rsidR="001530C0" w:rsidRDefault="001530C0" w:rsidP="009A3B7E">
            <w:pPr>
              <w:pStyle w:val="Normln10"/>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tcPr>
          <w:p w14:paraId="465D95CA" w14:textId="3DE14898" w:rsidR="001530C0" w:rsidRDefault="00860EAF" w:rsidP="005A1247">
            <w:pPr>
              <w:pStyle w:val="Normln10"/>
              <w:spacing w:line="240" w:lineRule="auto"/>
              <w:rPr>
                <w:rFonts w:cs="Arial"/>
                <w:sz w:val="22"/>
                <w:szCs w:val="22"/>
              </w:rPr>
            </w:pPr>
            <w:r>
              <w:rPr>
                <w:rFonts w:cs="Arial"/>
                <w:sz w:val="22"/>
                <w:szCs w:val="22"/>
              </w:rPr>
              <w:t>Lze využít finanční prostředky z</w:t>
            </w:r>
            <w:r w:rsidR="005A1247">
              <w:rPr>
                <w:rFonts w:cs="Arial"/>
                <w:sz w:val="22"/>
                <w:szCs w:val="22"/>
              </w:rPr>
              <w:t> </w:t>
            </w:r>
            <w:r>
              <w:rPr>
                <w:rFonts w:cs="Arial"/>
                <w:sz w:val="22"/>
                <w:szCs w:val="22"/>
              </w:rPr>
              <w:t>programu NZÚ na renovace stávajících budov a</w:t>
            </w:r>
            <w:r w:rsidR="005A1247">
              <w:rPr>
                <w:rFonts w:cs="Arial"/>
                <w:sz w:val="22"/>
                <w:szCs w:val="22"/>
              </w:rPr>
              <w:t> </w:t>
            </w:r>
            <w:r>
              <w:rPr>
                <w:rFonts w:cs="Arial"/>
                <w:sz w:val="22"/>
                <w:szCs w:val="22"/>
              </w:rPr>
              <w:t>nových budov s</w:t>
            </w:r>
            <w:r w:rsidR="005A1247">
              <w:rPr>
                <w:rFonts w:cs="Arial"/>
                <w:sz w:val="22"/>
                <w:szCs w:val="22"/>
              </w:rPr>
              <w:t> </w:t>
            </w:r>
            <w:r>
              <w:rPr>
                <w:rFonts w:cs="Arial"/>
                <w:sz w:val="22"/>
                <w:szCs w:val="22"/>
              </w:rPr>
              <w:t>velmi nízkou energetickou náročností.</w:t>
            </w:r>
          </w:p>
        </w:tc>
      </w:tr>
      <w:tr w:rsidR="00821755" w14:paraId="6B1BA85C"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62085A0D" w14:textId="77777777" w:rsidR="001530C0" w:rsidRDefault="001530C0" w:rsidP="009A3B7E">
            <w:pPr>
              <w:pStyle w:val="Normln10"/>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hideMark/>
          </w:tcPr>
          <w:p w14:paraId="757380A8" w14:textId="53C6EADC" w:rsidR="001530C0" w:rsidRDefault="001530C0" w:rsidP="009A3B7E">
            <w:pPr>
              <w:pStyle w:val="Normln10"/>
              <w:spacing w:line="240" w:lineRule="auto"/>
              <w:rPr>
                <w:rFonts w:cs="Arial"/>
                <w:sz w:val="22"/>
                <w:szCs w:val="22"/>
              </w:rPr>
            </w:pPr>
            <w:r>
              <w:rPr>
                <w:rFonts w:cs="Arial"/>
                <w:sz w:val="22"/>
                <w:szCs w:val="22"/>
              </w:rPr>
              <w:t>MŽP</w:t>
            </w:r>
          </w:p>
        </w:tc>
      </w:tr>
      <w:tr w:rsidR="00821755" w14:paraId="2BB1D43F"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1F16D107" w14:textId="77777777" w:rsidR="001530C0" w:rsidRDefault="001530C0" w:rsidP="009A3B7E">
            <w:pPr>
              <w:pStyle w:val="Normln10"/>
              <w:rPr>
                <w:rFonts w:cs="Arial"/>
                <w:sz w:val="22"/>
                <w:szCs w:val="22"/>
              </w:rPr>
            </w:pPr>
            <w:r>
              <w:rPr>
                <w:rFonts w:cs="Arial"/>
                <w:sz w:val="22"/>
                <w:szCs w:val="22"/>
              </w:rPr>
              <w:t>Spolupráce</w:t>
            </w:r>
          </w:p>
        </w:tc>
        <w:tc>
          <w:tcPr>
            <w:tcW w:w="7087" w:type="dxa"/>
            <w:tcBorders>
              <w:top w:val="single" w:sz="8" w:space="0" w:color="auto"/>
              <w:left w:val="single" w:sz="12" w:space="0" w:color="auto"/>
              <w:bottom w:val="single" w:sz="4" w:space="0" w:color="auto"/>
              <w:right w:val="single" w:sz="12" w:space="0" w:color="auto"/>
            </w:tcBorders>
            <w:hideMark/>
          </w:tcPr>
          <w:p w14:paraId="495DB9E8" w14:textId="4B3F4552" w:rsidR="001530C0" w:rsidRDefault="00860EAF" w:rsidP="009A3B7E">
            <w:pPr>
              <w:pStyle w:val="Normln10"/>
              <w:spacing w:line="240" w:lineRule="auto"/>
              <w:rPr>
                <w:rFonts w:cs="Arial"/>
                <w:sz w:val="22"/>
                <w:szCs w:val="22"/>
              </w:rPr>
            </w:pPr>
            <w:r>
              <w:rPr>
                <w:rFonts w:cs="Arial"/>
                <w:sz w:val="22"/>
                <w:szCs w:val="22"/>
              </w:rPr>
              <w:t xml:space="preserve">MMR, </w:t>
            </w:r>
            <w:r w:rsidR="001530C0">
              <w:rPr>
                <w:rFonts w:cs="Arial"/>
                <w:sz w:val="22"/>
                <w:szCs w:val="22"/>
              </w:rPr>
              <w:t>MPO, Energetické společnosti, distribuční společnosti</w:t>
            </w:r>
          </w:p>
        </w:tc>
      </w:tr>
      <w:tr w:rsidR="00821755" w14:paraId="459C463F" w14:textId="77777777" w:rsidTr="00B502A0">
        <w:tc>
          <w:tcPr>
            <w:tcW w:w="1984" w:type="dxa"/>
            <w:tcBorders>
              <w:top w:val="single" w:sz="4" w:space="0" w:color="auto"/>
              <w:left w:val="single" w:sz="12" w:space="0" w:color="auto"/>
              <w:bottom w:val="single" w:sz="12" w:space="0" w:color="auto"/>
              <w:right w:val="single" w:sz="12" w:space="0" w:color="auto"/>
            </w:tcBorders>
            <w:hideMark/>
          </w:tcPr>
          <w:p w14:paraId="60283BFE" w14:textId="77777777" w:rsidR="001530C0" w:rsidRDefault="001530C0" w:rsidP="009A3B7E">
            <w:pPr>
              <w:pStyle w:val="Normln10"/>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02926794" w14:textId="77777777" w:rsidR="001530C0" w:rsidRDefault="001530C0" w:rsidP="009A3B7E">
            <w:pPr>
              <w:pStyle w:val="Normln10"/>
              <w:spacing w:line="240" w:lineRule="auto"/>
              <w:rPr>
                <w:rFonts w:cs="Arial"/>
                <w:sz w:val="22"/>
                <w:szCs w:val="22"/>
              </w:rPr>
            </w:pPr>
            <w:r>
              <w:rPr>
                <w:rFonts w:cs="Arial"/>
                <w:sz w:val="22"/>
                <w:szCs w:val="22"/>
              </w:rPr>
              <w:t>2023</w:t>
            </w:r>
          </w:p>
        </w:tc>
      </w:tr>
    </w:tbl>
    <w:p w14:paraId="173FC28C" w14:textId="77777777" w:rsidR="001530C0" w:rsidRDefault="001530C0" w:rsidP="009A3B7E">
      <w:pPr>
        <w:jc w:val="both"/>
      </w:pPr>
    </w:p>
    <w:p w14:paraId="04172F4F" w14:textId="77777777" w:rsidR="001530C0" w:rsidRDefault="001530C0" w:rsidP="009A3B7E">
      <w:pPr>
        <w:spacing w:before="0" w:after="0"/>
        <w:jc w:val="both"/>
      </w:pPr>
      <w:r>
        <w:br w:type="page"/>
      </w:r>
    </w:p>
    <w:p w14:paraId="087E90E4" w14:textId="41A7624B" w:rsidR="001530C0" w:rsidRDefault="001530C0" w:rsidP="00D005FA">
      <w:pPr>
        <w:pStyle w:val="Nadpis3"/>
        <w:spacing w:before="120" w:after="0"/>
        <w:jc w:val="both"/>
      </w:pPr>
      <w:bookmarkStart w:id="105" w:name="_Toc21589171"/>
      <w:r>
        <w:lastRenderedPageBreak/>
        <w:t>E1</w:t>
      </w:r>
      <w:r w:rsidR="0012139C">
        <w:t>4</w:t>
      </w:r>
      <w:r>
        <w:t xml:space="preserve"> </w:t>
      </w:r>
      <w:r w:rsidRPr="00543F74">
        <w:t>Bezpečnost hromadného garážování za přítomnosti elektromobilů</w:t>
      </w:r>
      <w:bookmarkEnd w:id="105"/>
    </w:p>
    <w:tbl>
      <w:tblPr>
        <w:tblpPr w:leftFromText="142" w:rightFromText="142" w:vertAnchor="text" w:horzAnchor="margin" w:tblpX="-299" w:tblpY="285"/>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5"/>
        <w:gridCol w:w="8221"/>
      </w:tblGrid>
      <w:tr w:rsidR="001530C0" w14:paraId="7BBF5822" w14:textId="77777777" w:rsidTr="00D005FA">
        <w:tc>
          <w:tcPr>
            <w:tcW w:w="9766"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7A892E3A" w14:textId="44E38073" w:rsidR="001530C0" w:rsidRPr="005E60DF" w:rsidRDefault="001530C0" w:rsidP="0054385A">
            <w:pPr>
              <w:spacing w:before="0" w:after="0"/>
              <w:jc w:val="both"/>
              <w:rPr>
                <w:rFonts w:cs="Arial"/>
                <w:b/>
                <w:color w:val="FFFFFF" w:themeColor="background1"/>
              </w:rPr>
            </w:pPr>
            <w:r>
              <w:rPr>
                <w:b/>
                <w:color w:val="FFFFFF" w:themeColor="background1"/>
              </w:rPr>
              <w:t>E1</w:t>
            </w:r>
            <w:r w:rsidR="0012139C">
              <w:rPr>
                <w:b/>
                <w:color w:val="FFFFFF" w:themeColor="background1"/>
              </w:rPr>
              <w:t>4</w:t>
            </w:r>
            <w:r>
              <w:rPr>
                <w:b/>
                <w:color w:val="FFFFFF" w:themeColor="background1"/>
              </w:rPr>
              <w:t xml:space="preserve"> </w:t>
            </w:r>
            <w:r w:rsidRPr="005E60DF">
              <w:rPr>
                <w:b/>
                <w:color w:val="FFFFFF" w:themeColor="background1"/>
              </w:rPr>
              <w:t>Bezpečnost hromadného garážování za přítomnosti elektromobilů</w:t>
            </w:r>
          </w:p>
        </w:tc>
      </w:tr>
      <w:tr w:rsidR="004512A7" w14:paraId="7C907245" w14:textId="77777777" w:rsidTr="00D005FA">
        <w:tc>
          <w:tcPr>
            <w:tcW w:w="1545" w:type="dxa"/>
            <w:tcBorders>
              <w:top w:val="single" w:sz="12" w:space="0" w:color="auto"/>
              <w:left w:val="single" w:sz="12" w:space="0" w:color="auto"/>
              <w:bottom w:val="single" w:sz="4" w:space="0" w:color="auto"/>
              <w:right w:val="single" w:sz="12" w:space="0" w:color="auto"/>
            </w:tcBorders>
            <w:hideMark/>
          </w:tcPr>
          <w:p w14:paraId="76A5144C" w14:textId="77777777" w:rsidR="001530C0" w:rsidRPr="00D005FA" w:rsidRDefault="001530C0" w:rsidP="00D005FA">
            <w:pPr>
              <w:pStyle w:val="Normln10"/>
              <w:rPr>
                <w:rFonts w:cs="Arial"/>
                <w:sz w:val="21"/>
                <w:szCs w:val="21"/>
              </w:rPr>
            </w:pPr>
            <w:r w:rsidRPr="00D005FA">
              <w:rPr>
                <w:rFonts w:cs="Arial"/>
                <w:sz w:val="21"/>
                <w:szCs w:val="21"/>
              </w:rPr>
              <w:t>Návaznost na strategický cíl</w:t>
            </w:r>
          </w:p>
        </w:tc>
        <w:tc>
          <w:tcPr>
            <w:tcW w:w="8221" w:type="dxa"/>
            <w:tcBorders>
              <w:top w:val="single" w:sz="12" w:space="0" w:color="auto"/>
              <w:left w:val="single" w:sz="12" w:space="0" w:color="auto"/>
              <w:bottom w:val="single" w:sz="4" w:space="0" w:color="auto"/>
              <w:right w:val="single" w:sz="12" w:space="0" w:color="auto"/>
            </w:tcBorders>
            <w:hideMark/>
          </w:tcPr>
          <w:p w14:paraId="3608A2DE" w14:textId="77777777" w:rsidR="001530C0" w:rsidRPr="00D005FA" w:rsidRDefault="001530C0" w:rsidP="00D005FA">
            <w:pPr>
              <w:spacing w:before="0" w:after="0"/>
              <w:rPr>
                <w:rFonts w:cs="Arial"/>
                <w:sz w:val="21"/>
                <w:szCs w:val="21"/>
              </w:rPr>
            </w:pPr>
            <w:r w:rsidRPr="00D005FA">
              <w:rPr>
                <w:rFonts w:cs="Arial"/>
                <w:sz w:val="21"/>
                <w:szCs w:val="21"/>
              </w:rPr>
              <w:t>Zajištění stabilního regulatorního rámce pro rozvoj elektromobility</w:t>
            </w:r>
            <w:r w:rsidR="00E957C2" w:rsidRPr="00D005FA">
              <w:rPr>
                <w:rFonts w:cs="Arial"/>
                <w:sz w:val="21"/>
                <w:szCs w:val="21"/>
              </w:rPr>
              <w:t xml:space="preserve"> (kap. 2.4.3.)</w:t>
            </w:r>
          </w:p>
          <w:p w14:paraId="045CF0D9" w14:textId="77777777" w:rsidR="001530C0" w:rsidRPr="00D005FA" w:rsidRDefault="001530C0" w:rsidP="00D005FA">
            <w:pPr>
              <w:pStyle w:val="Normln10"/>
              <w:spacing w:before="0" w:line="240" w:lineRule="auto"/>
              <w:jc w:val="left"/>
              <w:rPr>
                <w:sz w:val="21"/>
                <w:szCs w:val="21"/>
              </w:rPr>
            </w:pPr>
            <w:r w:rsidRPr="00D005FA">
              <w:rPr>
                <w:rFonts w:cs="Arial"/>
                <w:sz w:val="21"/>
                <w:szCs w:val="21"/>
              </w:rPr>
              <w:t>Rozvoj infrastruktury dobíjecích stanic</w:t>
            </w:r>
            <w:r w:rsidR="00E957C2" w:rsidRPr="00D005FA">
              <w:rPr>
                <w:rFonts w:cs="Arial"/>
                <w:sz w:val="21"/>
                <w:szCs w:val="21"/>
              </w:rPr>
              <w:t xml:space="preserve"> (kap. 2.4.2.)</w:t>
            </w:r>
          </w:p>
        </w:tc>
      </w:tr>
      <w:tr w:rsidR="004512A7" w14:paraId="7A4287FA" w14:textId="77777777" w:rsidTr="00D005FA">
        <w:tc>
          <w:tcPr>
            <w:tcW w:w="1545" w:type="dxa"/>
            <w:tcBorders>
              <w:top w:val="single" w:sz="4" w:space="0" w:color="auto"/>
              <w:left w:val="single" w:sz="12" w:space="0" w:color="auto"/>
              <w:bottom w:val="single" w:sz="4" w:space="0" w:color="auto"/>
              <w:right w:val="single" w:sz="12" w:space="0" w:color="auto"/>
            </w:tcBorders>
            <w:hideMark/>
          </w:tcPr>
          <w:p w14:paraId="4C7CBF2C" w14:textId="77777777" w:rsidR="001530C0" w:rsidRPr="00D005FA" w:rsidRDefault="001530C0" w:rsidP="00D005FA">
            <w:pPr>
              <w:pStyle w:val="Normln10"/>
              <w:rPr>
                <w:rFonts w:cs="Arial"/>
                <w:sz w:val="21"/>
                <w:szCs w:val="21"/>
              </w:rPr>
            </w:pPr>
            <w:r w:rsidRPr="00D005FA">
              <w:rPr>
                <w:rFonts w:cs="Arial"/>
                <w:sz w:val="21"/>
                <w:szCs w:val="21"/>
              </w:rPr>
              <w:t>Cíl opatření</w:t>
            </w:r>
          </w:p>
        </w:tc>
        <w:tc>
          <w:tcPr>
            <w:tcW w:w="8221" w:type="dxa"/>
            <w:tcBorders>
              <w:top w:val="single" w:sz="4" w:space="0" w:color="auto"/>
              <w:left w:val="single" w:sz="12" w:space="0" w:color="auto"/>
              <w:bottom w:val="single" w:sz="4" w:space="0" w:color="auto"/>
              <w:right w:val="single" w:sz="12" w:space="0" w:color="auto"/>
            </w:tcBorders>
          </w:tcPr>
          <w:p w14:paraId="68BEC96F" w14:textId="7E4B7C64" w:rsidR="001530C0" w:rsidRPr="00D005FA" w:rsidRDefault="001530C0" w:rsidP="005A1247">
            <w:pPr>
              <w:pStyle w:val="Normln10"/>
              <w:spacing w:before="0" w:line="240" w:lineRule="auto"/>
              <w:rPr>
                <w:rFonts w:cs="Arial"/>
                <w:sz w:val="21"/>
                <w:szCs w:val="21"/>
              </w:rPr>
            </w:pPr>
            <w:r w:rsidRPr="00D005FA">
              <w:rPr>
                <w:rFonts w:cs="Arial"/>
                <w:sz w:val="21"/>
                <w:szCs w:val="21"/>
              </w:rPr>
              <w:t>Záměrem je zajistit bezpečné dobíjení a</w:t>
            </w:r>
            <w:r w:rsidR="005A1247">
              <w:rPr>
                <w:rFonts w:cs="Arial"/>
                <w:sz w:val="21"/>
                <w:szCs w:val="21"/>
              </w:rPr>
              <w:t> </w:t>
            </w:r>
            <w:r w:rsidRPr="00D005FA">
              <w:rPr>
                <w:rFonts w:cs="Arial"/>
                <w:sz w:val="21"/>
                <w:szCs w:val="21"/>
              </w:rPr>
              <w:t>parkování vozidel s</w:t>
            </w:r>
            <w:r w:rsidR="005A1247">
              <w:rPr>
                <w:rFonts w:cs="Arial"/>
                <w:sz w:val="21"/>
                <w:szCs w:val="21"/>
              </w:rPr>
              <w:t> </w:t>
            </w:r>
            <w:r w:rsidRPr="00D005FA">
              <w:rPr>
                <w:rFonts w:cs="Arial"/>
                <w:sz w:val="21"/>
                <w:szCs w:val="21"/>
              </w:rPr>
              <w:t xml:space="preserve">trakčním bateriovým systémem ve vnitřních prostorech hromadných garáží, včetně automatických parkovacích domů apod. </w:t>
            </w:r>
          </w:p>
        </w:tc>
      </w:tr>
      <w:tr w:rsidR="004512A7" w14:paraId="158BFEA0" w14:textId="77777777" w:rsidTr="00D005FA">
        <w:tc>
          <w:tcPr>
            <w:tcW w:w="1545" w:type="dxa"/>
            <w:tcBorders>
              <w:top w:val="single" w:sz="4" w:space="0" w:color="auto"/>
              <w:left w:val="single" w:sz="12" w:space="0" w:color="auto"/>
              <w:bottom w:val="single" w:sz="4" w:space="0" w:color="auto"/>
              <w:right w:val="single" w:sz="12" w:space="0" w:color="auto"/>
            </w:tcBorders>
          </w:tcPr>
          <w:p w14:paraId="65678E29" w14:textId="77777777" w:rsidR="004512A7" w:rsidRPr="00D005FA" w:rsidRDefault="004512A7" w:rsidP="00D005FA">
            <w:pPr>
              <w:pStyle w:val="Normln10"/>
              <w:rPr>
                <w:rFonts w:cs="Arial"/>
                <w:sz w:val="21"/>
                <w:szCs w:val="21"/>
              </w:rPr>
            </w:pPr>
            <w:r w:rsidRPr="00D005FA">
              <w:rPr>
                <w:rFonts w:cs="Arial"/>
                <w:sz w:val="21"/>
                <w:szCs w:val="21"/>
              </w:rPr>
              <w:t>Popis opatření</w:t>
            </w:r>
          </w:p>
        </w:tc>
        <w:tc>
          <w:tcPr>
            <w:tcW w:w="8221" w:type="dxa"/>
            <w:tcBorders>
              <w:top w:val="single" w:sz="4" w:space="0" w:color="auto"/>
              <w:left w:val="single" w:sz="12" w:space="0" w:color="auto"/>
              <w:bottom w:val="single" w:sz="4" w:space="0" w:color="auto"/>
              <w:right w:val="single" w:sz="12" w:space="0" w:color="auto"/>
            </w:tcBorders>
          </w:tcPr>
          <w:p w14:paraId="50C59CFA" w14:textId="7089A7C7" w:rsidR="004512A7" w:rsidRPr="00D005FA" w:rsidRDefault="004512A7" w:rsidP="00D005FA">
            <w:pPr>
              <w:pStyle w:val="Normln10"/>
              <w:spacing w:before="0" w:line="240" w:lineRule="auto"/>
              <w:rPr>
                <w:rFonts w:cs="Arial"/>
                <w:sz w:val="21"/>
                <w:szCs w:val="21"/>
              </w:rPr>
            </w:pPr>
            <w:r w:rsidRPr="00D005FA">
              <w:rPr>
                <w:rFonts w:cs="Arial"/>
                <w:sz w:val="21"/>
                <w:szCs w:val="21"/>
              </w:rPr>
              <w:t>Se zvyšujícím se počtem vozidel s</w:t>
            </w:r>
            <w:r w:rsidR="005A1247">
              <w:rPr>
                <w:rFonts w:cs="Arial"/>
                <w:sz w:val="21"/>
                <w:szCs w:val="21"/>
              </w:rPr>
              <w:t> </w:t>
            </w:r>
            <w:r w:rsidRPr="00D005FA">
              <w:rPr>
                <w:rFonts w:cs="Arial"/>
                <w:sz w:val="21"/>
                <w:szCs w:val="21"/>
              </w:rPr>
              <w:t>pohonem na akumulovanou elektrickou energii na území ČR a</w:t>
            </w:r>
            <w:r w:rsidR="005A1247">
              <w:rPr>
                <w:rFonts w:cs="Arial"/>
                <w:sz w:val="21"/>
                <w:szCs w:val="21"/>
              </w:rPr>
              <w:t> </w:t>
            </w:r>
            <w:r w:rsidRPr="00D005FA">
              <w:rPr>
                <w:rFonts w:cs="Arial"/>
                <w:sz w:val="21"/>
                <w:szCs w:val="21"/>
              </w:rPr>
              <w:t>EU a</w:t>
            </w:r>
            <w:r w:rsidR="005A1247">
              <w:rPr>
                <w:rFonts w:cs="Arial"/>
                <w:sz w:val="21"/>
                <w:szCs w:val="21"/>
              </w:rPr>
              <w:t> </w:t>
            </w:r>
            <w:r w:rsidRPr="00D005FA">
              <w:rPr>
                <w:rFonts w:cs="Arial"/>
                <w:sz w:val="21"/>
                <w:szCs w:val="21"/>
              </w:rPr>
              <w:t>s ohledem na implementaci směrnice 2018/844/EU do podmínek ČR lze očekávat významnou potřebu budovat adekvátní množství související dobíjecí infrastruktury, která bude ve velké míře umisťována ve vnitřních prostorách hromadných garáží a</w:t>
            </w:r>
            <w:r w:rsidR="005A1247">
              <w:rPr>
                <w:rFonts w:cs="Arial"/>
                <w:sz w:val="21"/>
                <w:szCs w:val="21"/>
              </w:rPr>
              <w:t> </w:t>
            </w:r>
            <w:r w:rsidRPr="00D005FA">
              <w:rPr>
                <w:rFonts w:cs="Arial"/>
                <w:sz w:val="21"/>
                <w:szCs w:val="21"/>
              </w:rPr>
              <w:t>to jak v</w:t>
            </w:r>
            <w:r w:rsidR="005A1247">
              <w:rPr>
                <w:rFonts w:cs="Arial"/>
                <w:sz w:val="21"/>
                <w:szCs w:val="21"/>
              </w:rPr>
              <w:t> </w:t>
            </w:r>
            <w:r w:rsidRPr="00D005FA">
              <w:rPr>
                <w:rFonts w:cs="Arial"/>
                <w:sz w:val="21"/>
                <w:szCs w:val="21"/>
              </w:rPr>
              <w:t>podzemních, tak v</w:t>
            </w:r>
            <w:r w:rsidR="005A1247">
              <w:rPr>
                <w:rFonts w:cs="Arial"/>
                <w:sz w:val="21"/>
                <w:szCs w:val="21"/>
              </w:rPr>
              <w:t> </w:t>
            </w:r>
            <w:r w:rsidRPr="00D005FA">
              <w:rPr>
                <w:rFonts w:cs="Arial"/>
                <w:sz w:val="21"/>
                <w:szCs w:val="21"/>
              </w:rPr>
              <w:t>nadzemních podlažích.</w:t>
            </w:r>
          </w:p>
          <w:p w14:paraId="4823F3BE" w14:textId="59B59DDA" w:rsidR="004512A7" w:rsidRPr="00D005FA" w:rsidRDefault="004512A7" w:rsidP="00D005FA">
            <w:pPr>
              <w:pStyle w:val="Normln10"/>
              <w:spacing w:before="0" w:line="240" w:lineRule="auto"/>
              <w:rPr>
                <w:rFonts w:cs="Arial"/>
                <w:sz w:val="21"/>
                <w:szCs w:val="21"/>
              </w:rPr>
            </w:pPr>
            <w:r w:rsidRPr="00D005FA">
              <w:rPr>
                <w:rFonts w:cs="Arial"/>
                <w:sz w:val="21"/>
                <w:szCs w:val="21"/>
              </w:rPr>
              <w:t>Výše uvedený očekávaný vývoj se týká nejen nové výstavby, ale i</w:t>
            </w:r>
            <w:r w:rsidR="005A1247">
              <w:rPr>
                <w:rFonts w:cs="Arial"/>
                <w:sz w:val="21"/>
                <w:szCs w:val="21"/>
              </w:rPr>
              <w:t> </w:t>
            </w:r>
            <w:r w:rsidRPr="00D005FA">
              <w:rPr>
                <w:rFonts w:cs="Arial"/>
                <w:sz w:val="21"/>
                <w:szCs w:val="21"/>
              </w:rPr>
              <w:t>případných rozsáhlých rekonstrukcí stávajících garáží. Ve vztahu k</w:t>
            </w:r>
            <w:r w:rsidR="005A1247">
              <w:rPr>
                <w:rFonts w:cs="Arial"/>
                <w:sz w:val="21"/>
                <w:szCs w:val="21"/>
              </w:rPr>
              <w:t> </w:t>
            </w:r>
            <w:r w:rsidRPr="00D005FA">
              <w:rPr>
                <w:rFonts w:cs="Arial"/>
                <w:sz w:val="21"/>
                <w:szCs w:val="21"/>
              </w:rPr>
              <w:t>výstavbě a</w:t>
            </w:r>
            <w:r w:rsidR="005A1247">
              <w:rPr>
                <w:rFonts w:cs="Arial"/>
                <w:sz w:val="21"/>
                <w:szCs w:val="21"/>
              </w:rPr>
              <w:t> </w:t>
            </w:r>
            <w:r w:rsidRPr="00D005FA">
              <w:rPr>
                <w:rFonts w:cs="Arial"/>
                <w:sz w:val="21"/>
                <w:szCs w:val="21"/>
              </w:rPr>
              <w:t>provozu hromadných garáží však zcela absentuje předpisová základna, a</w:t>
            </w:r>
            <w:r w:rsidR="005A1247">
              <w:rPr>
                <w:rFonts w:cs="Arial"/>
                <w:sz w:val="21"/>
                <w:szCs w:val="21"/>
              </w:rPr>
              <w:t> </w:t>
            </w:r>
            <w:r w:rsidRPr="00D005FA">
              <w:rPr>
                <w:rFonts w:cs="Arial"/>
                <w:sz w:val="21"/>
                <w:szCs w:val="21"/>
              </w:rPr>
              <w:t>to v</w:t>
            </w:r>
            <w:r w:rsidR="005A1247">
              <w:rPr>
                <w:rFonts w:cs="Arial"/>
                <w:sz w:val="21"/>
                <w:szCs w:val="21"/>
              </w:rPr>
              <w:t> </w:t>
            </w:r>
            <w:r w:rsidRPr="00D005FA">
              <w:rPr>
                <w:rFonts w:cs="Arial"/>
                <w:sz w:val="21"/>
                <w:szCs w:val="21"/>
              </w:rPr>
              <w:t>rovině právních předpisů i</w:t>
            </w:r>
            <w:r w:rsidR="005A1247">
              <w:rPr>
                <w:rFonts w:cs="Arial"/>
                <w:sz w:val="21"/>
                <w:szCs w:val="21"/>
              </w:rPr>
              <w:t> </w:t>
            </w:r>
            <w:r w:rsidRPr="00D005FA">
              <w:rPr>
                <w:rFonts w:cs="Arial"/>
                <w:sz w:val="21"/>
                <w:szCs w:val="21"/>
              </w:rPr>
              <w:t>technických norem.</w:t>
            </w:r>
          </w:p>
          <w:p w14:paraId="264AA075" w14:textId="445ABF3B" w:rsidR="004512A7" w:rsidRPr="00D005FA" w:rsidRDefault="004512A7" w:rsidP="00D005FA">
            <w:pPr>
              <w:pStyle w:val="Normln10"/>
              <w:spacing w:before="0" w:line="240" w:lineRule="auto"/>
              <w:rPr>
                <w:rFonts w:cs="Arial"/>
                <w:sz w:val="21"/>
                <w:szCs w:val="21"/>
              </w:rPr>
            </w:pPr>
            <w:r w:rsidRPr="00D005FA">
              <w:rPr>
                <w:rFonts w:cs="Arial"/>
                <w:sz w:val="21"/>
                <w:szCs w:val="21"/>
              </w:rPr>
              <w:t>Je proto nezbytné stanovit adekvátní bezpečnostní opatření pro zajištění bezpečného provozu těchto garáží a</w:t>
            </w:r>
            <w:r w:rsidR="005A1247">
              <w:rPr>
                <w:rFonts w:cs="Arial"/>
                <w:sz w:val="21"/>
                <w:szCs w:val="21"/>
              </w:rPr>
              <w:t> </w:t>
            </w:r>
            <w:r w:rsidRPr="00D005FA">
              <w:rPr>
                <w:rFonts w:cs="Arial"/>
                <w:sz w:val="21"/>
                <w:szCs w:val="21"/>
              </w:rPr>
              <w:t>případné provedení bezpečných hasebních a</w:t>
            </w:r>
            <w:r w:rsidR="005A1247">
              <w:rPr>
                <w:rFonts w:cs="Arial"/>
                <w:sz w:val="21"/>
                <w:szCs w:val="21"/>
              </w:rPr>
              <w:t> </w:t>
            </w:r>
            <w:r w:rsidRPr="00D005FA">
              <w:rPr>
                <w:rFonts w:cs="Arial"/>
                <w:sz w:val="21"/>
                <w:szCs w:val="21"/>
              </w:rPr>
              <w:t xml:space="preserve">záchranných prací jednotkami požární ochrany. </w:t>
            </w:r>
          </w:p>
          <w:p w14:paraId="17FA7994" w14:textId="18578CB8" w:rsidR="004512A7" w:rsidRPr="00D005FA" w:rsidRDefault="004512A7" w:rsidP="00D005FA">
            <w:pPr>
              <w:pStyle w:val="Normln10"/>
              <w:spacing w:before="0" w:line="240" w:lineRule="auto"/>
              <w:rPr>
                <w:rFonts w:cs="Arial"/>
                <w:sz w:val="21"/>
                <w:szCs w:val="21"/>
              </w:rPr>
            </w:pPr>
            <w:r w:rsidRPr="00D005FA">
              <w:rPr>
                <w:rFonts w:cs="Arial"/>
                <w:sz w:val="21"/>
                <w:szCs w:val="21"/>
              </w:rPr>
              <w:t>V daném případě se jedná především o</w:t>
            </w:r>
            <w:r w:rsidR="005A1247">
              <w:rPr>
                <w:rFonts w:cs="Arial"/>
                <w:sz w:val="21"/>
                <w:szCs w:val="21"/>
              </w:rPr>
              <w:t> </w:t>
            </w:r>
            <w:r w:rsidR="0065516A">
              <w:rPr>
                <w:rFonts w:cs="Arial"/>
                <w:sz w:val="21"/>
                <w:szCs w:val="21"/>
              </w:rPr>
              <w:t>prevenci</w:t>
            </w:r>
            <w:r w:rsidRPr="00D005FA">
              <w:rPr>
                <w:rFonts w:cs="Arial"/>
                <w:sz w:val="21"/>
                <w:szCs w:val="21"/>
              </w:rPr>
              <w:t>i rizik plynoucích ze společného garážování vozidel s</w:t>
            </w:r>
            <w:r w:rsidR="005A1247">
              <w:rPr>
                <w:rFonts w:cs="Arial"/>
                <w:sz w:val="21"/>
                <w:szCs w:val="21"/>
              </w:rPr>
              <w:t> </w:t>
            </w:r>
            <w:r w:rsidRPr="00D005FA">
              <w:rPr>
                <w:rFonts w:cs="Arial"/>
                <w:sz w:val="21"/>
                <w:szCs w:val="21"/>
              </w:rPr>
              <w:t>trakčním bateriovým systémem, dalších vozidel využívajících alternativní paliva a</w:t>
            </w:r>
            <w:r w:rsidR="005A1247">
              <w:rPr>
                <w:rFonts w:cs="Arial"/>
                <w:sz w:val="21"/>
                <w:szCs w:val="21"/>
              </w:rPr>
              <w:t> </w:t>
            </w:r>
            <w:r w:rsidRPr="00D005FA">
              <w:rPr>
                <w:rFonts w:cs="Arial"/>
                <w:sz w:val="21"/>
                <w:szCs w:val="21"/>
              </w:rPr>
              <w:t xml:space="preserve">vozidel využívajících paliva konvenční. </w:t>
            </w:r>
          </w:p>
          <w:p w14:paraId="7F16EAC5" w14:textId="03B362BF" w:rsidR="004512A7" w:rsidRPr="00D005FA" w:rsidRDefault="004512A7" w:rsidP="00D005FA">
            <w:pPr>
              <w:pStyle w:val="Normln10"/>
              <w:spacing w:before="0" w:line="240" w:lineRule="auto"/>
              <w:rPr>
                <w:rFonts w:cs="Arial"/>
                <w:sz w:val="21"/>
                <w:szCs w:val="21"/>
              </w:rPr>
            </w:pPr>
            <w:r w:rsidRPr="00D005FA">
              <w:rPr>
                <w:rFonts w:cs="Arial"/>
                <w:sz w:val="21"/>
                <w:szCs w:val="21"/>
              </w:rPr>
              <w:t>Pro dosažení společensky přijatelné úrovně bezpečnostních rizik rezultujících z</w:t>
            </w:r>
            <w:r w:rsidR="005A1247">
              <w:rPr>
                <w:rFonts w:cs="Arial"/>
                <w:sz w:val="21"/>
                <w:szCs w:val="21"/>
              </w:rPr>
              <w:t> </w:t>
            </w:r>
            <w:r w:rsidRPr="00D005FA">
              <w:rPr>
                <w:rFonts w:cs="Arial"/>
                <w:sz w:val="21"/>
                <w:szCs w:val="21"/>
              </w:rPr>
              <w:t>hromadného garážování vozidel za přítomnosti vozidel s</w:t>
            </w:r>
            <w:r w:rsidR="005A1247">
              <w:rPr>
                <w:rFonts w:cs="Arial"/>
                <w:sz w:val="21"/>
                <w:szCs w:val="21"/>
              </w:rPr>
              <w:t> </w:t>
            </w:r>
            <w:r w:rsidRPr="00D005FA">
              <w:rPr>
                <w:rFonts w:cs="Arial"/>
                <w:sz w:val="21"/>
                <w:szCs w:val="21"/>
              </w:rPr>
              <w:t>trakčním bateriovým systémem by měla být učiněna alespoň následující opatření:</w:t>
            </w:r>
          </w:p>
          <w:p w14:paraId="2D3976C3" w14:textId="172B28E9" w:rsidR="004512A7" w:rsidRPr="00D005FA" w:rsidRDefault="004512A7" w:rsidP="00D005FA">
            <w:pPr>
              <w:pStyle w:val="Bullet1"/>
              <w:tabs>
                <w:tab w:val="clear" w:pos="567"/>
                <w:tab w:val="num" w:pos="303"/>
              </w:tabs>
              <w:spacing w:before="0" w:after="0"/>
              <w:ind w:left="303" w:hanging="283"/>
              <w:jc w:val="both"/>
              <w:rPr>
                <w:sz w:val="21"/>
                <w:szCs w:val="21"/>
              </w:rPr>
            </w:pPr>
            <w:r w:rsidRPr="00D005FA">
              <w:rPr>
                <w:sz w:val="21"/>
                <w:szCs w:val="21"/>
              </w:rPr>
              <w:t>velkorozměrový test, na základě kterého bude možné určit tepelné projevy a</w:t>
            </w:r>
            <w:r w:rsidR="005A1247">
              <w:rPr>
                <w:sz w:val="21"/>
                <w:szCs w:val="21"/>
              </w:rPr>
              <w:t> </w:t>
            </w:r>
            <w:r w:rsidRPr="00D005FA">
              <w:rPr>
                <w:sz w:val="21"/>
                <w:szCs w:val="21"/>
              </w:rPr>
              <w:t>další rozhodné parametry požáru vozidel s</w:t>
            </w:r>
            <w:r w:rsidR="005A1247">
              <w:rPr>
                <w:sz w:val="21"/>
                <w:szCs w:val="21"/>
              </w:rPr>
              <w:t> </w:t>
            </w:r>
            <w:r w:rsidRPr="00D005FA">
              <w:rPr>
                <w:sz w:val="21"/>
                <w:szCs w:val="21"/>
              </w:rPr>
              <w:t>trakčním bateriovým systémem v</w:t>
            </w:r>
            <w:r w:rsidR="005A1247">
              <w:rPr>
                <w:sz w:val="21"/>
                <w:szCs w:val="21"/>
              </w:rPr>
              <w:t> </w:t>
            </w:r>
            <w:r w:rsidRPr="00D005FA">
              <w:rPr>
                <w:sz w:val="21"/>
                <w:szCs w:val="21"/>
              </w:rPr>
              <w:t>hromadné garáži (brát v</w:t>
            </w:r>
            <w:r w:rsidR="005A1247">
              <w:rPr>
                <w:sz w:val="21"/>
                <w:szCs w:val="21"/>
              </w:rPr>
              <w:t> </w:t>
            </w:r>
            <w:r w:rsidRPr="00D005FA">
              <w:rPr>
                <w:sz w:val="21"/>
                <w:szCs w:val="21"/>
              </w:rPr>
              <w:t>úvahu možnou synergii mezi vozidly s</w:t>
            </w:r>
            <w:r w:rsidR="005A1247">
              <w:rPr>
                <w:sz w:val="21"/>
                <w:szCs w:val="21"/>
              </w:rPr>
              <w:t> </w:t>
            </w:r>
            <w:r w:rsidRPr="00D005FA">
              <w:rPr>
                <w:sz w:val="21"/>
                <w:szCs w:val="21"/>
              </w:rPr>
              <w:t>různými alternativními pohony - např. CNG, LPG, H</w:t>
            </w:r>
            <w:r w:rsidRPr="00D005FA">
              <w:rPr>
                <w:sz w:val="21"/>
                <w:szCs w:val="21"/>
                <w:vertAlign w:val="subscript"/>
              </w:rPr>
              <w:t>2</w:t>
            </w:r>
            <w:r w:rsidRPr="00D005FA">
              <w:rPr>
                <w:sz w:val="21"/>
                <w:szCs w:val="21"/>
              </w:rPr>
              <w:t>, LNG, hybridní pohon - tato vozidla jsou umísťována ve stejných prostorách garáží, přičemž není ověřeno, co nastane v</w:t>
            </w:r>
            <w:r w:rsidR="005A1247">
              <w:rPr>
                <w:sz w:val="21"/>
                <w:szCs w:val="21"/>
              </w:rPr>
              <w:t> </w:t>
            </w:r>
            <w:r w:rsidRPr="00D005FA">
              <w:rPr>
                <w:sz w:val="21"/>
                <w:szCs w:val="21"/>
              </w:rPr>
              <w:t xml:space="preserve">případě vzniku požáru); </w:t>
            </w:r>
          </w:p>
          <w:p w14:paraId="108DDF99" w14:textId="77777777" w:rsidR="004512A7" w:rsidRPr="00D005FA" w:rsidRDefault="004512A7" w:rsidP="00D005FA">
            <w:pPr>
              <w:pStyle w:val="Bullet1"/>
              <w:tabs>
                <w:tab w:val="clear" w:pos="567"/>
                <w:tab w:val="num" w:pos="303"/>
              </w:tabs>
              <w:spacing w:before="0" w:after="0"/>
              <w:ind w:left="303" w:hanging="283"/>
              <w:jc w:val="both"/>
              <w:rPr>
                <w:sz w:val="21"/>
                <w:szCs w:val="21"/>
              </w:rPr>
            </w:pPr>
            <w:r w:rsidRPr="00D005FA">
              <w:rPr>
                <w:sz w:val="21"/>
                <w:szCs w:val="21"/>
              </w:rPr>
              <w:t>stanovení minimálního rozsahu nutnosti instalace požárně bezpečnostních zařízení;</w:t>
            </w:r>
          </w:p>
          <w:p w14:paraId="2DC7B25F" w14:textId="70FA536A" w:rsidR="004512A7" w:rsidRPr="00D005FA" w:rsidRDefault="004512A7" w:rsidP="00D005FA">
            <w:pPr>
              <w:pStyle w:val="Bullet1"/>
              <w:tabs>
                <w:tab w:val="clear" w:pos="567"/>
                <w:tab w:val="num" w:pos="303"/>
              </w:tabs>
              <w:spacing w:before="0" w:after="0"/>
              <w:ind w:left="303" w:hanging="283"/>
              <w:jc w:val="both"/>
              <w:rPr>
                <w:sz w:val="21"/>
                <w:szCs w:val="21"/>
              </w:rPr>
            </w:pPr>
            <w:r w:rsidRPr="00D005FA">
              <w:rPr>
                <w:sz w:val="21"/>
                <w:szCs w:val="21"/>
              </w:rPr>
              <w:t>definování podmínek provozního, havarijního a</w:t>
            </w:r>
            <w:r w:rsidR="005A1247">
              <w:rPr>
                <w:sz w:val="21"/>
                <w:szCs w:val="21"/>
              </w:rPr>
              <w:t> </w:t>
            </w:r>
            <w:r w:rsidRPr="00D005FA">
              <w:rPr>
                <w:sz w:val="21"/>
                <w:szCs w:val="21"/>
              </w:rPr>
              <w:t>požárního odvětrávání;</w:t>
            </w:r>
          </w:p>
          <w:p w14:paraId="6112AC6B" w14:textId="3C7AC87B" w:rsidR="004512A7" w:rsidRPr="00D005FA" w:rsidRDefault="004512A7" w:rsidP="00D005FA">
            <w:pPr>
              <w:pStyle w:val="Bullet1"/>
              <w:tabs>
                <w:tab w:val="clear" w:pos="567"/>
                <w:tab w:val="num" w:pos="303"/>
              </w:tabs>
              <w:spacing w:before="0" w:after="0"/>
              <w:ind w:left="303" w:hanging="283"/>
              <w:rPr>
                <w:rFonts w:cs="Arial"/>
                <w:sz w:val="21"/>
                <w:szCs w:val="21"/>
              </w:rPr>
            </w:pPr>
            <w:r w:rsidRPr="00D005FA">
              <w:rPr>
                <w:sz w:val="21"/>
                <w:szCs w:val="21"/>
              </w:rPr>
              <w:t>stanovení minimálního obsahu a</w:t>
            </w:r>
            <w:r w:rsidR="005A1247">
              <w:rPr>
                <w:sz w:val="21"/>
                <w:szCs w:val="21"/>
              </w:rPr>
              <w:t> </w:t>
            </w:r>
            <w:r w:rsidRPr="00D005FA">
              <w:rPr>
                <w:sz w:val="21"/>
                <w:szCs w:val="21"/>
              </w:rPr>
              <w:t>rozsahu podmínek požární bezpečnosti v</w:t>
            </w:r>
            <w:r w:rsidR="005A1247">
              <w:rPr>
                <w:sz w:val="21"/>
                <w:szCs w:val="21"/>
              </w:rPr>
              <w:t> </w:t>
            </w:r>
            <w:r w:rsidRPr="00D005FA">
              <w:rPr>
                <w:sz w:val="21"/>
                <w:szCs w:val="21"/>
              </w:rPr>
              <w:t>požárně bezpečnostním řešení či obdobném dokumentu, který řeší podmínky požární bezpečnosti staveb</w:t>
            </w:r>
          </w:p>
          <w:p w14:paraId="246D70C5" w14:textId="5570DAE5" w:rsidR="004512A7" w:rsidRPr="00D005FA" w:rsidRDefault="004512A7" w:rsidP="005A1247">
            <w:pPr>
              <w:jc w:val="both"/>
              <w:rPr>
                <w:sz w:val="21"/>
                <w:szCs w:val="21"/>
              </w:rPr>
            </w:pPr>
            <w:r w:rsidRPr="00D005FA">
              <w:rPr>
                <w:rFonts w:cs="Arial"/>
                <w:sz w:val="21"/>
                <w:szCs w:val="21"/>
              </w:rPr>
              <w:t>S ohledem na absenci tuzemských i</w:t>
            </w:r>
            <w:r w:rsidR="005A1247">
              <w:rPr>
                <w:rFonts w:cs="Arial"/>
                <w:sz w:val="21"/>
                <w:szCs w:val="21"/>
              </w:rPr>
              <w:t> </w:t>
            </w:r>
            <w:r w:rsidRPr="00D005FA">
              <w:rPr>
                <w:rFonts w:cs="Arial"/>
                <w:sz w:val="21"/>
                <w:szCs w:val="21"/>
              </w:rPr>
              <w:t>zahraničních metodik a</w:t>
            </w:r>
            <w:r w:rsidR="005A1247">
              <w:rPr>
                <w:rFonts w:cs="Arial"/>
                <w:sz w:val="21"/>
                <w:szCs w:val="21"/>
              </w:rPr>
              <w:t> </w:t>
            </w:r>
            <w:r w:rsidRPr="00D005FA">
              <w:rPr>
                <w:rFonts w:cs="Arial"/>
                <w:sz w:val="21"/>
                <w:szCs w:val="21"/>
              </w:rPr>
              <w:t>standardů bezprostředně aplikovatelných v</w:t>
            </w:r>
            <w:r w:rsidR="005A1247">
              <w:rPr>
                <w:rFonts w:cs="Arial"/>
                <w:sz w:val="21"/>
                <w:szCs w:val="21"/>
              </w:rPr>
              <w:t> </w:t>
            </w:r>
            <w:r w:rsidRPr="00D005FA">
              <w:rPr>
                <w:rFonts w:cs="Arial"/>
                <w:sz w:val="21"/>
                <w:szCs w:val="21"/>
              </w:rPr>
              <w:t>podmínkách ČR budou výše uvedená minimální doporučení saturována z</w:t>
            </w:r>
            <w:r w:rsidR="005A1247">
              <w:rPr>
                <w:rFonts w:cs="Arial"/>
                <w:sz w:val="21"/>
                <w:szCs w:val="21"/>
              </w:rPr>
              <w:t> </w:t>
            </w:r>
            <w:r w:rsidRPr="00D005FA">
              <w:rPr>
                <w:rFonts w:cs="Arial"/>
                <w:sz w:val="21"/>
                <w:szCs w:val="21"/>
              </w:rPr>
              <w:t>programů podpory VVI a</w:t>
            </w:r>
            <w:r w:rsidR="005A1247">
              <w:rPr>
                <w:rFonts w:cs="Arial"/>
                <w:sz w:val="21"/>
                <w:szCs w:val="21"/>
              </w:rPr>
              <w:t> </w:t>
            </w:r>
            <w:r w:rsidR="00D005FA">
              <w:rPr>
                <w:rFonts w:cs="Arial"/>
                <w:sz w:val="21"/>
                <w:szCs w:val="21"/>
              </w:rPr>
              <w:t>získané poznatky</w:t>
            </w:r>
            <w:r w:rsidRPr="00D005FA">
              <w:rPr>
                <w:rFonts w:cs="Arial"/>
                <w:sz w:val="21"/>
                <w:szCs w:val="21"/>
              </w:rPr>
              <w:t xml:space="preserve"> implementovány do odpovídajících právních předpisů a</w:t>
            </w:r>
            <w:r w:rsidR="005A1247">
              <w:rPr>
                <w:rFonts w:cs="Arial"/>
                <w:sz w:val="21"/>
                <w:szCs w:val="21"/>
              </w:rPr>
              <w:t> </w:t>
            </w:r>
            <w:r w:rsidRPr="00D005FA">
              <w:rPr>
                <w:rFonts w:cs="Arial"/>
                <w:sz w:val="21"/>
                <w:szCs w:val="21"/>
              </w:rPr>
              <w:t>technických norem.</w:t>
            </w:r>
          </w:p>
        </w:tc>
      </w:tr>
      <w:tr w:rsidR="004512A7" w14:paraId="5DE49B36" w14:textId="77777777" w:rsidTr="00D005FA">
        <w:tc>
          <w:tcPr>
            <w:tcW w:w="1545" w:type="dxa"/>
            <w:tcBorders>
              <w:top w:val="single" w:sz="4" w:space="0" w:color="auto"/>
              <w:left w:val="single" w:sz="12" w:space="0" w:color="auto"/>
              <w:bottom w:val="single" w:sz="4" w:space="0" w:color="auto"/>
              <w:right w:val="single" w:sz="12" w:space="0" w:color="auto"/>
            </w:tcBorders>
            <w:hideMark/>
          </w:tcPr>
          <w:p w14:paraId="36B3F76C" w14:textId="0C3355A4" w:rsidR="001530C0" w:rsidRPr="00D005FA" w:rsidRDefault="001530C0" w:rsidP="005A1247">
            <w:pPr>
              <w:pStyle w:val="Normln10"/>
              <w:rPr>
                <w:rFonts w:cs="Arial"/>
                <w:sz w:val="21"/>
                <w:szCs w:val="21"/>
              </w:rPr>
            </w:pPr>
            <w:r w:rsidRPr="00D005FA">
              <w:rPr>
                <w:rFonts w:cs="Arial"/>
                <w:sz w:val="21"/>
                <w:szCs w:val="21"/>
              </w:rPr>
              <w:t>Příklad z</w:t>
            </w:r>
            <w:r w:rsidR="005A1247">
              <w:rPr>
                <w:rFonts w:cs="Arial"/>
                <w:sz w:val="21"/>
                <w:szCs w:val="21"/>
              </w:rPr>
              <w:t> </w:t>
            </w:r>
            <w:r w:rsidRPr="00D005FA">
              <w:rPr>
                <w:rFonts w:cs="Arial"/>
                <w:sz w:val="21"/>
                <w:szCs w:val="21"/>
              </w:rPr>
              <w:t>praxe</w:t>
            </w:r>
          </w:p>
        </w:tc>
        <w:tc>
          <w:tcPr>
            <w:tcW w:w="8221" w:type="dxa"/>
            <w:tcBorders>
              <w:top w:val="single" w:sz="4" w:space="0" w:color="auto"/>
              <w:left w:val="single" w:sz="12" w:space="0" w:color="auto"/>
              <w:bottom w:val="single" w:sz="4" w:space="0" w:color="auto"/>
              <w:right w:val="single" w:sz="12" w:space="0" w:color="auto"/>
            </w:tcBorders>
          </w:tcPr>
          <w:p w14:paraId="3127C606" w14:textId="5A191ABB" w:rsidR="001530C0" w:rsidRPr="00D005FA" w:rsidRDefault="001530C0" w:rsidP="005A1247">
            <w:pPr>
              <w:spacing w:before="0" w:after="0"/>
              <w:jc w:val="both"/>
              <w:rPr>
                <w:sz w:val="21"/>
                <w:szCs w:val="21"/>
              </w:rPr>
            </w:pPr>
            <w:r w:rsidRPr="00D005FA">
              <w:rPr>
                <w:rFonts w:cs="Arial"/>
                <w:sz w:val="21"/>
                <w:szCs w:val="21"/>
              </w:rPr>
              <w:t xml:space="preserve">Požár MHD MSK – </w:t>
            </w:r>
            <w:r w:rsidRPr="00D005FA">
              <w:rPr>
                <w:sz w:val="21"/>
                <w:szCs w:val="21"/>
              </w:rPr>
              <w:t>poškození dvanácti autobusů parkujících v</w:t>
            </w:r>
            <w:r w:rsidR="005A1247">
              <w:rPr>
                <w:sz w:val="21"/>
                <w:szCs w:val="21"/>
              </w:rPr>
              <w:t> </w:t>
            </w:r>
            <w:r w:rsidRPr="00D005FA">
              <w:rPr>
                <w:sz w:val="21"/>
                <w:szCs w:val="21"/>
              </w:rPr>
              <w:t xml:space="preserve">garážích na Hranečníku, Dopravní podnik Ostrava. Požár vznikl při </w:t>
            </w:r>
            <w:r w:rsidR="00146884" w:rsidRPr="00D005FA">
              <w:rPr>
                <w:sz w:val="21"/>
                <w:szCs w:val="21"/>
              </w:rPr>
              <w:t>do</w:t>
            </w:r>
            <w:r w:rsidRPr="00D005FA">
              <w:rPr>
                <w:sz w:val="21"/>
                <w:szCs w:val="21"/>
              </w:rPr>
              <w:t>bíjení autobusu s</w:t>
            </w:r>
            <w:r w:rsidR="005A1247">
              <w:rPr>
                <w:sz w:val="21"/>
                <w:szCs w:val="21"/>
              </w:rPr>
              <w:t> </w:t>
            </w:r>
            <w:r w:rsidRPr="00D005FA">
              <w:rPr>
                <w:sz w:val="21"/>
                <w:szCs w:val="21"/>
              </w:rPr>
              <w:t xml:space="preserve">elektrickým pohonem (15. 6. 2019). </w:t>
            </w:r>
          </w:p>
        </w:tc>
      </w:tr>
      <w:tr w:rsidR="004512A7" w14:paraId="41E4E6CE" w14:textId="77777777" w:rsidTr="00D005FA">
        <w:tc>
          <w:tcPr>
            <w:tcW w:w="1545" w:type="dxa"/>
            <w:tcBorders>
              <w:top w:val="single" w:sz="4" w:space="0" w:color="auto"/>
              <w:left w:val="single" w:sz="12" w:space="0" w:color="auto"/>
              <w:bottom w:val="single" w:sz="4" w:space="0" w:color="auto"/>
              <w:right w:val="single" w:sz="12" w:space="0" w:color="auto"/>
            </w:tcBorders>
            <w:hideMark/>
          </w:tcPr>
          <w:p w14:paraId="262347F3" w14:textId="77777777" w:rsidR="001530C0" w:rsidRPr="0054385A" w:rsidRDefault="001530C0" w:rsidP="00D005FA">
            <w:pPr>
              <w:pStyle w:val="Normln10"/>
              <w:spacing w:before="0" w:line="240" w:lineRule="auto"/>
              <w:rPr>
                <w:rFonts w:cs="Arial"/>
              </w:rPr>
            </w:pPr>
            <w:r w:rsidRPr="0054385A">
              <w:rPr>
                <w:rFonts w:cs="Arial"/>
              </w:rPr>
              <w:t>Rozpočtový dopad / financování</w:t>
            </w:r>
          </w:p>
        </w:tc>
        <w:tc>
          <w:tcPr>
            <w:tcW w:w="8221" w:type="dxa"/>
            <w:tcBorders>
              <w:top w:val="single" w:sz="4" w:space="0" w:color="auto"/>
              <w:left w:val="single" w:sz="12" w:space="0" w:color="auto"/>
              <w:bottom w:val="single" w:sz="4" w:space="0" w:color="auto"/>
              <w:right w:val="single" w:sz="12" w:space="0" w:color="auto"/>
            </w:tcBorders>
            <w:vAlign w:val="center"/>
          </w:tcPr>
          <w:p w14:paraId="328C0D3F" w14:textId="361BE991" w:rsidR="001530C0" w:rsidRPr="00D005FA" w:rsidRDefault="001530C0" w:rsidP="005A1247">
            <w:pPr>
              <w:pStyle w:val="Normln10"/>
              <w:spacing w:before="0" w:line="240" w:lineRule="auto"/>
              <w:rPr>
                <w:rFonts w:cs="Arial"/>
                <w:sz w:val="21"/>
                <w:szCs w:val="21"/>
              </w:rPr>
            </w:pPr>
            <w:r w:rsidRPr="00D005FA">
              <w:rPr>
                <w:rFonts w:cs="Arial"/>
                <w:sz w:val="21"/>
                <w:szCs w:val="21"/>
              </w:rPr>
              <w:t>TA</w:t>
            </w:r>
            <w:r w:rsidR="00FA66DA">
              <w:rPr>
                <w:rFonts w:cs="Arial"/>
                <w:sz w:val="21"/>
                <w:szCs w:val="21"/>
              </w:rPr>
              <w:t xml:space="preserve"> </w:t>
            </w:r>
            <w:r w:rsidRPr="00D005FA">
              <w:rPr>
                <w:rFonts w:cs="Arial"/>
                <w:sz w:val="21"/>
                <w:szCs w:val="21"/>
              </w:rPr>
              <w:t>ČR/ Program VZ a</w:t>
            </w:r>
            <w:r w:rsidR="005A1247">
              <w:rPr>
                <w:rFonts w:cs="Arial"/>
                <w:sz w:val="21"/>
                <w:szCs w:val="21"/>
              </w:rPr>
              <w:t> </w:t>
            </w:r>
            <w:r w:rsidRPr="00D005FA">
              <w:rPr>
                <w:rFonts w:cs="Arial"/>
                <w:sz w:val="21"/>
                <w:szCs w:val="21"/>
              </w:rPr>
              <w:t>VS Ministerstva vnitra; 20 mil. Kč</w:t>
            </w:r>
          </w:p>
        </w:tc>
      </w:tr>
      <w:tr w:rsidR="004512A7" w14:paraId="5BCCAFF7" w14:textId="77777777" w:rsidTr="00D005FA">
        <w:tc>
          <w:tcPr>
            <w:tcW w:w="1545" w:type="dxa"/>
            <w:tcBorders>
              <w:top w:val="single" w:sz="4" w:space="0" w:color="auto"/>
              <w:left w:val="single" w:sz="12" w:space="0" w:color="auto"/>
              <w:bottom w:val="single" w:sz="4" w:space="0" w:color="auto"/>
              <w:right w:val="single" w:sz="12" w:space="0" w:color="auto"/>
            </w:tcBorders>
            <w:hideMark/>
          </w:tcPr>
          <w:p w14:paraId="05773A2A" w14:textId="77777777" w:rsidR="001530C0" w:rsidRPr="00D005FA" w:rsidRDefault="001530C0" w:rsidP="00D005FA">
            <w:pPr>
              <w:pStyle w:val="Normln10"/>
              <w:rPr>
                <w:rFonts w:cs="Arial"/>
                <w:sz w:val="21"/>
                <w:szCs w:val="21"/>
              </w:rPr>
            </w:pPr>
            <w:r w:rsidRPr="00D005FA">
              <w:rPr>
                <w:rFonts w:cs="Arial"/>
                <w:sz w:val="21"/>
                <w:szCs w:val="21"/>
              </w:rPr>
              <w:t>Odpovědnost</w:t>
            </w:r>
          </w:p>
        </w:tc>
        <w:tc>
          <w:tcPr>
            <w:tcW w:w="8221" w:type="dxa"/>
            <w:tcBorders>
              <w:top w:val="single" w:sz="4" w:space="0" w:color="auto"/>
              <w:left w:val="single" w:sz="12" w:space="0" w:color="auto"/>
              <w:bottom w:val="single" w:sz="4" w:space="0" w:color="auto"/>
              <w:right w:val="single" w:sz="12" w:space="0" w:color="auto"/>
            </w:tcBorders>
            <w:vAlign w:val="center"/>
          </w:tcPr>
          <w:p w14:paraId="49FF221E" w14:textId="3083C357" w:rsidR="001530C0" w:rsidRPr="00D005FA" w:rsidRDefault="001530C0" w:rsidP="00D005FA">
            <w:pPr>
              <w:pStyle w:val="Normln10"/>
              <w:spacing w:before="0" w:line="240" w:lineRule="auto"/>
              <w:rPr>
                <w:rFonts w:cs="Arial"/>
                <w:sz w:val="21"/>
                <w:szCs w:val="21"/>
              </w:rPr>
            </w:pPr>
            <w:r w:rsidRPr="00D005FA">
              <w:rPr>
                <w:rFonts w:cs="Arial"/>
                <w:sz w:val="21"/>
                <w:szCs w:val="21"/>
              </w:rPr>
              <w:t>MV-GŘ HZS ČR</w:t>
            </w:r>
            <w:r w:rsidR="000544D6">
              <w:rPr>
                <w:rFonts w:cs="Arial"/>
                <w:sz w:val="21"/>
                <w:szCs w:val="21"/>
              </w:rPr>
              <w:t>, MMR</w:t>
            </w:r>
          </w:p>
        </w:tc>
      </w:tr>
      <w:tr w:rsidR="004512A7" w14:paraId="408FC9CA" w14:textId="77777777" w:rsidTr="00D005FA">
        <w:tc>
          <w:tcPr>
            <w:tcW w:w="1545" w:type="dxa"/>
            <w:tcBorders>
              <w:top w:val="single" w:sz="4" w:space="0" w:color="auto"/>
              <w:left w:val="single" w:sz="12" w:space="0" w:color="auto"/>
              <w:bottom w:val="single" w:sz="4" w:space="0" w:color="auto"/>
              <w:right w:val="single" w:sz="12" w:space="0" w:color="auto"/>
            </w:tcBorders>
            <w:hideMark/>
          </w:tcPr>
          <w:p w14:paraId="5687731E" w14:textId="77777777" w:rsidR="001530C0" w:rsidRPr="00D005FA" w:rsidRDefault="001530C0" w:rsidP="00D005FA">
            <w:pPr>
              <w:pStyle w:val="Normln10"/>
              <w:rPr>
                <w:rFonts w:cs="Arial"/>
                <w:sz w:val="21"/>
                <w:szCs w:val="21"/>
              </w:rPr>
            </w:pPr>
            <w:r w:rsidRPr="00D005FA">
              <w:rPr>
                <w:rFonts w:cs="Arial"/>
                <w:sz w:val="21"/>
                <w:szCs w:val="21"/>
              </w:rPr>
              <w:t>Spolupráce</w:t>
            </w:r>
          </w:p>
        </w:tc>
        <w:tc>
          <w:tcPr>
            <w:tcW w:w="8221" w:type="dxa"/>
            <w:tcBorders>
              <w:top w:val="single" w:sz="4" w:space="0" w:color="auto"/>
              <w:left w:val="single" w:sz="12" w:space="0" w:color="auto"/>
              <w:bottom w:val="single" w:sz="4" w:space="0" w:color="auto"/>
              <w:right w:val="single" w:sz="12" w:space="0" w:color="auto"/>
            </w:tcBorders>
            <w:vAlign w:val="center"/>
          </w:tcPr>
          <w:p w14:paraId="25581E51" w14:textId="00C1A623" w:rsidR="001530C0" w:rsidRPr="00D005FA" w:rsidRDefault="001530C0" w:rsidP="00D005FA">
            <w:pPr>
              <w:pStyle w:val="Normln10"/>
              <w:spacing w:before="0" w:line="240" w:lineRule="auto"/>
              <w:rPr>
                <w:rFonts w:cs="Arial"/>
                <w:sz w:val="21"/>
                <w:szCs w:val="21"/>
              </w:rPr>
            </w:pPr>
            <w:r w:rsidRPr="00D005FA">
              <w:rPr>
                <w:rFonts w:cs="Arial"/>
                <w:sz w:val="21"/>
                <w:szCs w:val="21"/>
              </w:rPr>
              <w:t>MD, AutoSAP, ČAS, HZS krajů</w:t>
            </w:r>
            <w:r w:rsidR="007E5BF4">
              <w:rPr>
                <w:rFonts w:cs="Arial"/>
                <w:sz w:val="21"/>
                <w:szCs w:val="21"/>
              </w:rPr>
              <w:t>, TA ČR</w:t>
            </w:r>
          </w:p>
        </w:tc>
      </w:tr>
      <w:tr w:rsidR="004512A7" w14:paraId="223B46FD" w14:textId="77777777" w:rsidTr="00D005FA">
        <w:tc>
          <w:tcPr>
            <w:tcW w:w="1545" w:type="dxa"/>
            <w:tcBorders>
              <w:top w:val="single" w:sz="4" w:space="0" w:color="auto"/>
              <w:left w:val="single" w:sz="12" w:space="0" w:color="auto"/>
              <w:bottom w:val="single" w:sz="12" w:space="0" w:color="auto"/>
              <w:right w:val="single" w:sz="12" w:space="0" w:color="auto"/>
            </w:tcBorders>
            <w:hideMark/>
          </w:tcPr>
          <w:p w14:paraId="673D2558" w14:textId="77777777" w:rsidR="001530C0" w:rsidRPr="00D005FA" w:rsidRDefault="001530C0" w:rsidP="00D005FA">
            <w:pPr>
              <w:pStyle w:val="Normln10"/>
              <w:rPr>
                <w:rFonts w:cs="Arial"/>
                <w:sz w:val="21"/>
                <w:szCs w:val="21"/>
              </w:rPr>
            </w:pPr>
            <w:r w:rsidRPr="00D005FA">
              <w:rPr>
                <w:rFonts w:cs="Arial"/>
                <w:sz w:val="21"/>
                <w:szCs w:val="21"/>
              </w:rPr>
              <w:t>Termín</w:t>
            </w:r>
          </w:p>
        </w:tc>
        <w:tc>
          <w:tcPr>
            <w:tcW w:w="8221" w:type="dxa"/>
            <w:tcBorders>
              <w:top w:val="single" w:sz="4" w:space="0" w:color="auto"/>
              <w:left w:val="single" w:sz="12" w:space="0" w:color="auto"/>
              <w:bottom w:val="single" w:sz="12" w:space="0" w:color="auto"/>
              <w:right w:val="single" w:sz="12" w:space="0" w:color="auto"/>
            </w:tcBorders>
            <w:vAlign w:val="center"/>
          </w:tcPr>
          <w:p w14:paraId="2FCE8E71" w14:textId="77777777" w:rsidR="001530C0" w:rsidRPr="00D005FA" w:rsidRDefault="001530C0" w:rsidP="00D005FA">
            <w:pPr>
              <w:pStyle w:val="Normln10"/>
              <w:spacing w:before="0" w:line="240" w:lineRule="auto"/>
              <w:rPr>
                <w:rFonts w:cs="Arial"/>
                <w:sz w:val="21"/>
                <w:szCs w:val="21"/>
              </w:rPr>
            </w:pPr>
            <w:r w:rsidRPr="00D005FA">
              <w:rPr>
                <w:rFonts w:cs="Arial"/>
                <w:sz w:val="21"/>
                <w:szCs w:val="21"/>
              </w:rPr>
              <w:t>2025</w:t>
            </w:r>
          </w:p>
        </w:tc>
      </w:tr>
    </w:tbl>
    <w:p w14:paraId="571F2BC1" w14:textId="77777777" w:rsidR="001530C0" w:rsidRDefault="001530C0" w:rsidP="009A3B7E">
      <w:pPr>
        <w:spacing w:before="0" w:after="0"/>
        <w:jc w:val="both"/>
      </w:pPr>
      <w:r>
        <w:br w:type="page"/>
      </w:r>
    </w:p>
    <w:p w14:paraId="61DE6EC4" w14:textId="77777777" w:rsidR="001530C0" w:rsidRDefault="001530C0" w:rsidP="0054385A">
      <w:pPr>
        <w:pStyle w:val="Nadpis3"/>
        <w:spacing w:before="0" w:after="0"/>
        <w:jc w:val="both"/>
      </w:pPr>
      <w:bookmarkStart w:id="106" w:name="_Toc21589172"/>
      <w:r>
        <w:lastRenderedPageBreak/>
        <w:t xml:space="preserve">P4 </w:t>
      </w:r>
      <w:r w:rsidRPr="00E64182">
        <w:t>Konverze BPS na výrobny biometanu pro dopravu</w:t>
      </w:r>
      <w:bookmarkEnd w:id="106"/>
    </w:p>
    <w:tbl>
      <w:tblPr>
        <w:tblpPr w:leftFromText="142" w:rightFromText="142" w:vertAnchor="text" w:horzAnchor="margin" w:tblpY="285"/>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5"/>
        <w:gridCol w:w="8079"/>
      </w:tblGrid>
      <w:tr w:rsidR="001530C0" w14:paraId="620E2421" w14:textId="77777777" w:rsidTr="004239FB">
        <w:trPr>
          <w:trHeight w:val="376"/>
        </w:trPr>
        <w:tc>
          <w:tcPr>
            <w:tcW w:w="9624"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2D4C455F" w14:textId="77777777" w:rsidR="001530C0" w:rsidRDefault="001530C0" w:rsidP="00B502A0">
            <w:pPr>
              <w:spacing w:before="60" w:after="60"/>
              <w:jc w:val="both"/>
              <w:rPr>
                <w:rFonts w:cs="Arial"/>
                <w:b/>
                <w:color w:val="FFFFFF" w:themeColor="background1"/>
              </w:rPr>
            </w:pPr>
            <w:r>
              <w:rPr>
                <w:rFonts w:cs="Arial"/>
                <w:b/>
                <w:color w:val="FFFFFF" w:themeColor="background1"/>
              </w:rPr>
              <w:t>P4 Konverze BPS na výrobny biometanu pro dopravu</w:t>
            </w:r>
          </w:p>
        </w:tc>
      </w:tr>
      <w:tr w:rsidR="00C851BF" w14:paraId="688ED7A3" w14:textId="77777777" w:rsidTr="004239FB">
        <w:trPr>
          <w:trHeight w:val="554"/>
        </w:trPr>
        <w:tc>
          <w:tcPr>
            <w:tcW w:w="1545" w:type="dxa"/>
            <w:tcBorders>
              <w:top w:val="single" w:sz="12" w:space="0" w:color="auto"/>
              <w:left w:val="single" w:sz="12" w:space="0" w:color="auto"/>
              <w:bottom w:val="single" w:sz="4" w:space="0" w:color="auto"/>
              <w:right w:val="single" w:sz="12" w:space="0" w:color="auto"/>
            </w:tcBorders>
            <w:hideMark/>
          </w:tcPr>
          <w:p w14:paraId="538CDEED" w14:textId="77777777" w:rsidR="001530C0" w:rsidRPr="004239FB" w:rsidRDefault="001530C0" w:rsidP="00B502A0">
            <w:pPr>
              <w:pStyle w:val="Normln10"/>
              <w:spacing w:before="60" w:line="240" w:lineRule="auto"/>
              <w:rPr>
                <w:rFonts w:cs="Arial"/>
              </w:rPr>
            </w:pPr>
            <w:r w:rsidRPr="004239FB">
              <w:rPr>
                <w:rFonts w:cs="Arial"/>
              </w:rPr>
              <w:t>Návaznost na strategický cíl</w:t>
            </w:r>
          </w:p>
        </w:tc>
        <w:tc>
          <w:tcPr>
            <w:tcW w:w="8079" w:type="dxa"/>
            <w:tcBorders>
              <w:top w:val="single" w:sz="12" w:space="0" w:color="auto"/>
              <w:left w:val="single" w:sz="12" w:space="0" w:color="auto"/>
              <w:bottom w:val="single" w:sz="4" w:space="0" w:color="auto"/>
              <w:right w:val="single" w:sz="12" w:space="0" w:color="auto"/>
            </w:tcBorders>
            <w:hideMark/>
          </w:tcPr>
          <w:p w14:paraId="7BDCEFD0" w14:textId="77777777" w:rsidR="004239FB" w:rsidRDefault="004239FB" w:rsidP="007E7A32">
            <w:pPr>
              <w:pStyle w:val="Normln10"/>
              <w:spacing w:before="0" w:line="240" w:lineRule="auto"/>
              <w:rPr>
                <w:rFonts w:cs="Arial"/>
              </w:rPr>
            </w:pPr>
          </w:p>
          <w:p w14:paraId="5E511B3D" w14:textId="07550618" w:rsidR="001530C0" w:rsidRPr="004239FB" w:rsidRDefault="001530C0" w:rsidP="005A1247">
            <w:pPr>
              <w:pStyle w:val="Normln10"/>
              <w:spacing w:before="0" w:line="240" w:lineRule="auto"/>
              <w:rPr>
                <w:rFonts w:cs="Arial"/>
              </w:rPr>
            </w:pPr>
            <w:r w:rsidRPr="004239FB">
              <w:rPr>
                <w:rFonts w:cs="Arial"/>
              </w:rPr>
              <w:t>Rozvoj výroby biometanu pro využití v</w:t>
            </w:r>
            <w:r w:rsidR="005A1247">
              <w:rPr>
                <w:rFonts w:cs="Arial"/>
              </w:rPr>
              <w:t> </w:t>
            </w:r>
            <w:r w:rsidR="00E957C2" w:rsidRPr="004239FB">
              <w:rPr>
                <w:rFonts w:cs="Arial"/>
              </w:rPr>
              <w:t> </w:t>
            </w:r>
            <w:r w:rsidRPr="004239FB">
              <w:rPr>
                <w:rFonts w:cs="Arial"/>
              </w:rPr>
              <w:t>dopravě</w:t>
            </w:r>
            <w:r w:rsidR="00E957C2" w:rsidRPr="004239FB">
              <w:rPr>
                <w:rFonts w:cs="Arial"/>
              </w:rPr>
              <w:t xml:space="preserve"> (kap. 3.3.3.)</w:t>
            </w:r>
          </w:p>
        </w:tc>
      </w:tr>
      <w:tr w:rsidR="00C851BF" w14:paraId="029AD775" w14:textId="77777777" w:rsidTr="004239FB">
        <w:trPr>
          <w:trHeight w:val="5096"/>
        </w:trPr>
        <w:tc>
          <w:tcPr>
            <w:tcW w:w="1545" w:type="dxa"/>
            <w:tcBorders>
              <w:top w:val="single" w:sz="4" w:space="0" w:color="auto"/>
              <w:left w:val="single" w:sz="12" w:space="0" w:color="auto"/>
              <w:bottom w:val="single" w:sz="4" w:space="0" w:color="auto"/>
              <w:right w:val="single" w:sz="12" w:space="0" w:color="auto"/>
            </w:tcBorders>
            <w:hideMark/>
          </w:tcPr>
          <w:p w14:paraId="4AF3784F" w14:textId="77777777" w:rsidR="001530C0" w:rsidRPr="004239FB" w:rsidRDefault="001530C0" w:rsidP="00B502A0">
            <w:pPr>
              <w:pStyle w:val="Normln10"/>
              <w:spacing w:before="60" w:line="240" w:lineRule="auto"/>
              <w:rPr>
                <w:rFonts w:cs="Arial"/>
              </w:rPr>
            </w:pPr>
            <w:r w:rsidRPr="004239FB">
              <w:rPr>
                <w:rFonts w:cs="Arial"/>
              </w:rPr>
              <w:t>Cíl opatření</w:t>
            </w:r>
          </w:p>
        </w:tc>
        <w:tc>
          <w:tcPr>
            <w:tcW w:w="8079" w:type="dxa"/>
            <w:tcBorders>
              <w:top w:val="single" w:sz="4" w:space="0" w:color="auto"/>
              <w:left w:val="single" w:sz="12" w:space="0" w:color="auto"/>
              <w:bottom w:val="single" w:sz="4" w:space="0" w:color="auto"/>
              <w:right w:val="single" w:sz="12" w:space="0" w:color="auto"/>
            </w:tcBorders>
            <w:hideMark/>
          </w:tcPr>
          <w:p w14:paraId="795B3E58" w14:textId="77777777" w:rsidR="001530C0" w:rsidRPr="004239FB" w:rsidRDefault="001530C0" w:rsidP="00B502A0">
            <w:pPr>
              <w:pStyle w:val="Normln10"/>
              <w:spacing w:before="0" w:line="240" w:lineRule="auto"/>
              <w:rPr>
                <w:rFonts w:cs="Arial"/>
              </w:rPr>
            </w:pPr>
            <w:r w:rsidRPr="004239FB">
              <w:rPr>
                <w:rFonts w:cs="Arial"/>
              </w:rPr>
              <w:t>Dekarbonizace dopravy, snížení CO</w:t>
            </w:r>
            <w:r w:rsidRPr="004239FB">
              <w:rPr>
                <w:rFonts w:cs="Arial"/>
                <w:vertAlign w:val="subscript"/>
              </w:rPr>
              <w:t>2</w:t>
            </w:r>
            <w:r w:rsidRPr="004239FB">
              <w:rPr>
                <w:rFonts w:cs="Arial"/>
              </w:rPr>
              <w:t xml:space="preserve"> „ozeleněním“ zemního plynu pokročilým biometanem.</w:t>
            </w:r>
          </w:p>
          <w:p w14:paraId="3C73B965" w14:textId="5BE2288F" w:rsidR="001530C0" w:rsidRPr="004239FB" w:rsidRDefault="001530C0" w:rsidP="00B502A0">
            <w:pPr>
              <w:pStyle w:val="Normln10"/>
              <w:spacing w:before="0" w:line="240" w:lineRule="auto"/>
              <w:rPr>
                <w:rFonts w:cs="Arial"/>
              </w:rPr>
            </w:pPr>
            <w:r w:rsidRPr="004239FB">
              <w:rPr>
                <w:rFonts w:cs="Arial"/>
              </w:rPr>
              <w:t>1. Nastavení investiční a</w:t>
            </w:r>
            <w:r w:rsidR="005A1247">
              <w:rPr>
                <w:rFonts w:cs="Arial"/>
              </w:rPr>
              <w:t> </w:t>
            </w:r>
            <w:r w:rsidRPr="004239FB">
              <w:rPr>
                <w:rFonts w:cs="Arial"/>
              </w:rPr>
              <w:t xml:space="preserve">provozní podpory pro nové výrobny bioplynu tak, aby byla zajištěna návratnost investic včetně výroby biometanu. </w:t>
            </w:r>
          </w:p>
          <w:p w14:paraId="3E9C223F" w14:textId="1DE3265F" w:rsidR="001530C0" w:rsidRPr="004239FB" w:rsidRDefault="001530C0" w:rsidP="00B502A0">
            <w:pPr>
              <w:pStyle w:val="Normln10"/>
              <w:spacing w:before="0" w:line="240" w:lineRule="auto"/>
              <w:rPr>
                <w:rFonts w:cs="Arial"/>
              </w:rPr>
            </w:pPr>
            <w:r w:rsidRPr="004239FB">
              <w:rPr>
                <w:rFonts w:cs="Arial"/>
              </w:rPr>
              <w:t>2. Pro stávající výrobny bioplynu nastavení možnosti převedení provozní podpory z</w:t>
            </w:r>
            <w:r w:rsidR="005A1247">
              <w:rPr>
                <w:rFonts w:cs="Arial"/>
              </w:rPr>
              <w:t> </w:t>
            </w:r>
            <w:r w:rsidRPr="004239FB">
              <w:rPr>
                <w:rFonts w:cs="Arial"/>
              </w:rPr>
              <w:t>výroby elektřiny a/nebo tepla z</w:t>
            </w:r>
            <w:r w:rsidR="005A1247">
              <w:rPr>
                <w:rFonts w:cs="Arial"/>
              </w:rPr>
              <w:t> </w:t>
            </w:r>
            <w:r w:rsidRPr="004239FB">
              <w:rPr>
                <w:rFonts w:cs="Arial"/>
              </w:rPr>
              <w:t>bioplynu do výroby biometanu nebo doplnění podpory o</w:t>
            </w:r>
            <w:r w:rsidR="005A1247">
              <w:rPr>
                <w:rFonts w:cs="Arial"/>
              </w:rPr>
              <w:t> </w:t>
            </w:r>
            <w:r w:rsidRPr="004239FB">
              <w:rPr>
                <w:rFonts w:cs="Arial"/>
              </w:rPr>
              <w:t>podporu výroby biometanu v</w:t>
            </w:r>
            <w:r w:rsidR="005A1247">
              <w:rPr>
                <w:rFonts w:cs="Arial"/>
              </w:rPr>
              <w:t> </w:t>
            </w:r>
            <w:r w:rsidRPr="004239FB">
              <w:rPr>
                <w:rFonts w:cs="Arial"/>
              </w:rPr>
              <w:t>případě navýšení produkce bioplynu. Nová podpora by měla být nastavena tak, aby zaručovala stejný výnos jako stávající podpora elektřiny, což je nezbytnou podmínkou, aby byla nová podpora atraktivní.</w:t>
            </w:r>
          </w:p>
          <w:p w14:paraId="06DA9A77" w14:textId="79D08E13" w:rsidR="001530C0" w:rsidRPr="004239FB" w:rsidRDefault="001530C0" w:rsidP="00B502A0">
            <w:pPr>
              <w:pStyle w:val="Normln10"/>
              <w:spacing w:before="0" w:line="240" w:lineRule="auto"/>
              <w:rPr>
                <w:rFonts w:cs="Arial"/>
              </w:rPr>
            </w:pPr>
            <w:r w:rsidRPr="004239FB">
              <w:rPr>
                <w:rFonts w:cs="Arial"/>
              </w:rPr>
              <w:t>Cílem je co nejvíce výroben bioplynu (BPS) přeměňovat na výrobny biometanu - jedná se především o</w:t>
            </w:r>
            <w:r w:rsidR="005A1247">
              <w:rPr>
                <w:rFonts w:cs="Arial"/>
              </w:rPr>
              <w:t> </w:t>
            </w:r>
            <w:r w:rsidRPr="004239FB">
              <w:rPr>
                <w:rFonts w:cs="Arial"/>
              </w:rPr>
              <w:t xml:space="preserve">ty BPS, které budou po roce 2028 bez podpory, tj "zelený bonus" směřovat do výroby biometanu místo výroby elektřiny. </w:t>
            </w:r>
          </w:p>
          <w:p w14:paraId="0B6476F7" w14:textId="197CA54E" w:rsidR="001530C0" w:rsidRPr="004239FB" w:rsidRDefault="001530C0" w:rsidP="00B502A0">
            <w:pPr>
              <w:pStyle w:val="Normln10"/>
              <w:spacing w:before="0" w:line="240" w:lineRule="auto"/>
              <w:rPr>
                <w:rFonts w:cs="Arial"/>
              </w:rPr>
            </w:pPr>
            <w:r w:rsidRPr="004239FB">
              <w:rPr>
                <w:rFonts w:cs="Arial"/>
              </w:rPr>
              <w:t>3. Motivovat ČOV s</w:t>
            </w:r>
            <w:r w:rsidR="005A1247">
              <w:rPr>
                <w:rFonts w:cs="Arial"/>
              </w:rPr>
              <w:t> </w:t>
            </w:r>
            <w:r w:rsidRPr="004239FB">
              <w:rPr>
                <w:rFonts w:cs="Arial"/>
              </w:rPr>
              <w:t>anaerobní technologií k</w:t>
            </w:r>
            <w:r w:rsidR="005A1247">
              <w:rPr>
                <w:rFonts w:cs="Arial"/>
              </w:rPr>
              <w:t> </w:t>
            </w:r>
            <w:r w:rsidRPr="004239FB">
              <w:rPr>
                <w:rFonts w:cs="Arial"/>
              </w:rPr>
              <w:t>výrobě biometanu a</w:t>
            </w:r>
            <w:r w:rsidR="005A1247">
              <w:rPr>
                <w:rFonts w:cs="Arial"/>
              </w:rPr>
              <w:t> </w:t>
            </w:r>
            <w:r w:rsidRPr="004239FB">
              <w:rPr>
                <w:rFonts w:cs="Arial"/>
              </w:rPr>
              <w:t>jejímu vtláčení do plynárenské soustavy. Nastavit kritéria pro investiční dotace na výstavbu nebo rekonstrukci ČOV tak, aby oprávněným příjemcem dotace nemohla být ČOV s</w:t>
            </w:r>
            <w:r w:rsidR="005A1247">
              <w:rPr>
                <w:rFonts w:cs="Arial"/>
              </w:rPr>
              <w:t> </w:t>
            </w:r>
            <w:r w:rsidRPr="004239FB">
              <w:rPr>
                <w:rFonts w:cs="Arial"/>
              </w:rPr>
              <w:t>aerobní technologií, která bioplyn nejímá, ale volně vypouští do atmosféry. Dochází tak ke zvyšování obsahu metanu a</w:t>
            </w:r>
            <w:r w:rsidR="005A1247">
              <w:rPr>
                <w:rFonts w:cs="Arial"/>
              </w:rPr>
              <w:t> </w:t>
            </w:r>
            <w:r w:rsidRPr="004239FB">
              <w:rPr>
                <w:rFonts w:cs="Arial"/>
              </w:rPr>
              <w:t>oxidu uhličitého v</w:t>
            </w:r>
            <w:r w:rsidR="005A1247">
              <w:rPr>
                <w:rFonts w:cs="Arial"/>
              </w:rPr>
              <w:t> </w:t>
            </w:r>
            <w:r w:rsidRPr="004239FB">
              <w:rPr>
                <w:rFonts w:cs="Arial"/>
              </w:rPr>
              <w:t>atmosféře a</w:t>
            </w:r>
            <w:r w:rsidR="005A1247">
              <w:rPr>
                <w:rFonts w:cs="Arial"/>
              </w:rPr>
              <w:t> </w:t>
            </w:r>
            <w:r w:rsidRPr="004239FB">
              <w:rPr>
                <w:rFonts w:cs="Arial"/>
              </w:rPr>
              <w:t>zároveň zbytečně přicházíme o</w:t>
            </w:r>
            <w:r w:rsidR="005A1247">
              <w:rPr>
                <w:rFonts w:cs="Arial"/>
              </w:rPr>
              <w:t> </w:t>
            </w:r>
            <w:r w:rsidRPr="004239FB">
              <w:rPr>
                <w:rFonts w:cs="Arial"/>
              </w:rPr>
              <w:t>zdroj obnovitelné energie. Toto omezení by se netýkalo malých ČOV s</w:t>
            </w:r>
            <w:r w:rsidR="005A1247">
              <w:rPr>
                <w:rFonts w:cs="Arial"/>
              </w:rPr>
              <w:t> </w:t>
            </w:r>
            <w:r w:rsidRPr="004239FB">
              <w:rPr>
                <w:rFonts w:cs="Arial"/>
              </w:rPr>
              <w:t xml:space="preserve">malou produkcí bioplynu, ani ČOV bez možnosti vtlačit biometan do plynárenské soustavy nebo do plnící stanice CNG/LNG. </w:t>
            </w:r>
          </w:p>
          <w:p w14:paraId="283489E5" w14:textId="1DB5DEB6" w:rsidR="001530C0" w:rsidRPr="004239FB" w:rsidRDefault="001530C0" w:rsidP="005A1247">
            <w:pPr>
              <w:pStyle w:val="Normln10"/>
              <w:spacing w:before="0" w:line="240" w:lineRule="auto"/>
              <w:rPr>
                <w:rFonts w:cs="Arial"/>
              </w:rPr>
            </w:pPr>
            <w:r w:rsidRPr="004239FB">
              <w:rPr>
                <w:rFonts w:cs="Arial"/>
              </w:rPr>
              <w:t xml:space="preserve"> 4. Vytvořit podmínky pro zkapalňování bioplynu pro použití v</w:t>
            </w:r>
            <w:r w:rsidR="005A1247">
              <w:rPr>
                <w:rFonts w:cs="Arial"/>
              </w:rPr>
              <w:t> </w:t>
            </w:r>
            <w:r w:rsidRPr="004239FB">
              <w:rPr>
                <w:rFonts w:cs="Arial"/>
              </w:rPr>
              <w:t>těžké nákladní dopravě především orientací na využití biometanu vhodného složení ze zdrojů dostatečné kapacity. Provést studii zacílenou na tento problém a</w:t>
            </w:r>
            <w:r w:rsidR="005A1247">
              <w:rPr>
                <w:rFonts w:cs="Arial"/>
              </w:rPr>
              <w:t> </w:t>
            </w:r>
            <w:r w:rsidRPr="004239FB">
              <w:rPr>
                <w:rFonts w:cs="Arial"/>
              </w:rPr>
              <w:t>zavést kategorizaci biometanu podle složení. Na základě studie vyhodnotit potenciál výroby BioLNG v</w:t>
            </w:r>
            <w:r w:rsidR="005A1247">
              <w:rPr>
                <w:rFonts w:cs="Arial"/>
              </w:rPr>
              <w:t> </w:t>
            </w:r>
            <w:r w:rsidRPr="004239FB">
              <w:rPr>
                <w:rFonts w:cs="Arial"/>
              </w:rPr>
              <w:t xml:space="preserve">ČR.  </w:t>
            </w:r>
          </w:p>
        </w:tc>
      </w:tr>
      <w:tr w:rsidR="00C851BF" w14:paraId="7E012859" w14:textId="77777777" w:rsidTr="004239FB">
        <w:trPr>
          <w:trHeight w:val="3807"/>
        </w:trPr>
        <w:tc>
          <w:tcPr>
            <w:tcW w:w="1545" w:type="dxa"/>
            <w:tcBorders>
              <w:top w:val="single" w:sz="4" w:space="0" w:color="auto"/>
              <w:left w:val="single" w:sz="12" w:space="0" w:color="auto"/>
              <w:bottom w:val="single" w:sz="4" w:space="0" w:color="auto"/>
              <w:right w:val="single" w:sz="12" w:space="0" w:color="auto"/>
            </w:tcBorders>
            <w:hideMark/>
          </w:tcPr>
          <w:p w14:paraId="09485F00" w14:textId="77777777" w:rsidR="001530C0" w:rsidRPr="004239FB" w:rsidRDefault="001530C0" w:rsidP="00B502A0">
            <w:pPr>
              <w:pStyle w:val="Normln10"/>
              <w:spacing w:before="60" w:line="240" w:lineRule="auto"/>
              <w:rPr>
                <w:rFonts w:cs="Arial"/>
              </w:rPr>
            </w:pPr>
            <w:r w:rsidRPr="004239FB">
              <w:rPr>
                <w:rFonts w:cs="Arial"/>
              </w:rPr>
              <w:t>Popis opatření</w:t>
            </w:r>
          </w:p>
        </w:tc>
        <w:tc>
          <w:tcPr>
            <w:tcW w:w="8079" w:type="dxa"/>
            <w:tcBorders>
              <w:top w:val="single" w:sz="4" w:space="0" w:color="auto"/>
              <w:left w:val="single" w:sz="12" w:space="0" w:color="auto"/>
              <w:bottom w:val="single" w:sz="4" w:space="0" w:color="auto"/>
              <w:right w:val="single" w:sz="12" w:space="0" w:color="auto"/>
            </w:tcBorders>
            <w:hideMark/>
          </w:tcPr>
          <w:p w14:paraId="6B8B803E" w14:textId="6299CE84" w:rsidR="001530C0" w:rsidRPr="004239FB" w:rsidRDefault="001530C0" w:rsidP="00B502A0">
            <w:pPr>
              <w:pStyle w:val="Normln10"/>
              <w:spacing w:before="0" w:line="240" w:lineRule="auto"/>
              <w:rPr>
                <w:rFonts w:cs="Arial"/>
              </w:rPr>
            </w:pPr>
            <w:r w:rsidRPr="004239FB">
              <w:rPr>
                <w:rFonts w:cs="Arial"/>
              </w:rPr>
              <w:t>Pro dosažení predikovaných objemů biometanu pro dopravu je nutné, aby podpora na jeho produkci byla poskytnuta všem výrobnám bioplynu v</w:t>
            </w:r>
            <w:r w:rsidR="005A1247">
              <w:rPr>
                <w:rFonts w:cs="Arial"/>
              </w:rPr>
              <w:t> </w:t>
            </w:r>
            <w:r w:rsidRPr="004239FB">
              <w:rPr>
                <w:rFonts w:cs="Arial"/>
              </w:rPr>
              <w:t>ČR, Predikce plně respektuje zajištění sektorového cíle OZE v</w:t>
            </w:r>
            <w:r w:rsidR="005A1247">
              <w:rPr>
                <w:rFonts w:cs="Arial"/>
              </w:rPr>
              <w:t> </w:t>
            </w:r>
            <w:r w:rsidRPr="004239FB">
              <w:rPr>
                <w:rFonts w:cs="Arial"/>
              </w:rPr>
              <w:t>dopravě v</w:t>
            </w:r>
            <w:r w:rsidR="005A1247">
              <w:rPr>
                <w:rFonts w:cs="Arial"/>
              </w:rPr>
              <w:t> </w:t>
            </w:r>
            <w:r w:rsidRPr="004239FB">
              <w:rPr>
                <w:rFonts w:cs="Arial"/>
              </w:rPr>
              <w:t>ČR v</w:t>
            </w:r>
            <w:r w:rsidR="005A1247">
              <w:rPr>
                <w:rFonts w:cs="Arial"/>
              </w:rPr>
              <w:t> </w:t>
            </w:r>
            <w:r w:rsidRPr="004239FB">
              <w:rPr>
                <w:rFonts w:cs="Arial"/>
              </w:rPr>
              <w:t>souladu s</w:t>
            </w:r>
            <w:r w:rsidR="005A1247">
              <w:rPr>
                <w:rFonts w:cs="Arial"/>
              </w:rPr>
              <w:t> </w:t>
            </w:r>
            <w:r w:rsidR="00FB3866" w:rsidRPr="004239FB">
              <w:rPr>
                <w:rFonts w:cs="Arial"/>
              </w:rPr>
              <w:t>Vnitrostátním plánem ČR v</w:t>
            </w:r>
            <w:r w:rsidR="005A1247">
              <w:rPr>
                <w:rFonts w:cs="Arial"/>
              </w:rPr>
              <w:t> </w:t>
            </w:r>
            <w:r w:rsidR="00FB3866" w:rsidRPr="004239FB">
              <w:rPr>
                <w:rFonts w:cs="Arial"/>
              </w:rPr>
              <w:t>oblasti energetiky a</w:t>
            </w:r>
            <w:r w:rsidR="005A1247">
              <w:rPr>
                <w:rFonts w:cs="Arial"/>
              </w:rPr>
              <w:t> </w:t>
            </w:r>
            <w:r w:rsidR="00FB3866" w:rsidRPr="004239FB">
              <w:rPr>
                <w:rFonts w:cs="Arial"/>
              </w:rPr>
              <w:t>klimatu</w:t>
            </w:r>
            <w:r w:rsidR="004239FB">
              <w:rPr>
                <w:rFonts w:cs="Arial"/>
              </w:rPr>
              <w:t xml:space="preserve">. </w:t>
            </w:r>
            <w:r w:rsidRPr="004239FB">
              <w:rPr>
                <w:rFonts w:cs="Arial"/>
              </w:rPr>
              <w:t>Opatření je ve vazbě na dokumenty EU a</w:t>
            </w:r>
            <w:r w:rsidR="005A1247">
              <w:rPr>
                <w:rFonts w:cs="Arial"/>
              </w:rPr>
              <w:t> </w:t>
            </w:r>
            <w:r w:rsidRPr="004239FB">
              <w:rPr>
                <w:rFonts w:cs="Arial"/>
              </w:rPr>
              <w:t>související národní legislativu k</w:t>
            </w:r>
            <w:r w:rsidR="005A1247">
              <w:rPr>
                <w:rFonts w:cs="Arial"/>
              </w:rPr>
              <w:t> </w:t>
            </w:r>
            <w:r w:rsidRPr="004239FB">
              <w:rPr>
                <w:rFonts w:cs="Arial"/>
              </w:rPr>
              <w:t>zajištění sektorového cíle OZE v</w:t>
            </w:r>
            <w:r w:rsidR="005A1247">
              <w:rPr>
                <w:rFonts w:cs="Arial"/>
              </w:rPr>
              <w:t> </w:t>
            </w:r>
            <w:r w:rsidRPr="004239FB">
              <w:rPr>
                <w:rFonts w:cs="Arial"/>
              </w:rPr>
              <w:t>dopravě: Směrnici EP a</w:t>
            </w:r>
            <w:r w:rsidR="005A1247">
              <w:rPr>
                <w:rFonts w:cs="Arial"/>
              </w:rPr>
              <w:t> </w:t>
            </w:r>
            <w:r w:rsidRPr="004239FB">
              <w:rPr>
                <w:rFonts w:cs="Arial"/>
              </w:rPr>
              <w:t>Rady 2018/2001, čl. 25, která zavádí pro každý členský stát povinný cíl do roku 2030 dosažení 14% podílu energie v</w:t>
            </w:r>
            <w:r w:rsidR="005A1247">
              <w:rPr>
                <w:rFonts w:cs="Arial"/>
              </w:rPr>
              <w:t> </w:t>
            </w:r>
            <w:r w:rsidRPr="004239FB">
              <w:rPr>
                <w:rFonts w:cs="Arial"/>
              </w:rPr>
              <w:t>dopravě z</w:t>
            </w:r>
            <w:r w:rsidR="005A1247">
              <w:rPr>
                <w:rFonts w:cs="Arial"/>
              </w:rPr>
              <w:t> </w:t>
            </w:r>
            <w:r w:rsidRPr="004239FB">
              <w:rPr>
                <w:rFonts w:cs="Arial"/>
              </w:rPr>
              <w:t xml:space="preserve">obnovitelných zdrojů, Důležitý je ten podíl pokročilých paliv, který může být biometanem do značné části naplněn. </w:t>
            </w:r>
          </w:p>
          <w:p w14:paraId="61C3A87B" w14:textId="361CD731" w:rsidR="001530C0" w:rsidRPr="004239FB" w:rsidRDefault="001530C0" w:rsidP="00B502A0">
            <w:pPr>
              <w:pStyle w:val="Normln10"/>
              <w:spacing w:before="0" w:line="240" w:lineRule="auto"/>
              <w:rPr>
                <w:rFonts w:cs="Arial"/>
              </w:rPr>
            </w:pPr>
            <w:r w:rsidRPr="004239FB">
              <w:rPr>
                <w:rFonts w:cs="Arial"/>
              </w:rPr>
              <w:t>I biometan se bude dělit na konvenční a</w:t>
            </w:r>
            <w:r w:rsidR="005A1247">
              <w:rPr>
                <w:rFonts w:cs="Arial"/>
              </w:rPr>
              <w:t> </w:t>
            </w:r>
            <w:r w:rsidRPr="004239FB">
              <w:rPr>
                <w:rFonts w:cs="Arial"/>
              </w:rPr>
              <w:t>pokročilý. I</w:t>
            </w:r>
            <w:r w:rsidR="005A1247">
              <w:rPr>
                <w:rFonts w:cs="Arial"/>
              </w:rPr>
              <w:t> </w:t>
            </w:r>
            <w:r w:rsidRPr="004239FB">
              <w:rPr>
                <w:rFonts w:cs="Arial"/>
              </w:rPr>
              <w:t>ten konvenční j</w:t>
            </w:r>
            <w:r w:rsidR="0054385A" w:rsidRPr="004239FB">
              <w:rPr>
                <w:rFonts w:cs="Arial"/>
              </w:rPr>
              <w:t>e možné maximálně</w:t>
            </w:r>
            <w:r w:rsidRPr="004239FB">
              <w:rPr>
                <w:rFonts w:cs="Arial"/>
              </w:rPr>
              <w:t xml:space="preserve"> do 7 % započítat do dopravy.</w:t>
            </w:r>
          </w:p>
          <w:p w14:paraId="2A236E7F" w14:textId="223214F7" w:rsidR="001530C0" w:rsidRPr="004239FB" w:rsidRDefault="001530C0" w:rsidP="00B502A0">
            <w:pPr>
              <w:pStyle w:val="Normln10"/>
              <w:spacing w:before="0" w:line="240" w:lineRule="auto"/>
              <w:rPr>
                <w:rFonts w:cs="Arial"/>
              </w:rPr>
            </w:pPr>
            <w:r w:rsidRPr="004239FB">
              <w:rPr>
                <w:rFonts w:cs="Arial"/>
              </w:rPr>
              <w:t>Za vstupní surovinu je prioritně považovaný separovaný odpad, tj. biologická část komunálního odpadu, odpadní vody (ČOV), biologický odpad ze zemědělské výroby, apod. Podpora produkce biometanu musí být řešena prostřednictvím provozní, případně investiční podpory dále podpory z</w:t>
            </w:r>
            <w:r w:rsidR="005A1247">
              <w:rPr>
                <w:rFonts w:cs="Arial"/>
              </w:rPr>
              <w:t> </w:t>
            </w:r>
            <w:r w:rsidRPr="004239FB">
              <w:rPr>
                <w:rFonts w:cs="Arial"/>
              </w:rPr>
              <w:t>operačních programů.</w:t>
            </w:r>
          </w:p>
          <w:p w14:paraId="2C52C29F" w14:textId="1FE49E12" w:rsidR="001530C0" w:rsidRPr="004239FB" w:rsidRDefault="001530C0" w:rsidP="005A1247">
            <w:pPr>
              <w:pStyle w:val="Normln10"/>
              <w:spacing w:before="0" w:line="240" w:lineRule="auto"/>
              <w:rPr>
                <w:rFonts w:cs="Arial"/>
              </w:rPr>
            </w:pPr>
            <w:r w:rsidRPr="004239FB">
              <w:rPr>
                <w:rFonts w:cs="Arial"/>
              </w:rPr>
              <w:t>Kategorizace biometanu vyžaduje mezioborovou spolupráci na úrovni universit, výrobců plynu a</w:t>
            </w:r>
            <w:r w:rsidR="005A1247">
              <w:rPr>
                <w:rFonts w:cs="Arial"/>
              </w:rPr>
              <w:t> </w:t>
            </w:r>
            <w:r w:rsidRPr="004239FB">
              <w:rPr>
                <w:rFonts w:cs="Arial"/>
              </w:rPr>
              <w:t>výrobců technologie BioLNG.</w:t>
            </w:r>
          </w:p>
        </w:tc>
      </w:tr>
      <w:tr w:rsidR="00C851BF" w14:paraId="300C73A3" w14:textId="77777777" w:rsidTr="004239FB">
        <w:trPr>
          <w:trHeight w:val="430"/>
        </w:trPr>
        <w:tc>
          <w:tcPr>
            <w:tcW w:w="1545" w:type="dxa"/>
            <w:tcBorders>
              <w:top w:val="single" w:sz="4" w:space="0" w:color="auto"/>
              <w:left w:val="single" w:sz="12" w:space="0" w:color="auto"/>
              <w:bottom w:val="single" w:sz="4" w:space="0" w:color="auto"/>
              <w:right w:val="single" w:sz="12" w:space="0" w:color="auto"/>
            </w:tcBorders>
            <w:hideMark/>
          </w:tcPr>
          <w:p w14:paraId="0D75CF54" w14:textId="6D710CD0" w:rsidR="001530C0" w:rsidRPr="004239FB" w:rsidRDefault="001530C0" w:rsidP="005A1247">
            <w:pPr>
              <w:pStyle w:val="Normln10"/>
              <w:spacing w:before="60" w:line="240" w:lineRule="auto"/>
              <w:rPr>
                <w:rFonts w:cs="Arial"/>
              </w:rPr>
            </w:pPr>
            <w:r w:rsidRPr="004239FB">
              <w:rPr>
                <w:rFonts w:cs="Arial"/>
              </w:rPr>
              <w:t>Příklad z</w:t>
            </w:r>
            <w:r w:rsidR="005A1247">
              <w:rPr>
                <w:rFonts w:cs="Arial"/>
              </w:rPr>
              <w:t> </w:t>
            </w:r>
            <w:r w:rsidRPr="004239FB">
              <w:rPr>
                <w:rFonts w:cs="Arial"/>
              </w:rPr>
              <w:t>praxe</w:t>
            </w:r>
          </w:p>
        </w:tc>
        <w:tc>
          <w:tcPr>
            <w:tcW w:w="8079" w:type="dxa"/>
            <w:tcBorders>
              <w:top w:val="single" w:sz="4" w:space="0" w:color="auto"/>
              <w:left w:val="single" w:sz="12" w:space="0" w:color="auto"/>
              <w:bottom w:val="single" w:sz="4" w:space="0" w:color="auto"/>
              <w:right w:val="single" w:sz="12" w:space="0" w:color="auto"/>
            </w:tcBorders>
            <w:vAlign w:val="center"/>
          </w:tcPr>
          <w:p w14:paraId="7B9F79B1" w14:textId="77777777" w:rsidR="001530C0" w:rsidRPr="004239FB" w:rsidRDefault="001530C0" w:rsidP="00B502A0">
            <w:pPr>
              <w:pStyle w:val="Normln10"/>
              <w:spacing w:before="0" w:line="240" w:lineRule="auto"/>
              <w:jc w:val="left"/>
              <w:rPr>
                <w:rFonts w:cs="Arial"/>
              </w:rPr>
            </w:pPr>
            <w:r w:rsidRPr="004239FB">
              <w:rPr>
                <w:rFonts w:cs="Arial"/>
              </w:rPr>
              <w:t>Německo, Rakousko, Švýcarsko, Švédsko, Finsko</w:t>
            </w:r>
          </w:p>
        </w:tc>
      </w:tr>
      <w:tr w:rsidR="00C851BF" w14:paraId="607B5B9C" w14:textId="77777777" w:rsidTr="004239FB">
        <w:trPr>
          <w:trHeight w:val="816"/>
        </w:trPr>
        <w:tc>
          <w:tcPr>
            <w:tcW w:w="1545" w:type="dxa"/>
            <w:tcBorders>
              <w:top w:val="single" w:sz="4" w:space="0" w:color="auto"/>
              <w:left w:val="single" w:sz="12" w:space="0" w:color="auto"/>
              <w:bottom w:val="single" w:sz="4" w:space="0" w:color="auto"/>
              <w:right w:val="single" w:sz="12" w:space="0" w:color="auto"/>
            </w:tcBorders>
            <w:hideMark/>
          </w:tcPr>
          <w:p w14:paraId="68BD0343" w14:textId="77777777" w:rsidR="001530C0" w:rsidRPr="004239FB" w:rsidRDefault="001530C0" w:rsidP="00B502A0">
            <w:pPr>
              <w:pStyle w:val="Normln10"/>
              <w:spacing w:before="60" w:line="240" w:lineRule="auto"/>
              <w:rPr>
                <w:rFonts w:cs="Arial"/>
              </w:rPr>
            </w:pPr>
            <w:r w:rsidRPr="004239FB">
              <w:rPr>
                <w:rFonts w:cs="Arial"/>
              </w:rPr>
              <w:t>Rozpočtový dopad / financování</w:t>
            </w:r>
          </w:p>
        </w:tc>
        <w:tc>
          <w:tcPr>
            <w:tcW w:w="8079" w:type="dxa"/>
            <w:tcBorders>
              <w:top w:val="single" w:sz="4" w:space="0" w:color="auto"/>
              <w:left w:val="single" w:sz="12" w:space="0" w:color="auto"/>
              <w:bottom w:val="single" w:sz="4" w:space="0" w:color="auto"/>
              <w:right w:val="single" w:sz="12" w:space="0" w:color="auto"/>
            </w:tcBorders>
            <w:vAlign w:val="center"/>
            <w:hideMark/>
          </w:tcPr>
          <w:p w14:paraId="36331362" w14:textId="04A6AEB8" w:rsidR="001530C0" w:rsidRPr="004239FB" w:rsidRDefault="001530C0" w:rsidP="005A1247">
            <w:pPr>
              <w:pStyle w:val="Normln10"/>
              <w:spacing w:before="0" w:line="240" w:lineRule="auto"/>
              <w:jc w:val="left"/>
              <w:rPr>
                <w:rFonts w:cs="Arial"/>
              </w:rPr>
            </w:pPr>
            <w:r w:rsidRPr="004239FB">
              <w:rPr>
                <w:rFonts w:cs="Arial"/>
              </w:rPr>
              <w:t>Financování z</w:t>
            </w:r>
            <w:r w:rsidR="005A1247">
              <w:rPr>
                <w:rFonts w:cs="Arial"/>
              </w:rPr>
              <w:t> </w:t>
            </w:r>
            <w:r w:rsidRPr="004239FB">
              <w:rPr>
                <w:rFonts w:cs="Arial"/>
              </w:rPr>
              <w:t>veřejných podpor, zachováním investiční podpory MPO (</w:t>
            </w:r>
            <w:r w:rsidR="00042582" w:rsidRPr="004239FB">
              <w:rPr>
                <w:rFonts w:cs="Arial"/>
              </w:rPr>
              <w:t>OP TAK</w:t>
            </w:r>
            <w:r w:rsidRPr="004239FB">
              <w:rPr>
                <w:rFonts w:cs="Arial"/>
              </w:rPr>
              <w:t>) a</w:t>
            </w:r>
            <w:r w:rsidR="005A1247">
              <w:rPr>
                <w:rFonts w:cs="Arial"/>
              </w:rPr>
              <w:t> </w:t>
            </w:r>
            <w:r w:rsidRPr="004239FB">
              <w:rPr>
                <w:rFonts w:cs="Arial"/>
              </w:rPr>
              <w:t>její prodloužení až do roku 2030</w:t>
            </w:r>
          </w:p>
        </w:tc>
      </w:tr>
      <w:tr w:rsidR="00C851BF" w14:paraId="0CB29D84" w14:textId="77777777" w:rsidTr="004239FB">
        <w:trPr>
          <w:trHeight w:val="313"/>
        </w:trPr>
        <w:tc>
          <w:tcPr>
            <w:tcW w:w="1545" w:type="dxa"/>
            <w:tcBorders>
              <w:top w:val="single" w:sz="4" w:space="0" w:color="auto"/>
              <w:left w:val="single" w:sz="12" w:space="0" w:color="auto"/>
              <w:bottom w:val="single" w:sz="4" w:space="0" w:color="auto"/>
              <w:right w:val="single" w:sz="12" w:space="0" w:color="auto"/>
            </w:tcBorders>
            <w:hideMark/>
          </w:tcPr>
          <w:p w14:paraId="777654AC" w14:textId="77777777" w:rsidR="001530C0" w:rsidRPr="004239FB" w:rsidRDefault="001530C0" w:rsidP="00B502A0">
            <w:pPr>
              <w:pStyle w:val="Normln10"/>
              <w:spacing w:before="60" w:line="240" w:lineRule="auto"/>
              <w:rPr>
                <w:rFonts w:cs="Arial"/>
              </w:rPr>
            </w:pPr>
            <w:r w:rsidRPr="004239FB">
              <w:rPr>
                <w:rFonts w:cs="Arial"/>
              </w:rPr>
              <w:t>Odpovědnost</w:t>
            </w:r>
          </w:p>
        </w:tc>
        <w:tc>
          <w:tcPr>
            <w:tcW w:w="8079" w:type="dxa"/>
            <w:tcBorders>
              <w:top w:val="single" w:sz="4" w:space="0" w:color="auto"/>
              <w:left w:val="single" w:sz="12" w:space="0" w:color="auto"/>
              <w:bottom w:val="single" w:sz="4" w:space="0" w:color="auto"/>
              <w:right w:val="single" w:sz="12" w:space="0" w:color="auto"/>
            </w:tcBorders>
            <w:vAlign w:val="center"/>
            <w:hideMark/>
          </w:tcPr>
          <w:p w14:paraId="119B44FF" w14:textId="77777777" w:rsidR="001530C0" w:rsidRPr="004239FB" w:rsidRDefault="001530C0" w:rsidP="00B502A0">
            <w:pPr>
              <w:pStyle w:val="Normln10"/>
              <w:spacing w:before="0" w:line="240" w:lineRule="auto"/>
              <w:jc w:val="left"/>
              <w:rPr>
                <w:rFonts w:cs="Arial"/>
              </w:rPr>
            </w:pPr>
            <w:r w:rsidRPr="004239FB">
              <w:rPr>
                <w:rFonts w:cs="Arial"/>
              </w:rPr>
              <w:t>MPO</w:t>
            </w:r>
          </w:p>
        </w:tc>
      </w:tr>
      <w:tr w:rsidR="00C851BF" w14:paraId="34B5788C" w14:textId="77777777" w:rsidTr="004239FB">
        <w:trPr>
          <w:trHeight w:val="297"/>
        </w:trPr>
        <w:tc>
          <w:tcPr>
            <w:tcW w:w="1545" w:type="dxa"/>
            <w:tcBorders>
              <w:top w:val="single" w:sz="4" w:space="0" w:color="auto"/>
              <w:left w:val="single" w:sz="12" w:space="0" w:color="auto"/>
              <w:bottom w:val="single" w:sz="4" w:space="0" w:color="auto"/>
              <w:right w:val="single" w:sz="12" w:space="0" w:color="auto"/>
            </w:tcBorders>
            <w:hideMark/>
          </w:tcPr>
          <w:p w14:paraId="3B51913E" w14:textId="77777777" w:rsidR="001530C0" w:rsidRPr="004239FB" w:rsidRDefault="001530C0" w:rsidP="00B502A0">
            <w:pPr>
              <w:pStyle w:val="Normln10"/>
              <w:spacing w:before="60" w:line="240" w:lineRule="auto"/>
              <w:rPr>
                <w:rFonts w:cs="Arial"/>
              </w:rPr>
            </w:pPr>
            <w:r w:rsidRPr="004239FB">
              <w:rPr>
                <w:rFonts w:cs="Arial"/>
              </w:rPr>
              <w:t>Spolupráce</w:t>
            </w:r>
          </w:p>
        </w:tc>
        <w:tc>
          <w:tcPr>
            <w:tcW w:w="8079" w:type="dxa"/>
            <w:tcBorders>
              <w:top w:val="single" w:sz="4" w:space="0" w:color="auto"/>
              <w:left w:val="single" w:sz="12" w:space="0" w:color="auto"/>
              <w:bottom w:val="single" w:sz="4" w:space="0" w:color="auto"/>
              <w:right w:val="single" w:sz="12" w:space="0" w:color="auto"/>
            </w:tcBorders>
            <w:vAlign w:val="center"/>
          </w:tcPr>
          <w:p w14:paraId="433DCB85" w14:textId="77777777" w:rsidR="001530C0" w:rsidRPr="004239FB" w:rsidRDefault="001530C0" w:rsidP="00B502A0">
            <w:pPr>
              <w:pStyle w:val="Normln10"/>
              <w:spacing w:before="0" w:line="240" w:lineRule="auto"/>
              <w:jc w:val="left"/>
              <w:rPr>
                <w:rFonts w:cs="Arial"/>
              </w:rPr>
            </w:pPr>
            <w:r w:rsidRPr="004239FB">
              <w:rPr>
                <w:rFonts w:cs="Arial"/>
              </w:rPr>
              <w:t>ČPS, MMR</w:t>
            </w:r>
          </w:p>
        </w:tc>
      </w:tr>
      <w:tr w:rsidR="00C851BF" w14:paraId="722707D7" w14:textId="77777777" w:rsidTr="004239FB">
        <w:trPr>
          <w:trHeight w:val="313"/>
        </w:trPr>
        <w:tc>
          <w:tcPr>
            <w:tcW w:w="1545" w:type="dxa"/>
            <w:tcBorders>
              <w:top w:val="single" w:sz="4" w:space="0" w:color="auto"/>
              <w:left w:val="single" w:sz="12" w:space="0" w:color="auto"/>
              <w:bottom w:val="single" w:sz="12" w:space="0" w:color="auto"/>
              <w:right w:val="single" w:sz="12" w:space="0" w:color="auto"/>
            </w:tcBorders>
            <w:hideMark/>
          </w:tcPr>
          <w:p w14:paraId="30DE546C" w14:textId="77777777" w:rsidR="001530C0" w:rsidRPr="004239FB" w:rsidRDefault="001530C0" w:rsidP="00B502A0">
            <w:pPr>
              <w:pStyle w:val="Normln10"/>
              <w:spacing w:before="60" w:line="240" w:lineRule="auto"/>
              <w:rPr>
                <w:rFonts w:cs="Arial"/>
              </w:rPr>
            </w:pPr>
            <w:r w:rsidRPr="004239FB">
              <w:rPr>
                <w:rFonts w:cs="Arial"/>
              </w:rPr>
              <w:t>Termín</w:t>
            </w:r>
          </w:p>
        </w:tc>
        <w:tc>
          <w:tcPr>
            <w:tcW w:w="8079" w:type="dxa"/>
            <w:tcBorders>
              <w:top w:val="single" w:sz="4" w:space="0" w:color="auto"/>
              <w:left w:val="single" w:sz="12" w:space="0" w:color="auto"/>
              <w:bottom w:val="single" w:sz="12" w:space="0" w:color="auto"/>
              <w:right w:val="single" w:sz="12" w:space="0" w:color="auto"/>
            </w:tcBorders>
            <w:vAlign w:val="center"/>
            <w:hideMark/>
          </w:tcPr>
          <w:p w14:paraId="5C598A99" w14:textId="77777777" w:rsidR="001530C0" w:rsidRPr="004239FB" w:rsidRDefault="001530C0" w:rsidP="00B502A0">
            <w:pPr>
              <w:pStyle w:val="Normln10"/>
              <w:spacing w:before="0" w:line="240" w:lineRule="auto"/>
              <w:jc w:val="left"/>
              <w:rPr>
                <w:rFonts w:cs="Arial"/>
              </w:rPr>
            </w:pPr>
            <w:r w:rsidRPr="004239FB">
              <w:rPr>
                <w:rFonts w:cs="Arial"/>
              </w:rPr>
              <w:t>2021</w:t>
            </w:r>
          </w:p>
        </w:tc>
      </w:tr>
    </w:tbl>
    <w:p w14:paraId="3418A672" w14:textId="7572A10C" w:rsidR="00472349" w:rsidRDefault="0012139C" w:rsidP="0051083C">
      <w:pPr>
        <w:pStyle w:val="Nadpis3"/>
      </w:pPr>
      <w:bookmarkStart w:id="107" w:name="_Toc21589174"/>
      <w:r>
        <w:lastRenderedPageBreak/>
        <w:t xml:space="preserve"> P5</w:t>
      </w:r>
      <w:r w:rsidR="0051083C">
        <w:t xml:space="preserve"> </w:t>
      </w:r>
      <w:r w:rsidR="0051083C" w:rsidRPr="0051083C">
        <w:t>Podpora výstavby zkapalňovacích stanic na LNG</w:t>
      </w:r>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472349" w:rsidRPr="006047E6" w14:paraId="369F5C27" w14:textId="77777777" w:rsidTr="005870FA">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57A6D752" w14:textId="1518B422" w:rsidR="00472349" w:rsidRPr="006047E6" w:rsidRDefault="0012139C" w:rsidP="005870FA">
            <w:pPr>
              <w:jc w:val="both"/>
              <w:rPr>
                <w:rFonts w:ascii="Franklin Gothic Book" w:hAnsi="Franklin Gothic Book" w:cs="Arial"/>
                <w:b/>
                <w:color w:val="FFFFFF"/>
                <w:szCs w:val="22"/>
              </w:rPr>
            </w:pPr>
            <w:r>
              <w:rPr>
                <w:rFonts w:ascii="Franklin Gothic Book" w:hAnsi="Franklin Gothic Book" w:cs="Arial"/>
                <w:b/>
                <w:color w:val="FFFFFF"/>
                <w:szCs w:val="22"/>
              </w:rPr>
              <w:t>P5</w:t>
            </w:r>
            <w:r w:rsidR="00472349" w:rsidRPr="006047E6">
              <w:rPr>
                <w:rFonts w:ascii="Franklin Gothic Book" w:hAnsi="Franklin Gothic Book" w:cs="Arial"/>
                <w:b/>
                <w:color w:val="FFFFFF"/>
                <w:szCs w:val="22"/>
              </w:rPr>
              <w:t xml:space="preserve"> Podpora výstavby zkapalňovacích stanic na LNG</w:t>
            </w:r>
          </w:p>
        </w:tc>
      </w:tr>
      <w:tr w:rsidR="00472349" w:rsidRPr="006047E6" w14:paraId="0E5DACA3" w14:textId="77777777" w:rsidTr="005870FA">
        <w:tc>
          <w:tcPr>
            <w:tcW w:w="1984" w:type="dxa"/>
            <w:tcBorders>
              <w:top w:val="single" w:sz="12" w:space="0" w:color="auto"/>
              <w:left w:val="single" w:sz="12" w:space="0" w:color="auto"/>
              <w:bottom w:val="single" w:sz="4" w:space="0" w:color="auto"/>
              <w:right w:val="single" w:sz="12" w:space="0" w:color="auto"/>
            </w:tcBorders>
            <w:vAlign w:val="center"/>
            <w:hideMark/>
          </w:tcPr>
          <w:p w14:paraId="1A9F0535"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vAlign w:val="center"/>
            <w:hideMark/>
          </w:tcPr>
          <w:p w14:paraId="61978F34" w14:textId="0A6DEDDE" w:rsidR="00472349" w:rsidRPr="006047E6" w:rsidRDefault="00472349" w:rsidP="005A1247">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Rozvoj výroby LNG a</w:t>
            </w:r>
            <w:r w:rsidR="005A1247">
              <w:rPr>
                <w:rFonts w:ascii="Franklin Gothic Book" w:hAnsi="Franklin Gothic Book" w:cs="Arial"/>
                <w:sz w:val="22"/>
                <w:szCs w:val="22"/>
              </w:rPr>
              <w:t> </w:t>
            </w:r>
            <w:r w:rsidRPr="006047E6">
              <w:rPr>
                <w:rFonts w:ascii="Franklin Gothic Book" w:hAnsi="Franklin Gothic Book" w:cs="Arial"/>
                <w:sz w:val="22"/>
                <w:szCs w:val="22"/>
              </w:rPr>
              <w:t>biometanu pro využití v</w:t>
            </w:r>
            <w:r w:rsidR="005A1247">
              <w:rPr>
                <w:rFonts w:ascii="Franklin Gothic Book" w:hAnsi="Franklin Gothic Book" w:cs="Arial"/>
                <w:sz w:val="22"/>
                <w:szCs w:val="22"/>
              </w:rPr>
              <w:t> </w:t>
            </w:r>
            <w:r w:rsidRPr="006047E6">
              <w:rPr>
                <w:rFonts w:ascii="Franklin Gothic Book" w:hAnsi="Franklin Gothic Book" w:cs="Arial"/>
                <w:sz w:val="22"/>
                <w:szCs w:val="22"/>
              </w:rPr>
              <w:t> dopravě (kap. 3.3.3.)</w:t>
            </w:r>
          </w:p>
        </w:tc>
      </w:tr>
      <w:tr w:rsidR="00472349" w:rsidRPr="006047E6" w14:paraId="18F42351" w14:textId="77777777" w:rsidTr="005870FA">
        <w:tc>
          <w:tcPr>
            <w:tcW w:w="1984" w:type="dxa"/>
            <w:tcBorders>
              <w:top w:val="single" w:sz="4" w:space="0" w:color="auto"/>
              <w:left w:val="single" w:sz="12" w:space="0" w:color="auto"/>
              <w:bottom w:val="single" w:sz="4" w:space="0" w:color="auto"/>
              <w:right w:val="single" w:sz="12" w:space="0" w:color="auto"/>
            </w:tcBorders>
            <w:vAlign w:val="center"/>
            <w:hideMark/>
          </w:tcPr>
          <w:p w14:paraId="3AB4AE86"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tcPr>
          <w:p w14:paraId="40982531" w14:textId="77777777" w:rsidR="00472349" w:rsidRPr="006047E6" w:rsidRDefault="00472349" w:rsidP="005870FA">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 xml:space="preserve">Diverzifikace zdrojů LNG díky výstavbě tuzemských zdrojů - zkapalňovacích stanic LNG. </w:t>
            </w:r>
          </w:p>
          <w:p w14:paraId="27D7B2D3" w14:textId="7BDC47C3" w:rsidR="00472349" w:rsidRPr="006047E6" w:rsidRDefault="00472349" w:rsidP="005A1247">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Úprava stávající plynárenské sítě, aby k</w:t>
            </w:r>
            <w:r w:rsidR="005A1247">
              <w:rPr>
                <w:rFonts w:ascii="Franklin Gothic Book" w:hAnsi="Franklin Gothic Book" w:cs="Arial"/>
                <w:sz w:val="22"/>
                <w:szCs w:val="22"/>
              </w:rPr>
              <w:t> </w:t>
            </w:r>
            <w:r w:rsidRPr="006047E6">
              <w:rPr>
                <w:rFonts w:ascii="Franklin Gothic Book" w:hAnsi="Franklin Gothic Book" w:cs="Arial"/>
                <w:sz w:val="22"/>
                <w:szCs w:val="22"/>
              </w:rPr>
              <w:t>ní bylo možné připojit zkapalňovací stanici.</w:t>
            </w:r>
          </w:p>
        </w:tc>
      </w:tr>
      <w:tr w:rsidR="00472349" w:rsidRPr="006047E6" w14:paraId="08DF074D" w14:textId="77777777" w:rsidTr="005870FA">
        <w:trPr>
          <w:trHeight w:val="4139"/>
        </w:trPr>
        <w:tc>
          <w:tcPr>
            <w:tcW w:w="1984" w:type="dxa"/>
            <w:vMerge w:val="restart"/>
            <w:tcBorders>
              <w:top w:val="single" w:sz="4" w:space="0" w:color="auto"/>
              <w:left w:val="single" w:sz="12" w:space="0" w:color="auto"/>
              <w:right w:val="single" w:sz="12" w:space="0" w:color="auto"/>
            </w:tcBorders>
            <w:vAlign w:val="center"/>
            <w:hideMark/>
          </w:tcPr>
          <w:p w14:paraId="68FBAC05"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Popis opatření</w:t>
            </w:r>
          </w:p>
        </w:tc>
        <w:tc>
          <w:tcPr>
            <w:tcW w:w="7087" w:type="dxa"/>
            <w:tcBorders>
              <w:top w:val="single" w:sz="4" w:space="0" w:color="auto"/>
              <w:left w:val="single" w:sz="12" w:space="0" w:color="auto"/>
              <w:bottom w:val="nil"/>
              <w:right w:val="single" w:sz="12" w:space="0" w:color="auto"/>
            </w:tcBorders>
          </w:tcPr>
          <w:p w14:paraId="1A03349A" w14:textId="77777777" w:rsidR="00472349" w:rsidRPr="006047E6" w:rsidRDefault="00472349" w:rsidP="005870FA">
            <w:pPr>
              <w:pStyle w:val="Normln10"/>
              <w:spacing w:before="0" w:line="240" w:lineRule="auto"/>
              <w:rPr>
                <w:rFonts w:ascii="Franklin Gothic Book" w:hAnsi="Franklin Gothic Book" w:cs="Arial"/>
                <w:sz w:val="22"/>
                <w:szCs w:val="22"/>
              </w:rPr>
            </w:pPr>
          </w:p>
          <w:p w14:paraId="0805CA4C" w14:textId="07D617A7" w:rsidR="00472349" w:rsidRPr="0051083C" w:rsidRDefault="00472349" w:rsidP="005870FA">
            <w:pPr>
              <w:pStyle w:val="Normln10"/>
              <w:spacing w:before="0" w:line="240" w:lineRule="auto"/>
              <w:rPr>
                <w:rFonts w:cs="Arial"/>
              </w:rPr>
            </w:pPr>
            <w:r w:rsidRPr="0051083C">
              <w:rPr>
                <w:rFonts w:cs="Arial"/>
              </w:rPr>
              <w:t>Výstavba a</w:t>
            </w:r>
            <w:r w:rsidR="005A1247">
              <w:rPr>
                <w:rFonts w:cs="Arial"/>
              </w:rPr>
              <w:t> </w:t>
            </w:r>
            <w:r w:rsidRPr="0051083C">
              <w:rPr>
                <w:rFonts w:cs="Arial"/>
              </w:rPr>
              <w:t>zprovoznění zkapalňovacích stanic LNG v</w:t>
            </w:r>
            <w:r w:rsidR="005A1247">
              <w:rPr>
                <w:rFonts w:cs="Arial"/>
              </w:rPr>
              <w:t> </w:t>
            </w:r>
            <w:r w:rsidRPr="0051083C">
              <w:rPr>
                <w:rFonts w:cs="Arial"/>
              </w:rPr>
              <w:t>ČR umožní:</w:t>
            </w:r>
          </w:p>
          <w:p w14:paraId="612E6A9F" w14:textId="77777777" w:rsidR="00472349" w:rsidRPr="0051083C" w:rsidRDefault="00472349" w:rsidP="005870FA">
            <w:pPr>
              <w:pStyle w:val="Normln10"/>
              <w:spacing w:before="0" w:line="240" w:lineRule="auto"/>
              <w:rPr>
                <w:rFonts w:cs="Arial"/>
              </w:rPr>
            </w:pPr>
            <w:r w:rsidRPr="0051083C">
              <w:rPr>
                <w:rFonts w:cs="Arial"/>
              </w:rPr>
              <w:t>a) diverzifikaci zdrojů LNG pro zásobování tuzemského trhu</w:t>
            </w:r>
          </w:p>
          <w:p w14:paraId="4CBD4BA0" w14:textId="77777777" w:rsidR="00472349" w:rsidRPr="0051083C" w:rsidRDefault="00472349" w:rsidP="005870FA">
            <w:pPr>
              <w:pStyle w:val="Normln10"/>
              <w:spacing w:before="0" w:line="240" w:lineRule="auto"/>
              <w:rPr>
                <w:rFonts w:cs="Arial"/>
              </w:rPr>
            </w:pPr>
          </w:p>
          <w:p w14:paraId="150B0841" w14:textId="196B1078" w:rsidR="00472349" w:rsidRPr="0051083C" w:rsidRDefault="00472349" w:rsidP="005870FA">
            <w:pPr>
              <w:pStyle w:val="Normln10"/>
              <w:spacing w:before="0" w:line="240" w:lineRule="auto"/>
              <w:rPr>
                <w:rFonts w:cs="Arial"/>
              </w:rPr>
            </w:pPr>
            <w:r w:rsidRPr="0051083C">
              <w:rPr>
                <w:rFonts w:cs="Arial"/>
              </w:rPr>
              <w:t>b) zkrácení transportních vzdáleností při zásobování tuzemské infrastruktury LNG, které by jinak byly zásobovány ze zahraničních terminálů, přičemž nejbližší terminál v</w:t>
            </w:r>
            <w:r w:rsidR="005A1247">
              <w:rPr>
                <w:rFonts w:cs="Arial"/>
              </w:rPr>
              <w:t> </w:t>
            </w:r>
            <w:r w:rsidRPr="0051083C">
              <w:rPr>
                <w:rFonts w:cs="Arial"/>
              </w:rPr>
              <w:t>Polsku je 800 km od místa spotřeby v</w:t>
            </w:r>
            <w:r w:rsidR="005A1247">
              <w:rPr>
                <w:rFonts w:cs="Arial"/>
              </w:rPr>
              <w:t> </w:t>
            </w:r>
            <w:r w:rsidRPr="0051083C">
              <w:rPr>
                <w:rFonts w:cs="Arial"/>
              </w:rPr>
              <w:t>ČR. Některé z</w:t>
            </w:r>
            <w:r w:rsidR="005A1247">
              <w:rPr>
                <w:rFonts w:cs="Arial"/>
              </w:rPr>
              <w:t> </w:t>
            </w:r>
            <w:r w:rsidRPr="0051083C">
              <w:rPr>
                <w:rFonts w:cs="Arial"/>
              </w:rPr>
              <w:t>těchto terminálů neumožňují nakládku LNG na železnice, je tedy nutné jej přepravovat silničními cisternami. Tuzemská výroba LNG přispěje ke snížení emisí skleníkových plynů, které by jinak vznikly dopravou komodity LNG do plnících stanic.</w:t>
            </w:r>
          </w:p>
          <w:p w14:paraId="634851E5" w14:textId="77777777" w:rsidR="00472349" w:rsidRPr="0051083C" w:rsidRDefault="00472349" w:rsidP="005870FA">
            <w:pPr>
              <w:pStyle w:val="Normln10"/>
              <w:spacing w:before="0" w:line="240" w:lineRule="auto"/>
              <w:rPr>
                <w:rFonts w:cs="Arial"/>
              </w:rPr>
            </w:pPr>
          </w:p>
          <w:p w14:paraId="687AA571" w14:textId="2C674C34" w:rsidR="00472349" w:rsidRPr="0051083C" w:rsidRDefault="00472349" w:rsidP="005870FA">
            <w:pPr>
              <w:pStyle w:val="Normln10"/>
              <w:spacing w:before="0" w:line="240" w:lineRule="auto"/>
              <w:rPr>
                <w:rFonts w:cs="Arial"/>
              </w:rPr>
            </w:pPr>
            <w:r w:rsidRPr="0051083C">
              <w:rPr>
                <w:rFonts w:cs="Arial"/>
              </w:rPr>
              <w:t>c) zvýšení spolehlivosti dodávek LNG a</w:t>
            </w:r>
            <w:r w:rsidR="005A1247">
              <w:rPr>
                <w:rFonts w:cs="Arial"/>
              </w:rPr>
              <w:t> </w:t>
            </w:r>
            <w:r w:rsidRPr="0051083C">
              <w:rPr>
                <w:rFonts w:cs="Arial"/>
              </w:rPr>
              <w:t>zajištění vysoké kvality LNG pro konečné zákazníky. Vzhledem k</w:t>
            </w:r>
            <w:r w:rsidR="005A1247">
              <w:rPr>
                <w:rFonts w:cs="Arial"/>
              </w:rPr>
              <w:t> </w:t>
            </w:r>
            <w:r w:rsidRPr="0051083C">
              <w:rPr>
                <w:rFonts w:cs="Arial"/>
              </w:rPr>
              <w:t xml:space="preserve">nízké teplotě LNG až -162 </w:t>
            </w:r>
            <w:r w:rsidRPr="0051083C">
              <w:rPr>
                <w:rFonts w:ascii="Cambria Math" w:hAnsi="Cambria Math" w:cs="Cambria Math"/>
              </w:rPr>
              <w:t>⁰</w:t>
            </w:r>
            <w:r w:rsidRPr="0051083C">
              <w:rPr>
                <w:rFonts w:cs="Arial"/>
              </w:rPr>
              <w:t>C působí jakákoli manipulace a</w:t>
            </w:r>
            <w:r w:rsidR="005A1247">
              <w:rPr>
                <w:rFonts w:cs="Arial"/>
              </w:rPr>
              <w:t> </w:t>
            </w:r>
            <w:r w:rsidRPr="0051083C">
              <w:rPr>
                <w:rFonts w:cs="Arial"/>
              </w:rPr>
              <w:t>přeprava LNG negativně na jeho kvalitu (dochází k</w:t>
            </w:r>
            <w:r w:rsidR="005A1247">
              <w:rPr>
                <w:rFonts w:cs="Arial"/>
              </w:rPr>
              <w:t> </w:t>
            </w:r>
            <w:r w:rsidRPr="0051083C">
              <w:rPr>
                <w:rFonts w:cs="Arial"/>
              </w:rPr>
              <w:t>nežádoucímu ohřívání a</w:t>
            </w:r>
            <w:r w:rsidR="005A1247">
              <w:rPr>
                <w:rFonts w:cs="Arial"/>
              </w:rPr>
              <w:t> </w:t>
            </w:r>
            <w:r w:rsidRPr="0051083C">
              <w:rPr>
                <w:rFonts w:cs="Arial"/>
              </w:rPr>
              <w:t>zvyšování tlaku).</w:t>
            </w:r>
          </w:p>
          <w:p w14:paraId="4429C56E" w14:textId="77777777" w:rsidR="00472349" w:rsidRPr="0051083C" w:rsidRDefault="00472349" w:rsidP="005870FA">
            <w:pPr>
              <w:pStyle w:val="Normln10"/>
              <w:spacing w:before="0" w:line="240" w:lineRule="auto"/>
              <w:rPr>
                <w:rFonts w:cs="Arial"/>
              </w:rPr>
            </w:pPr>
          </w:p>
          <w:p w14:paraId="1187DD96" w14:textId="1AFD2896" w:rsidR="00472349" w:rsidRPr="0051083C" w:rsidRDefault="00472349" w:rsidP="005870FA">
            <w:pPr>
              <w:pStyle w:val="Normln10"/>
              <w:spacing w:before="0" w:line="240" w:lineRule="auto"/>
              <w:rPr>
                <w:rFonts w:cs="Arial"/>
              </w:rPr>
            </w:pPr>
            <w:r w:rsidRPr="0051083C">
              <w:rPr>
                <w:rFonts w:cs="Arial"/>
              </w:rPr>
              <w:t>Pro připojení zkapalňovací stanice LNG je nutné provést dodatečné úpravy a</w:t>
            </w:r>
            <w:r w:rsidR="005A1247">
              <w:rPr>
                <w:rFonts w:cs="Arial"/>
              </w:rPr>
              <w:t> </w:t>
            </w:r>
            <w:r w:rsidRPr="0051083C">
              <w:rPr>
                <w:rFonts w:cs="Arial"/>
              </w:rPr>
              <w:t>s tím spojené investice na rozhraní přepravní a</w:t>
            </w:r>
            <w:r w:rsidR="005A1247">
              <w:rPr>
                <w:rFonts w:cs="Arial"/>
              </w:rPr>
              <w:t> </w:t>
            </w:r>
            <w:r w:rsidRPr="0051083C">
              <w:rPr>
                <w:rFonts w:cs="Arial"/>
              </w:rPr>
              <w:t>distribuční soustavy (jedná se o</w:t>
            </w:r>
            <w:r w:rsidR="005A1247">
              <w:rPr>
                <w:rFonts w:cs="Arial"/>
              </w:rPr>
              <w:t> </w:t>
            </w:r>
            <w:r w:rsidRPr="0051083C">
              <w:rPr>
                <w:rFonts w:cs="Arial"/>
              </w:rPr>
              <w:t xml:space="preserve">vznik dalšího přípojného místa). </w:t>
            </w:r>
          </w:p>
          <w:p w14:paraId="244C880E" w14:textId="77777777" w:rsidR="00472349" w:rsidRPr="0051083C" w:rsidRDefault="00472349" w:rsidP="005870FA">
            <w:pPr>
              <w:pStyle w:val="Normln10"/>
              <w:spacing w:before="0" w:line="240" w:lineRule="auto"/>
              <w:rPr>
                <w:rFonts w:cs="Arial"/>
              </w:rPr>
            </w:pPr>
          </w:p>
          <w:p w14:paraId="270C3C48" w14:textId="39681FAD" w:rsidR="00472349" w:rsidRPr="0051083C" w:rsidRDefault="00472349" w:rsidP="005870FA">
            <w:pPr>
              <w:pStyle w:val="Normln10"/>
              <w:spacing w:before="0" w:line="240" w:lineRule="auto"/>
              <w:rPr>
                <w:rFonts w:cs="Arial"/>
              </w:rPr>
            </w:pPr>
            <w:r w:rsidRPr="0051083C">
              <w:rPr>
                <w:rFonts w:cs="Arial"/>
              </w:rPr>
              <w:t>Zkapalňovací stanice umístěná na plynárenské síti v</w:t>
            </w:r>
            <w:r w:rsidR="005A1247">
              <w:rPr>
                <w:rFonts w:cs="Arial"/>
              </w:rPr>
              <w:t> </w:t>
            </w:r>
            <w:r w:rsidRPr="0051083C">
              <w:rPr>
                <w:rFonts w:cs="Arial"/>
              </w:rPr>
              <w:t>ČR umožní výrobu LNG s</w:t>
            </w:r>
            <w:r w:rsidR="005A1247">
              <w:rPr>
                <w:rFonts w:cs="Arial"/>
              </w:rPr>
              <w:t> </w:t>
            </w:r>
            <w:r w:rsidRPr="0051083C">
              <w:rPr>
                <w:rFonts w:cs="Arial"/>
              </w:rPr>
              <w:t>certifikací původu bio-LNG.</w:t>
            </w:r>
          </w:p>
          <w:p w14:paraId="1B715CAB" w14:textId="77777777" w:rsidR="00472349" w:rsidRPr="0051083C" w:rsidRDefault="00472349" w:rsidP="005870FA">
            <w:pPr>
              <w:pStyle w:val="Normln10"/>
              <w:spacing w:before="0" w:line="240" w:lineRule="auto"/>
              <w:rPr>
                <w:rFonts w:cs="Arial"/>
              </w:rPr>
            </w:pPr>
          </w:p>
          <w:p w14:paraId="66FCBCAC" w14:textId="0CB3933F" w:rsidR="00472349" w:rsidRPr="006047E6" w:rsidRDefault="00472349" w:rsidP="005A1247">
            <w:pPr>
              <w:pStyle w:val="Normln10"/>
              <w:spacing w:before="0" w:line="240" w:lineRule="auto"/>
              <w:rPr>
                <w:rFonts w:ascii="Franklin Gothic Book" w:hAnsi="Franklin Gothic Book" w:cs="Arial"/>
                <w:sz w:val="22"/>
                <w:szCs w:val="22"/>
              </w:rPr>
            </w:pPr>
            <w:r w:rsidRPr="0051083C">
              <w:rPr>
                <w:rFonts w:cs="Arial"/>
              </w:rPr>
              <w:t>V období do roku 2027 je reálné uvažovat s</w:t>
            </w:r>
            <w:r w:rsidR="005A1247">
              <w:rPr>
                <w:rFonts w:cs="Arial"/>
              </w:rPr>
              <w:t> </w:t>
            </w:r>
            <w:r w:rsidRPr="0051083C">
              <w:rPr>
                <w:rFonts w:cs="Arial"/>
              </w:rPr>
              <w:t>výstavbou dvou zkapalňovacích stanic LNG v</w:t>
            </w:r>
            <w:r w:rsidR="005A1247">
              <w:rPr>
                <w:rFonts w:cs="Arial"/>
              </w:rPr>
              <w:t> </w:t>
            </w:r>
            <w:r w:rsidRPr="0051083C">
              <w:rPr>
                <w:rFonts w:cs="Arial"/>
              </w:rPr>
              <w:t>ČR (první do r. 2023, druhá do r. 2027).</w:t>
            </w:r>
          </w:p>
        </w:tc>
      </w:tr>
      <w:tr w:rsidR="00472349" w:rsidRPr="006047E6" w14:paraId="7AE27A4A" w14:textId="77777777" w:rsidTr="0051083C">
        <w:trPr>
          <w:trHeight w:val="78"/>
        </w:trPr>
        <w:tc>
          <w:tcPr>
            <w:tcW w:w="1984" w:type="dxa"/>
            <w:vMerge/>
            <w:tcBorders>
              <w:left w:val="single" w:sz="12" w:space="0" w:color="auto"/>
              <w:bottom w:val="single" w:sz="4" w:space="0" w:color="auto"/>
              <w:right w:val="single" w:sz="12" w:space="0" w:color="auto"/>
            </w:tcBorders>
            <w:vAlign w:val="center"/>
          </w:tcPr>
          <w:p w14:paraId="6F27CF44"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p>
        </w:tc>
        <w:tc>
          <w:tcPr>
            <w:tcW w:w="7087" w:type="dxa"/>
            <w:tcBorders>
              <w:top w:val="nil"/>
              <w:left w:val="single" w:sz="12" w:space="0" w:color="auto"/>
              <w:bottom w:val="single" w:sz="4" w:space="0" w:color="auto"/>
              <w:right w:val="single" w:sz="12" w:space="0" w:color="auto"/>
            </w:tcBorders>
          </w:tcPr>
          <w:p w14:paraId="654749AE" w14:textId="77777777" w:rsidR="00472349" w:rsidRPr="006047E6" w:rsidRDefault="00472349" w:rsidP="005870FA">
            <w:pPr>
              <w:pStyle w:val="Normln10"/>
              <w:spacing w:before="0" w:line="240" w:lineRule="auto"/>
              <w:rPr>
                <w:rFonts w:ascii="Franklin Gothic Book" w:hAnsi="Franklin Gothic Book" w:cs="Arial"/>
                <w:sz w:val="22"/>
                <w:szCs w:val="22"/>
              </w:rPr>
            </w:pPr>
          </w:p>
        </w:tc>
      </w:tr>
      <w:tr w:rsidR="00472349" w:rsidRPr="006047E6" w14:paraId="2D351429" w14:textId="77777777" w:rsidTr="005870FA">
        <w:tc>
          <w:tcPr>
            <w:tcW w:w="1984" w:type="dxa"/>
            <w:tcBorders>
              <w:top w:val="single" w:sz="4" w:space="0" w:color="auto"/>
              <w:left w:val="single" w:sz="12" w:space="0" w:color="auto"/>
              <w:bottom w:val="single" w:sz="4" w:space="0" w:color="auto"/>
              <w:right w:val="single" w:sz="12" w:space="0" w:color="auto"/>
            </w:tcBorders>
            <w:vAlign w:val="center"/>
            <w:hideMark/>
          </w:tcPr>
          <w:p w14:paraId="5D7A602B" w14:textId="782AFC1D" w:rsidR="00472349" w:rsidRPr="006047E6" w:rsidRDefault="00472349" w:rsidP="005A1247">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Příklad z</w:t>
            </w:r>
            <w:r w:rsidR="005A1247">
              <w:rPr>
                <w:rFonts w:ascii="Franklin Gothic Book" w:hAnsi="Franklin Gothic Book" w:cs="Arial"/>
                <w:sz w:val="22"/>
                <w:szCs w:val="22"/>
              </w:rPr>
              <w:t> </w:t>
            </w:r>
            <w:r w:rsidRPr="006047E6">
              <w:rPr>
                <w:rFonts w:ascii="Franklin Gothic Book" w:hAnsi="Franklin Gothic Book"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3AC8320E" w14:textId="608B8A98" w:rsidR="00472349" w:rsidRPr="006047E6" w:rsidRDefault="00472349" w:rsidP="005A1247">
            <w:pPr>
              <w:pStyle w:val="Normln10"/>
              <w:spacing w:before="0" w:line="240" w:lineRule="auto"/>
              <w:rPr>
                <w:rFonts w:ascii="Franklin Gothic Book" w:hAnsi="Franklin Gothic Book" w:cs="Arial"/>
                <w:sz w:val="22"/>
                <w:szCs w:val="22"/>
              </w:rPr>
            </w:pPr>
            <w:r w:rsidRPr="006047E6">
              <w:rPr>
                <w:rFonts w:ascii="Franklin Gothic Book" w:hAnsi="Franklin Gothic Book" w:cs="Arial"/>
                <w:sz w:val="22"/>
                <w:szCs w:val="22"/>
              </w:rPr>
              <w:t>Nákladově efektivní zkapalňovací stanici na LNG je vhodné umístit na rozhraní přepravní a</w:t>
            </w:r>
            <w:r w:rsidR="005A1247">
              <w:rPr>
                <w:rFonts w:ascii="Franklin Gothic Book" w:hAnsi="Franklin Gothic Book" w:cs="Arial"/>
                <w:sz w:val="22"/>
                <w:szCs w:val="22"/>
              </w:rPr>
              <w:t> </w:t>
            </w:r>
            <w:r w:rsidRPr="006047E6">
              <w:rPr>
                <w:rFonts w:ascii="Franklin Gothic Book" w:hAnsi="Franklin Gothic Book" w:cs="Arial"/>
                <w:sz w:val="22"/>
                <w:szCs w:val="22"/>
              </w:rPr>
              <w:t>distribuční plynárenské soustavy. Taková aplikace dosud v</w:t>
            </w:r>
            <w:r w:rsidR="005A1247">
              <w:rPr>
                <w:rFonts w:ascii="Franklin Gothic Book" w:hAnsi="Franklin Gothic Book" w:cs="Arial"/>
                <w:sz w:val="22"/>
                <w:szCs w:val="22"/>
              </w:rPr>
              <w:t> </w:t>
            </w:r>
            <w:r w:rsidRPr="006047E6">
              <w:rPr>
                <w:rFonts w:ascii="Franklin Gothic Book" w:hAnsi="Franklin Gothic Book" w:cs="Arial"/>
                <w:sz w:val="22"/>
                <w:szCs w:val="22"/>
              </w:rPr>
              <w:t xml:space="preserve">ČR neexistuje. </w:t>
            </w:r>
          </w:p>
        </w:tc>
      </w:tr>
      <w:tr w:rsidR="00472349" w:rsidRPr="006047E6" w14:paraId="28464C82" w14:textId="77777777" w:rsidTr="005870FA">
        <w:tc>
          <w:tcPr>
            <w:tcW w:w="1984" w:type="dxa"/>
            <w:tcBorders>
              <w:top w:val="single" w:sz="4" w:space="0" w:color="auto"/>
              <w:left w:val="single" w:sz="12" w:space="0" w:color="auto"/>
              <w:bottom w:val="single" w:sz="4" w:space="0" w:color="auto"/>
              <w:right w:val="single" w:sz="12" w:space="0" w:color="auto"/>
            </w:tcBorders>
            <w:vAlign w:val="center"/>
            <w:hideMark/>
          </w:tcPr>
          <w:p w14:paraId="685330E6"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tcPr>
          <w:p w14:paraId="5A87D6BF" w14:textId="77777777" w:rsidR="00472349" w:rsidRPr="006047E6" w:rsidRDefault="00472349" w:rsidP="005870FA">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OP TAK, SC 3.3</w:t>
            </w:r>
          </w:p>
        </w:tc>
      </w:tr>
      <w:tr w:rsidR="00472349" w:rsidRPr="006047E6" w14:paraId="60289951" w14:textId="77777777" w:rsidTr="005870FA">
        <w:tc>
          <w:tcPr>
            <w:tcW w:w="1984" w:type="dxa"/>
            <w:tcBorders>
              <w:top w:val="single" w:sz="4" w:space="0" w:color="auto"/>
              <w:left w:val="single" w:sz="12" w:space="0" w:color="auto"/>
              <w:bottom w:val="single" w:sz="4" w:space="0" w:color="auto"/>
              <w:right w:val="single" w:sz="12" w:space="0" w:color="auto"/>
            </w:tcBorders>
            <w:vAlign w:val="center"/>
            <w:hideMark/>
          </w:tcPr>
          <w:p w14:paraId="2BF1D904"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vAlign w:val="center"/>
          </w:tcPr>
          <w:p w14:paraId="781F345C" w14:textId="77777777" w:rsidR="00472349" w:rsidRPr="006047E6" w:rsidRDefault="00472349" w:rsidP="005870FA">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MPO</w:t>
            </w:r>
          </w:p>
        </w:tc>
      </w:tr>
      <w:tr w:rsidR="00472349" w:rsidRPr="006047E6" w14:paraId="1BB4B8C7" w14:textId="77777777" w:rsidTr="005870FA">
        <w:tc>
          <w:tcPr>
            <w:tcW w:w="1984" w:type="dxa"/>
            <w:tcBorders>
              <w:top w:val="single" w:sz="4" w:space="0" w:color="auto"/>
              <w:left w:val="single" w:sz="12" w:space="0" w:color="auto"/>
              <w:bottom w:val="single" w:sz="4" w:space="0" w:color="auto"/>
              <w:right w:val="single" w:sz="12" w:space="0" w:color="auto"/>
            </w:tcBorders>
            <w:vAlign w:val="center"/>
            <w:hideMark/>
          </w:tcPr>
          <w:p w14:paraId="108EA7D9"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vAlign w:val="center"/>
          </w:tcPr>
          <w:p w14:paraId="4BC9E721" w14:textId="77777777" w:rsidR="00472349" w:rsidRPr="006047E6" w:rsidRDefault="00472349" w:rsidP="005870FA">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MD</w:t>
            </w:r>
          </w:p>
        </w:tc>
      </w:tr>
      <w:tr w:rsidR="00472349" w:rsidRPr="006047E6" w14:paraId="06069317" w14:textId="77777777" w:rsidTr="005870FA">
        <w:tc>
          <w:tcPr>
            <w:tcW w:w="1984" w:type="dxa"/>
            <w:tcBorders>
              <w:top w:val="single" w:sz="4" w:space="0" w:color="auto"/>
              <w:left w:val="single" w:sz="12" w:space="0" w:color="auto"/>
              <w:bottom w:val="single" w:sz="12" w:space="0" w:color="auto"/>
              <w:right w:val="single" w:sz="12" w:space="0" w:color="auto"/>
            </w:tcBorders>
            <w:vAlign w:val="center"/>
            <w:hideMark/>
          </w:tcPr>
          <w:p w14:paraId="7F217152" w14:textId="77777777" w:rsidR="00472349" w:rsidRPr="006047E6" w:rsidRDefault="00472349" w:rsidP="005870FA">
            <w:pPr>
              <w:pStyle w:val="Normln10"/>
              <w:spacing w:beforeLines="20" w:before="48" w:after="20" w:line="240" w:lineRule="auto"/>
              <w:jc w:val="left"/>
              <w:rPr>
                <w:rFonts w:ascii="Franklin Gothic Book" w:hAnsi="Franklin Gothic Book" w:cs="Arial"/>
                <w:sz w:val="22"/>
                <w:szCs w:val="22"/>
              </w:rPr>
            </w:pPr>
            <w:r w:rsidRPr="006047E6">
              <w:rPr>
                <w:rFonts w:ascii="Franklin Gothic Book" w:hAnsi="Franklin Gothic Book"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vAlign w:val="center"/>
          </w:tcPr>
          <w:p w14:paraId="41055E7C" w14:textId="77777777" w:rsidR="00472349" w:rsidRPr="006047E6" w:rsidRDefault="00472349" w:rsidP="005870FA">
            <w:pPr>
              <w:pStyle w:val="Normln10"/>
              <w:spacing w:before="0" w:line="240" w:lineRule="auto"/>
              <w:jc w:val="left"/>
              <w:rPr>
                <w:rFonts w:ascii="Franklin Gothic Book" w:hAnsi="Franklin Gothic Book" w:cs="Arial"/>
                <w:sz w:val="22"/>
                <w:szCs w:val="22"/>
              </w:rPr>
            </w:pPr>
            <w:r w:rsidRPr="006047E6">
              <w:rPr>
                <w:rFonts w:ascii="Franklin Gothic Book" w:hAnsi="Franklin Gothic Book" w:cs="Arial"/>
                <w:sz w:val="22"/>
                <w:szCs w:val="22"/>
              </w:rPr>
              <w:t>2027</w:t>
            </w:r>
          </w:p>
        </w:tc>
      </w:tr>
    </w:tbl>
    <w:p w14:paraId="30B62B46" w14:textId="77777777" w:rsidR="00472349" w:rsidRDefault="00472349" w:rsidP="007E541C"/>
    <w:p w14:paraId="75E9494A" w14:textId="77777777" w:rsidR="004239FB" w:rsidRPr="00472349" w:rsidRDefault="004239FB" w:rsidP="007E541C"/>
    <w:p w14:paraId="5E64B166" w14:textId="0082BE30" w:rsidR="001530C0" w:rsidRDefault="001530C0" w:rsidP="00F37F37">
      <w:pPr>
        <w:pStyle w:val="Nadpis3"/>
        <w:tabs>
          <w:tab w:val="clear" w:pos="2411"/>
          <w:tab w:val="num" w:pos="1134"/>
        </w:tabs>
        <w:jc w:val="both"/>
      </w:pPr>
      <w:r>
        <w:lastRenderedPageBreak/>
        <w:t>V</w:t>
      </w:r>
      <w:r w:rsidR="003A1ED5">
        <w:t>4</w:t>
      </w:r>
      <w:r>
        <w:t xml:space="preserve"> </w:t>
      </w:r>
      <w:r w:rsidRPr="00EE6B57">
        <w:t>Podpora veřejných plnicích stanic vodíku (HRS) na síti TEN-T</w:t>
      </w:r>
      <w:bookmarkEnd w:id="107"/>
    </w:p>
    <w:tbl>
      <w:tblPr>
        <w:tblStyle w:val="Mkatabulky4"/>
        <w:tblW w:w="5165"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28"/>
        <w:gridCol w:w="7412"/>
      </w:tblGrid>
      <w:tr w:rsidR="001530C0" w14:paraId="26575D09" w14:textId="77777777" w:rsidTr="00BF2C37">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57F67E47" w14:textId="77777777" w:rsidR="001530C0" w:rsidRDefault="001530C0" w:rsidP="00B502A0">
            <w:pPr>
              <w:spacing w:before="60" w:after="60"/>
              <w:jc w:val="both"/>
            </w:pPr>
            <w:r>
              <w:rPr>
                <w:b/>
                <w:color w:val="FFFFFF" w:themeColor="background1"/>
              </w:rPr>
              <w:t>V</w:t>
            </w:r>
            <w:r w:rsidR="00E957C2">
              <w:rPr>
                <w:b/>
                <w:color w:val="FFFFFF" w:themeColor="background1"/>
              </w:rPr>
              <w:t>4</w:t>
            </w:r>
            <w:r>
              <w:rPr>
                <w:b/>
                <w:color w:val="FFFFFF" w:themeColor="background1"/>
              </w:rPr>
              <w:t xml:space="preserve"> Podpora veřejných plnicích stanic vodíku (HRS) na síti TEN-T</w:t>
            </w:r>
          </w:p>
        </w:tc>
      </w:tr>
      <w:tr w:rsidR="00B85563" w14:paraId="774C5280" w14:textId="77777777" w:rsidTr="00BF2C37">
        <w:trPr>
          <w:trHeight w:val="52"/>
        </w:trPr>
        <w:tc>
          <w:tcPr>
            <w:tcW w:w="1032" w:type="pct"/>
            <w:tcBorders>
              <w:top w:val="single" w:sz="12" w:space="0" w:color="auto"/>
              <w:left w:val="single" w:sz="12" w:space="0" w:color="auto"/>
              <w:bottom w:val="single" w:sz="4" w:space="0" w:color="auto"/>
              <w:right w:val="single" w:sz="12" w:space="0" w:color="auto"/>
            </w:tcBorders>
            <w:hideMark/>
          </w:tcPr>
          <w:p w14:paraId="0098E3B0" w14:textId="77777777" w:rsidR="001530C0" w:rsidRDefault="001530C0" w:rsidP="00B502A0">
            <w:pPr>
              <w:spacing w:before="60" w:after="60"/>
              <w:jc w:val="both"/>
            </w:pPr>
            <w:r>
              <w:t>Návaznost na strategický cíl</w:t>
            </w:r>
          </w:p>
        </w:tc>
        <w:tc>
          <w:tcPr>
            <w:tcW w:w="3968" w:type="pct"/>
            <w:tcBorders>
              <w:top w:val="single" w:sz="12" w:space="0" w:color="auto"/>
              <w:left w:val="single" w:sz="12" w:space="0" w:color="auto"/>
              <w:bottom w:val="single" w:sz="4" w:space="0" w:color="auto"/>
              <w:right w:val="single" w:sz="12" w:space="0" w:color="auto"/>
            </w:tcBorders>
            <w:hideMark/>
          </w:tcPr>
          <w:p w14:paraId="04637A02" w14:textId="77777777" w:rsidR="001530C0" w:rsidRDefault="001530C0" w:rsidP="00B502A0">
            <w:pPr>
              <w:spacing w:before="60" w:after="60"/>
              <w:jc w:val="both"/>
            </w:pPr>
            <w:r w:rsidRPr="009B434C">
              <w:t>Rozvoj infrastruktury vodíkových pln</w:t>
            </w:r>
            <w:r>
              <w:t>i</w:t>
            </w:r>
            <w:r w:rsidRPr="009B434C">
              <w:t>cích stanic</w:t>
            </w:r>
            <w:r w:rsidR="00E957C2">
              <w:t xml:space="preserve"> (kap. 4.3.2.)</w:t>
            </w:r>
          </w:p>
        </w:tc>
      </w:tr>
      <w:tr w:rsidR="00B85563" w14:paraId="2145B4FD" w14:textId="77777777" w:rsidTr="00BF2C37">
        <w:trPr>
          <w:trHeight w:val="52"/>
        </w:trPr>
        <w:tc>
          <w:tcPr>
            <w:tcW w:w="1032" w:type="pct"/>
            <w:tcBorders>
              <w:top w:val="single" w:sz="4" w:space="0" w:color="auto"/>
              <w:left w:val="single" w:sz="12" w:space="0" w:color="auto"/>
              <w:bottom w:val="single" w:sz="4" w:space="0" w:color="auto"/>
              <w:right w:val="single" w:sz="12" w:space="0" w:color="auto"/>
            </w:tcBorders>
            <w:hideMark/>
          </w:tcPr>
          <w:p w14:paraId="4605F18B" w14:textId="77777777" w:rsidR="001530C0" w:rsidRDefault="001530C0" w:rsidP="00B502A0">
            <w:pPr>
              <w:spacing w:before="60" w:after="60"/>
              <w:jc w:val="both"/>
            </w:pPr>
            <w:r>
              <w:t xml:space="preserve">Cíl opatření </w:t>
            </w:r>
          </w:p>
        </w:tc>
        <w:tc>
          <w:tcPr>
            <w:tcW w:w="3968" w:type="pct"/>
            <w:tcBorders>
              <w:top w:val="single" w:sz="4" w:space="0" w:color="auto"/>
              <w:left w:val="single" w:sz="12" w:space="0" w:color="auto"/>
              <w:bottom w:val="single" w:sz="4" w:space="0" w:color="auto"/>
              <w:right w:val="single" w:sz="12" w:space="0" w:color="auto"/>
            </w:tcBorders>
            <w:hideMark/>
          </w:tcPr>
          <w:p w14:paraId="6D103171" w14:textId="602DDB30" w:rsidR="001530C0" w:rsidRDefault="001530C0" w:rsidP="005A1247">
            <w:pPr>
              <w:spacing w:before="60" w:after="60"/>
              <w:jc w:val="both"/>
            </w:pPr>
            <w:r>
              <w:t xml:space="preserve">Cílem opatření je do roku 2025 pokrýt veškeré dopravní hlavní tahy TEN-T (D1, </w:t>
            </w:r>
            <w:r w:rsidR="00E20BCF">
              <w:t xml:space="preserve">D2, D3, </w:t>
            </w:r>
            <w:r>
              <w:t>D5, D8, D11) a</w:t>
            </w:r>
            <w:r w:rsidR="005A1247">
              <w:t> </w:t>
            </w:r>
            <w:r>
              <w:t>vybudování 15 veřejných plnicích stanic vodíku (HRS) za účelem vybudování infrastruktury pro mezinárodní a</w:t>
            </w:r>
            <w:r w:rsidR="005A1247">
              <w:t> </w:t>
            </w:r>
            <w:r>
              <w:t>vnitrostátní dopravu.</w:t>
            </w:r>
          </w:p>
        </w:tc>
      </w:tr>
      <w:tr w:rsidR="00B85563" w14:paraId="74DB4DFE" w14:textId="77777777" w:rsidTr="00BF2C37">
        <w:trPr>
          <w:trHeight w:val="52"/>
        </w:trPr>
        <w:tc>
          <w:tcPr>
            <w:tcW w:w="1032" w:type="pct"/>
            <w:tcBorders>
              <w:top w:val="single" w:sz="4" w:space="0" w:color="auto"/>
              <w:left w:val="single" w:sz="12" w:space="0" w:color="auto"/>
              <w:bottom w:val="single" w:sz="4" w:space="0" w:color="auto"/>
              <w:right w:val="single" w:sz="12" w:space="0" w:color="auto"/>
            </w:tcBorders>
            <w:hideMark/>
          </w:tcPr>
          <w:p w14:paraId="0A3D07FC" w14:textId="77777777" w:rsidR="001530C0" w:rsidRDefault="001530C0" w:rsidP="00B502A0">
            <w:pPr>
              <w:spacing w:before="60" w:after="60"/>
              <w:jc w:val="both"/>
            </w:pPr>
            <w:r>
              <w:t>Popis opatření</w:t>
            </w:r>
          </w:p>
        </w:tc>
        <w:tc>
          <w:tcPr>
            <w:tcW w:w="3968" w:type="pct"/>
            <w:tcBorders>
              <w:top w:val="single" w:sz="4" w:space="0" w:color="auto"/>
              <w:left w:val="single" w:sz="12" w:space="0" w:color="auto"/>
              <w:bottom w:val="single" w:sz="4" w:space="0" w:color="auto"/>
              <w:right w:val="single" w:sz="12" w:space="0" w:color="auto"/>
            </w:tcBorders>
            <w:hideMark/>
          </w:tcPr>
          <w:p w14:paraId="6267F941" w14:textId="42FA9F76" w:rsidR="001530C0" w:rsidRDefault="001530C0" w:rsidP="00B502A0">
            <w:pPr>
              <w:spacing w:before="60" w:after="60"/>
              <w:jc w:val="both"/>
            </w:pPr>
            <w:r>
              <w:t>Pokračování v</w:t>
            </w:r>
            <w:r w:rsidR="005A1247">
              <w:t> </w:t>
            </w:r>
            <w:r>
              <w:t>tvorbě operačních programů v</w:t>
            </w:r>
            <w:r w:rsidR="005A1247">
              <w:t> </w:t>
            </w:r>
            <w:r>
              <w:t>takové struktuře, aby minimálně 25 % veškeré alokace na podporu v</w:t>
            </w:r>
            <w:r w:rsidR="005A1247">
              <w:t> </w:t>
            </w:r>
            <w:r>
              <w:t>této oblasti bylo směřováno do rozvoje infrastruktury vodíkových plnicích stanic. Udělování dotací s</w:t>
            </w:r>
            <w:r w:rsidR="005A1247">
              <w:t> </w:t>
            </w:r>
            <w:r>
              <w:t>preferencí pro výstavbu veřejných plnicích stanic na síti TEN-T.</w:t>
            </w:r>
          </w:p>
          <w:p w14:paraId="49D220FB" w14:textId="3ED256D2" w:rsidR="001530C0" w:rsidRDefault="001530C0" w:rsidP="00B502A0">
            <w:pPr>
              <w:spacing w:before="60" w:after="60"/>
              <w:jc w:val="both"/>
            </w:pPr>
            <w:r>
              <w:t>Efektivní využívání zdrojů z</w:t>
            </w:r>
            <w:r w:rsidR="005A1247">
              <w:t> </w:t>
            </w:r>
            <w:r>
              <w:t>CEF.</w:t>
            </w:r>
          </w:p>
          <w:p w14:paraId="1D482C61" w14:textId="77777777" w:rsidR="001530C0" w:rsidRDefault="001530C0" w:rsidP="00B502A0">
            <w:pPr>
              <w:spacing w:before="60" w:after="60"/>
              <w:jc w:val="both"/>
              <w:rPr>
                <w:highlight w:val="yellow"/>
              </w:rPr>
            </w:pPr>
            <w:r>
              <w:t>Vyšší podpora méně frekventovaných tahů ze skupiny TEN-T.</w:t>
            </w:r>
          </w:p>
        </w:tc>
      </w:tr>
      <w:tr w:rsidR="00B85563" w14:paraId="16AA1CB9" w14:textId="77777777" w:rsidTr="00BF2C37">
        <w:trPr>
          <w:trHeight w:val="52"/>
        </w:trPr>
        <w:tc>
          <w:tcPr>
            <w:tcW w:w="1032" w:type="pct"/>
            <w:tcBorders>
              <w:top w:val="single" w:sz="4" w:space="0" w:color="auto"/>
              <w:left w:val="single" w:sz="12" w:space="0" w:color="auto"/>
              <w:bottom w:val="single" w:sz="4" w:space="0" w:color="auto"/>
              <w:right w:val="single" w:sz="12" w:space="0" w:color="auto"/>
            </w:tcBorders>
            <w:hideMark/>
          </w:tcPr>
          <w:p w14:paraId="1C4BF16D" w14:textId="535D2648" w:rsidR="001530C0" w:rsidRDefault="001530C0" w:rsidP="005A1247">
            <w:pPr>
              <w:spacing w:before="60" w:after="60"/>
              <w:jc w:val="both"/>
            </w:pPr>
            <w:r>
              <w:t>Příklad z</w:t>
            </w:r>
            <w:r w:rsidR="005A1247">
              <w:t> </w:t>
            </w:r>
            <w:r>
              <w:t>praxe</w:t>
            </w:r>
          </w:p>
        </w:tc>
        <w:tc>
          <w:tcPr>
            <w:tcW w:w="3968" w:type="pct"/>
            <w:tcBorders>
              <w:top w:val="single" w:sz="4" w:space="0" w:color="auto"/>
              <w:left w:val="single" w:sz="12" w:space="0" w:color="auto"/>
              <w:bottom w:val="single" w:sz="4" w:space="0" w:color="auto"/>
              <w:right w:val="single" w:sz="12" w:space="0" w:color="auto"/>
            </w:tcBorders>
            <w:hideMark/>
          </w:tcPr>
          <w:p w14:paraId="2879A8A8" w14:textId="77777777" w:rsidR="001530C0" w:rsidRDefault="001530C0" w:rsidP="00B502A0">
            <w:pPr>
              <w:spacing w:before="60" w:after="60"/>
              <w:jc w:val="both"/>
            </w:pPr>
            <w:r>
              <w:t>Japonsko – podpora vlády na dokončení výstavby 160 plnicích stanic do roku 2020.</w:t>
            </w:r>
          </w:p>
          <w:p w14:paraId="5E480880" w14:textId="77777777" w:rsidR="001530C0" w:rsidRDefault="001530C0" w:rsidP="00B502A0">
            <w:pPr>
              <w:spacing w:before="60" w:after="60"/>
              <w:jc w:val="both"/>
            </w:pPr>
            <w:r>
              <w:t>Jižní Korea – podpora vlády na dokončení výstavby 100 plnicích stanic do roku 2020.</w:t>
            </w:r>
          </w:p>
          <w:p w14:paraId="0C7AFDAE" w14:textId="0ACCB70D" w:rsidR="001530C0" w:rsidRDefault="001530C0" w:rsidP="00B502A0">
            <w:pPr>
              <w:spacing w:before="60" w:after="60"/>
              <w:jc w:val="both"/>
            </w:pPr>
            <w:r>
              <w:t>Německo – do roku 2016 investováno 1,4 miliardy EUR, podpora 250 mil. EUR pro období 2017-2019 (plán mít v</w:t>
            </w:r>
            <w:r w:rsidR="005A1247">
              <w:t> </w:t>
            </w:r>
            <w:r>
              <w:t>roce 2020 100 plnicích stanic)</w:t>
            </w:r>
          </w:p>
          <w:p w14:paraId="6562B441" w14:textId="77777777" w:rsidR="001530C0" w:rsidRDefault="001530C0" w:rsidP="00B502A0">
            <w:pPr>
              <w:spacing w:before="60" w:after="60"/>
              <w:jc w:val="both"/>
            </w:pPr>
            <w:r>
              <w:t>Francie – 100 mil. EUR na nákup 100 vodíkových plnicích stanic do roku 2023.</w:t>
            </w:r>
          </w:p>
        </w:tc>
      </w:tr>
      <w:tr w:rsidR="00B85563" w14:paraId="7CE8DEE4" w14:textId="77777777" w:rsidTr="00BF2C37">
        <w:trPr>
          <w:trHeight w:val="52"/>
        </w:trPr>
        <w:tc>
          <w:tcPr>
            <w:tcW w:w="1032" w:type="pct"/>
            <w:tcBorders>
              <w:top w:val="single" w:sz="4" w:space="0" w:color="auto"/>
              <w:left w:val="single" w:sz="12" w:space="0" w:color="auto"/>
              <w:bottom w:val="single" w:sz="4" w:space="0" w:color="auto"/>
              <w:right w:val="single" w:sz="12" w:space="0" w:color="auto"/>
            </w:tcBorders>
            <w:hideMark/>
          </w:tcPr>
          <w:p w14:paraId="171CA965" w14:textId="77777777" w:rsidR="001530C0" w:rsidRDefault="001530C0" w:rsidP="00B502A0">
            <w:pPr>
              <w:spacing w:before="60" w:after="60"/>
              <w:jc w:val="both"/>
            </w:pPr>
            <w:r>
              <w:t>Rozpočtový dopad / financování</w:t>
            </w:r>
          </w:p>
        </w:tc>
        <w:tc>
          <w:tcPr>
            <w:tcW w:w="3968" w:type="pct"/>
            <w:tcBorders>
              <w:top w:val="single" w:sz="4" w:space="0" w:color="auto"/>
              <w:left w:val="single" w:sz="12" w:space="0" w:color="auto"/>
              <w:bottom w:val="single" w:sz="4" w:space="0" w:color="auto"/>
              <w:right w:val="single" w:sz="12" w:space="0" w:color="auto"/>
            </w:tcBorders>
            <w:hideMark/>
          </w:tcPr>
          <w:p w14:paraId="419B4668" w14:textId="77777777" w:rsidR="001530C0" w:rsidRDefault="001530C0" w:rsidP="00B502A0">
            <w:pPr>
              <w:spacing w:before="60" w:after="60"/>
              <w:jc w:val="both"/>
            </w:pPr>
            <w:r>
              <w:t>CEF</w:t>
            </w:r>
          </w:p>
        </w:tc>
      </w:tr>
      <w:tr w:rsidR="00B85563" w14:paraId="09FEFB07" w14:textId="77777777" w:rsidTr="00BF2C37">
        <w:trPr>
          <w:trHeight w:val="52"/>
        </w:trPr>
        <w:tc>
          <w:tcPr>
            <w:tcW w:w="1032" w:type="pct"/>
            <w:tcBorders>
              <w:top w:val="single" w:sz="4" w:space="0" w:color="auto"/>
              <w:left w:val="single" w:sz="12" w:space="0" w:color="auto"/>
              <w:bottom w:val="single" w:sz="4" w:space="0" w:color="auto"/>
              <w:right w:val="single" w:sz="12" w:space="0" w:color="auto"/>
            </w:tcBorders>
            <w:hideMark/>
          </w:tcPr>
          <w:p w14:paraId="0CBBCC3D" w14:textId="77777777" w:rsidR="001530C0" w:rsidRDefault="001530C0" w:rsidP="00B502A0">
            <w:pPr>
              <w:spacing w:before="60" w:after="60"/>
              <w:jc w:val="both"/>
            </w:pPr>
            <w:r>
              <w:t>Odpovědnost</w:t>
            </w:r>
          </w:p>
        </w:tc>
        <w:tc>
          <w:tcPr>
            <w:tcW w:w="3968" w:type="pct"/>
            <w:tcBorders>
              <w:top w:val="single" w:sz="4" w:space="0" w:color="auto"/>
              <w:left w:val="single" w:sz="12" w:space="0" w:color="auto"/>
              <w:bottom w:val="single" w:sz="4" w:space="0" w:color="auto"/>
              <w:right w:val="single" w:sz="12" w:space="0" w:color="auto"/>
            </w:tcBorders>
            <w:hideMark/>
          </w:tcPr>
          <w:p w14:paraId="1B96F9EF" w14:textId="77777777" w:rsidR="001530C0" w:rsidRDefault="001530C0" w:rsidP="00B502A0">
            <w:pPr>
              <w:spacing w:before="60" w:after="60"/>
              <w:jc w:val="both"/>
            </w:pPr>
            <w:r>
              <w:t>MD</w:t>
            </w:r>
          </w:p>
        </w:tc>
      </w:tr>
      <w:tr w:rsidR="00B85563" w14:paraId="1D3E76C5" w14:textId="77777777" w:rsidTr="00BF2C37">
        <w:trPr>
          <w:trHeight w:val="52"/>
        </w:trPr>
        <w:tc>
          <w:tcPr>
            <w:tcW w:w="1032" w:type="pct"/>
            <w:tcBorders>
              <w:top w:val="single" w:sz="4" w:space="0" w:color="auto"/>
              <w:left w:val="single" w:sz="12" w:space="0" w:color="auto"/>
              <w:bottom w:val="single" w:sz="12" w:space="0" w:color="auto"/>
              <w:right w:val="single" w:sz="12" w:space="0" w:color="auto"/>
            </w:tcBorders>
            <w:hideMark/>
          </w:tcPr>
          <w:p w14:paraId="15F0EDAC" w14:textId="77777777" w:rsidR="001530C0" w:rsidRDefault="001530C0" w:rsidP="00B502A0">
            <w:pPr>
              <w:spacing w:before="60" w:after="60"/>
              <w:jc w:val="both"/>
            </w:pPr>
            <w:r>
              <w:t>Termín</w:t>
            </w:r>
          </w:p>
        </w:tc>
        <w:tc>
          <w:tcPr>
            <w:tcW w:w="3968" w:type="pct"/>
            <w:tcBorders>
              <w:top w:val="single" w:sz="4" w:space="0" w:color="auto"/>
              <w:left w:val="single" w:sz="12" w:space="0" w:color="auto"/>
              <w:bottom w:val="single" w:sz="12" w:space="0" w:color="auto"/>
              <w:right w:val="single" w:sz="12" w:space="0" w:color="auto"/>
            </w:tcBorders>
            <w:hideMark/>
          </w:tcPr>
          <w:p w14:paraId="56DAA6D1" w14:textId="77777777" w:rsidR="001530C0" w:rsidRDefault="001530C0" w:rsidP="00B502A0">
            <w:pPr>
              <w:spacing w:before="60" w:after="60"/>
              <w:jc w:val="both"/>
            </w:pPr>
            <w:r>
              <w:t>2020-2027</w:t>
            </w:r>
          </w:p>
        </w:tc>
      </w:tr>
    </w:tbl>
    <w:p w14:paraId="005F2B0D" w14:textId="77777777" w:rsidR="001530C0" w:rsidRDefault="001530C0" w:rsidP="009A3B7E">
      <w:pPr>
        <w:jc w:val="both"/>
      </w:pPr>
    </w:p>
    <w:p w14:paraId="26414ED7" w14:textId="77777777" w:rsidR="00944EFB" w:rsidRDefault="00944EFB" w:rsidP="009A3B7E">
      <w:pPr>
        <w:jc w:val="both"/>
      </w:pPr>
    </w:p>
    <w:p w14:paraId="11AD822A" w14:textId="77777777" w:rsidR="004239FB" w:rsidRDefault="004239FB" w:rsidP="009A3B7E">
      <w:pPr>
        <w:jc w:val="both"/>
      </w:pPr>
    </w:p>
    <w:p w14:paraId="4867367C" w14:textId="77777777" w:rsidR="004239FB" w:rsidRDefault="004239FB" w:rsidP="009A3B7E">
      <w:pPr>
        <w:jc w:val="both"/>
      </w:pPr>
    </w:p>
    <w:p w14:paraId="3AA219D9" w14:textId="77777777" w:rsidR="004239FB" w:rsidRDefault="004239FB" w:rsidP="009A3B7E">
      <w:pPr>
        <w:jc w:val="both"/>
      </w:pPr>
    </w:p>
    <w:p w14:paraId="77C67BC3" w14:textId="77777777" w:rsidR="004239FB" w:rsidRDefault="004239FB" w:rsidP="009A3B7E">
      <w:pPr>
        <w:jc w:val="both"/>
      </w:pPr>
    </w:p>
    <w:p w14:paraId="327A4FAB" w14:textId="77777777" w:rsidR="00944EFB" w:rsidRDefault="00944EFB" w:rsidP="009A3B7E">
      <w:pPr>
        <w:jc w:val="both"/>
      </w:pPr>
    </w:p>
    <w:p w14:paraId="5E035023" w14:textId="77777777" w:rsidR="001530C0" w:rsidRDefault="001530C0" w:rsidP="009A3B7E">
      <w:pPr>
        <w:pStyle w:val="Nadpis2"/>
        <w:jc w:val="both"/>
      </w:pPr>
      <w:bookmarkStart w:id="108" w:name="_Toc23861977"/>
      <w:bookmarkStart w:id="109" w:name="_Toc23862009"/>
      <w:bookmarkStart w:id="110" w:name="_Toc21589176"/>
      <w:bookmarkStart w:id="111" w:name="_Toc34387157"/>
      <w:bookmarkEnd w:id="108"/>
      <w:bookmarkEnd w:id="109"/>
      <w:r w:rsidRPr="00EE6B57">
        <w:lastRenderedPageBreak/>
        <w:t>Nefinanční pobídky na straně poptávky</w:t>
      </w:r>
      <w:bookmarkEnd w:id="110"/>
      <w:bookmarkEnd w:id="111"/>
    </w:p>
    <w:p w14:paraId="40263452" w14:textId="08CE8496" w:rsidR="001530C0" w:rsidRDefault="0012139C" w:rsidP="009A3B7E">
      <w:pPr>
        <w:pStyle w:val="Nadpis3"/>
        <w:jc w:val="both"/>
      </w:pPr>
      <w:bookmarkStart w:id="112" w:name="_Toc21589177"/>
      <w:r>
        <w:t>S19</w:t>
      </w:r>
      <w:r w:rsidR="001530C0">
        <w:t xml:space="preserve"> </w:t>
      </w:r>
      <w:r w:rsidR="001530C0" w:rsidRPr="00F33F55">
        <w:t>Zvýhodněné parkování na jinak vyhrazených místech pro vozidla na alternativní paliva</w:t>
      </w:r>
      <w:bookmarkEnd w:id="112"/>
    </w:p>
    <w:tbl>
      <w:tblPr>
        <w:tblW w:w="9341" w:type="dxa"/>
        <w:jc w:val="center"/>
        <w:tblCellMar>
          <w:left w:w="0" w:type="dxa"/>
          <w:right w:w="0" w:type="dxa"/>
        </w:tblCellMar>
        <w:tblLook w:val="00A0" w:firstRow="1" w:lastRow="0" w:firstColumn="1" w:lastColumn="0" w:noHBand="0" w:noVBand="0"/>
      </w:tblPr>
      <w:tblGrid>
        <w:gridCol w:w="1981"/>
        <w:gridCol w:w="7360"/>
      </w:tblGrid>
      <w:tr w:rsidR="001530C0" w:rsidRPr="00D5678F" w14:paraId="0B041260" w14:textId="77777777" w:rsidTr="00D005FA">
        <w:trPr>
          <w:cantSplit/>
          <w:jc w:val="center"/>
        </w:trPr>
        <w:tc>
          <w:tcPr>
            <w:tcW w:w="934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14B1FB58" w14:textId="77777777" w:rsidR="001530C0" w:rsidRPr="00F33F55" w:rsidRDefault="001530C0" w:rsidP="00C042D4">
            <w:pPr>
              <w:pStyle w:val="Zhlavtabulky"/>
              <w:spacing w:before="60" w:after="60"/>
              <w:jc w:val="both"/>
              <w:rPr>
                <w:rFonts w:cs="Arial"/>
                <w:szCs w:val="22"/>
              </w:rPr>
            </w:pPr>
            <w:r w:rsidRPr="00F33F55">
              <w:rPr>
                <w:rFonts w:cs="Arial"/>
                <w:color w:val="FFFFFF" w:themeColor="background1"/>
                <w:szCs w:val="22"/>
              </w:rPr>
              <w:t>S</w:t>
            </w:r>
            <w:r w:rsidR="008135B3">
              <w:rPr>
                <w:rFonts w:cs="Arial"/>
                <w:color w:val="FFFFFF" w:themeColor="background1"/>
                <w:szCs w:val="22"/>
              </w:rPr>
              <w:t>18</w:t>
            </w:r>
            <w:r w:rsidRPr="00F33F55">
              <w:rPr>
                <w:rFonts w:cs="Arial"/>
                <w:color w:val="FFFFFF" w:themeColor="background1"/>
                <w:szCs w:val="22"/>
              </w:rPr>
              <w:t xml:space="preserve"> Zvýhodněné parkování na jinak vyhrazených místech pro vozidla na alternativní paliva</w:t>
            </w:r>
          </w:p>
        </w:tc>
      </w:tr>
      <w:tr w:rsidR="001530C0" w:rsidRPr="00D5678F" w14:paraId="40C27DA3" w14:textId="77777777" w:rsidTr="00D005FA">
        <w:trPr>
          <w:cantSplit/>
          <w:jc w:val="center"/>
        </w:trPr>
        <w:tc>
          <w:tcPr>
            <w:tcW w:w="1981"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36419137" w14:textId="77777777" w:rsidR="001530C0" w:rsidRPr="00F33F55" w:rsidRDefault="001530C0" w:rsidP="009A3B7E">
            <w:pPr>
              <w:spacing w:before="60" w:after="60"/>
              <w:jc w:val="both"/>
              <w:rPr>
                <w:rFonts w:cs="Arial"/>
                <w:szCs w:val="22"/>
              </w:rPr>
            </w:pPr>
            <w:r w:rsidRPr="00F33F55">
              <w:rPr>
                <w:rFonts w:cs="Arial"/>
                <w:szCs w:val="22"/>
              </w:rPr>
              <w:t>Návaznost na strategický cíl</w:t>
            </w:r>
          </w:p>
        </w:tc>
        <w:tc>
          <w:tcPr>
            <w:tcW w:w="7360" w:type="dxa"/>
            <w:tcBorders>
              <w:top w:val="nil"/>
              <w:left w:val="nil"/>
              <w:bottom w:val="single" w:sz="4" w:space="0" w:color="auto"/>
              <w:right w:val="single" w:sz="12" w:space="0" w:color="auto"/>
            </w:tcBorders>
            <w:tcMar>
              <w:top w:w="0" w:type="dxa"/>
              <w:left w:w="70" w:type="dxa"/>
              <w:bottom w:w="0" w:type="dxa"/>
              <w:right w:w="70" w:type="dxa"/>
            </w:tcMar>
          </w:tcPr>
          <w:p w14:paraId="0C6CC87F" w14:textId="77777777" w:rsidR="001530C0" w:rsidRPr="00E806F2" w:rsidRDefault="001530C0" w:rsidP="00B502A0">
            <w:pPr>
              <w:pStyle w:val="TableText"/>
              <w:spacing w:before="60" w:after="60" w:line="240" w:lineRule="auto"/>
              <w:jc w:val="both"/>
              <w:rPr>
                <w:sz w:val="22"/>
                <w:szCs w:val="22"/>
              </w:rPr>
            </w:pPr>
            <w:r w:rsidRPr="00E806F2">
              <w:rPr>
                <w:sz w:val="22"/>
                <w:szCs w:val="22"/>
              </w:rPr>
              <w:t>Rozvoj trhu elektrických vozidel</w:t>
            </w:r>
            <w:r w:rsidR="00E957C2">
              <w:rPr>
                <w:sz w:val="22"/>
                <w:szCs w:val="22"/>
              </w:rPr>
              <w:t xml:space="preserve"> (kap. 2.4.1.)</w:t>
            </w:r>
          </w:p>
          <w:p w14:paraId="445457A0" w14:textId="77777777" w:rsidR="001530C0" w:rsidRPr="00E806F2" w:rsidRDefault="001530C0" w:rsidP="00B502A0">
            <w:pPr>
              <w:pStyle w:val="TableText"/>
              <w:spacing w:before="60" w:after="60" w:line="240" w:lineRule="auto"/>
              <w:jc w:val="both"/>
              <w:rPr>
                <w:sz w:val="22"/>
                <w:szCs w:val="22"/>
              </w:rPr>
            </w:pPr>
            <w:r w:rsidRPr="00E806F2">
              <w:rPr>
                <w:sz w:val="22"/>
                <w:szCs w:val="22"/>
              </w:rPr>
              <w:t xml:space="preserve">Rozvoj trhu vozidel na zemní plyn </w:t>
            </w:r>
            <w:r w:rsidR="00E957C2">
              <w:rPr>
                <w:sz w:val="22"/>
                <w:szCs w:val="22"/>
              </w:rPr>
              <w:t>(kap. 3.3.1.)</w:t>
            </w:r>
          </w:p>
          <w:p w14:paraId="72B26465" w14:textId="77777777" w:rsidR="001530C0" w:rsidRPr="00F33F55" w:rsidRDefault="001530C0" w:rsidP="00B502A0">
            <w:pPr>
              <w:pStyle w:val="TableText"/>
              <w:spacing w:before="60" w:after="60" w:line="240" w:lineRule="auto"/>
              <w:jc w:val="both"/>
              <w:rPr>
                <w:rFonts w:cs="Arial"/>
                <w:szCs w:val="22"/>
              </w:rPr>
            </w:pPr>
            <w:r w:rsidRPr="00E806F2">
              <w:rPr>
                <w:sz w:val="22"/>
                <w:szCs w:val="22"/>
              </w:rPr>
              <w:t>Rozvoj trhu vodíkových vozidel</w:t>
            </w:r>
            <w:r w:rsidR="00E957C2">
              <w:rPr>
                <w:sz w:val="22"/>
                <w:szCs w:val="22"/>
              </w:rPr>
              <w:t xml:space="preserve"> (kap. 4.3.1.)</w:t>
            </w:r>
          </w:p>
        </w:tc>
      </w:tr>
      <w:tr w:rsidR="001530C0" w:rsidRPr="00D5678F" w14:paraId="58B61236"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005AB54E" w14:textId="77777777" w:rsidR="001530C0" w:rsidRPr="00F33F55" w:rsidRDefault="001530C0" w:rsidP="009A3B7E">
            <w:pPr>
              <w:spacing w:before="60" w:after="60"/>
              <w:jc w:val="both"/>
              <w:rPr>
                <w:rFonts w:cs="Arial"/>
                <w:szCs w:val="22"/>
              </w:rPr>
            </w:pPr>
            <w:r w:rsidRPr="00F33F55">
              <w:rPr>
                <w:rFonts w:cs="Arial"/>
                <w:szCs w:val="22"/>
              </w:rPr>
              <w:t>Cíl opatření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2EA11B5" w14:textId="7ED01E72" w:rsidR="001530C0" w:rsidRPr="00F33F55" w:rsidRDefault="001530C0" w:rsidP="005A1247">
            <w:pPr>
              <w:spacing w:before="60" w:after="60"/>
              <w:jc w:val="both"/>
              <w:rPr>
                <w:rFonts w:cs="Arial"/>
                <w:szCs w:val="22"/>
              </w:rPr>
            </w:pPr>
            <w:r w:rsidRPr="00F33F55">
              <w:rPr>
                <w:rFonts w:cs="Arial"/>
                <w:szCs w:val="22"/>
              </w:rPr>
              <w:t>Cílem opatření je poskytnout uživatelům vozidel s</w:t>
            </w:r>
            <w:r w:rsidR="005A1247">
              <w:rPr>
                <w:rFonts w:cs="Arial"/>
                <w:szCs w:val="22"/>
              </w:rPr>
              <w:t> </w:t>
            </w:r>
            <w:r w:rsidRPr="00F33F55">
              <w:rPr>
                <w:rFonts w:cs="Arial"/>
                <w:szCs w:val="22"/>
              </w:rPr>
              <w:t>alternativním pohonem zvýhodnění ve srovnání s</w:t>
            </w:r>
            <w:r w:rsidR="005A1247">
              <w:rPr>
                <w:rFonts w:cs="Arial"/>
                <w:szCs w:val="22"/>
              </w:rPr>
              <w:t> </w:t>
            </w:r>
            <w:r w:rsidRPr="00F33F55">
              <w:rPr>
                <w:rFonts w:cs="Arial"/>
                <w:szCs w:val="22"/>
              </w:rPr>
              <w:t>vozidly se spalovacím motorem na konvenční paliva, které může vylepšit jejich celkové náklady vlastnictví (TCO) díky možnosti dočasně (do 2020) parkovat v</w:t>
            </w:r>
            <w:r w:rsidR="005A1247">
              <w:rPr>
                <w:rFonts w:cs="Arial"/>
                <w:szCs w:val="22"/>
              </w:rPr>
              <w:t> </w:t>
            </w:r>
            <w:r w:rsidRPr="00F33F55">
              <w:rPr>
                <w:rFonts w:cs="Arial"/>
                <w:szCs w:val="22"/>
              </w:rPr>
              <w:t>zónách s</w:t>
            </w:r>
            <w:r w:rsidR="005A1247">
              <w:rPr>
                <w:rFonts w:cs="Arial"/>
                <w:szCs w:val="22"/>
              </w:rPr>
              <w:t> </w:t>
            </w:r>
            <w:r w:rsidRPr="00F33F55">
              <w:rPr>
                <w:rFonts w:cs="Arial"/>
                <w:szCs w:val="22"/>
              </w:rPr>
              <w:t>omezeným přístupem (modré zóny) za zvýhodněnou cenu (s přihlédnutím k</w:t>
            </w:r>
            <w:r w:rsidR="005A1247">
              <w:rPr>
                <w:rFonts w:cs="Arial"/>
                <w:szCs w:val="22"/>
              </w:rPr>
              <w:t> </w:t>
            </w:r>
            <w:r w:rsidRPr="00F33F55">
              <w:rPr>
                <w:rFonts w:cs="Arial"/>
                <w:szCs w:val="22"/>
              </w:rPr>
              <w:t>výši emisí).</w:t>
            </w:r>
          </w:p>
        </w:tc>
      </w:tr>
      <w:tr w:rsidR="001530C0" w:rsidRPr="00D5678F" w14:paraId="02E4F06E"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BE59874" w14:textId="77777777" w:rsidR="001530C0" w:rsidRPr="00F33F55" w:rsidRDefault="001530C0" w:rsidP="009A3B7E">
            <w:pPr>
              <w:spacing w:before="60" w:after="60"/>
              <w:jc w:val="both"/>
              <w:rPr>
                <w:rFonts w:cs="Arial"/>
                <w:szCs w:val="22"/>
              </w:rPr>
            </w:pPr>
            <w:r w:rsidRPr="00F33F55">
              <w:rPr>
                <w:rFonts w:cs="Arial"/>
                <w:szCs w:val="22"/>
              </w:rPr>
              <w:t>Popis opatření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2167721" w14:textId="4402E1A3" w:rsidR="001530C0" w:rsidRPr="00F33F55" w:rsidRDefault="001530C0" w:rsidP="005A1247">
            <w:pPr>
              <w:spacing w:before="60" w:after="60"/>
              <w:jc w:val="both"/>
              <w:rPr>
                <w:rFonts w:cs="Arial"/>
                <w:szCs w:val="22"/>
              </w:rPr>
            </w:pPr>
            <w:r w:rsidRPr="00F33F55">
              <w:rPr>
                <w:rFonts w:cs="Arial"/>
                <w:szCs w:val="22"/>
              </w:rPr>
              <w:t>Úleva na úrovni 100 % pro BEV a</w:t>
            </w:r>
            <w:r w:rsidR="005A1247">
              <w:rPr>
                <w:rFonts w:cs="Arial"/>
                <w:szCs w:val="22"/>
              </w:rPr>
              <w:t> </w:t>
            </w:r>
            <w:r w:rsidRPr="00F33F55">
              <w:rPr>
                <w:rFonts w:cs="Arial"/>
                <w:szCs w:val="22"/>
              </w:rPr>
              <w:t>PHEV do 50</w:t>
            </w:r>
            <w:r w:rsidR="00056999">
              <w:rPr>
                <w:rFonts w:cs="Arial"/>
                <w:szCs w:val="22"/>
              </w:rPr>
              <w:t xml:space="preserve"> </w:t>
            </w:r>
            <w:r w:rsidRPr="00F33F55">
              <w:rPr>
                <w:rFonts w:cs="Arial"/>
                <w:szCs w:val="22"/>
              </w:rPr>
              <w:t>g/CO</w:t>
            </w:r>
            <w:r w:rsidRPr="00F33F55">
              <w:rPr>
                <w:rFonts w:cs="Arial"/>
                <w:szCs w:val="22"/>
                <w:vertAlign w:val="subscript"/>
              </w:rPr>
              <w:t>2</w:t>
            </w:r>
            <w:r w:rsidRPr="00F33F55">
              <w:rPr>
                <w:rFonts w:cs="Arial"/>
                <w:szCs w:val="22"/>
              </w:rPr>
              <w:t>/km u</w:t>
            </w:r>
            <w:r w:rsidR="005A1247">
              <w:rPr>
                <w:rFonts w:cs="Arial"/>
                <w:szCs w:val="22"/>
              </w:rPr>
              <w:t> </w:t>
            </w:r>
            <w:r w:rsidRPr="00F33F55">
              <w:rPr>
                <w:rFonts w:cs="Arial"/>
                <w:szCs w:val="22"/>
              </w:rPr>
              <w:t>M1</w:t>
            </w:r>
            <w:r w:rsidR="007E6F8C">
              <w:rPr>
                <w:rFonts w:cs="Arial"/>
                <w:szCs w:val="22"/>
              </w:rPr>
              <w:t xml:space="preserve"> a</w:t>
            </w:r>
            <w:r w:rsidR="005A1247">
              <w:rPr>
                <w:rFonts w:cs="Arial"/>
                <w:szCs w:val="22"/>
              </w:rPr>
              <w:t> </w:t>
            </w:r>
            <w:r w:rsidR="007E6F8C">
              <w:rPr>
                <w:rFonts w:cs="Arial"/>
                <w:szCs w:val="22"/>
              </w:rPr>
              <w:t>u vodíkových elektrických vozidel.</w:t>
            </w:r>
          </w:p>
        </w:tc>
      </w:tr>
      <w:tr w:rsidR="001530C0" w:rsidRPr="00D5678F" w14:paraId="637FCEAD"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3E84B5C" w14:textId="66BF9088" w:rsidR="001530C0" w:rsidRPr="00F33F55" w:rsidRDefault="001530C0" w:rsidP="005A1247">
            <w:pPr>
              <w:spacing w:before="60" w:after="60"/>
              <w:jc w:val="both"/>
              <w:rPr>
                <w:rFonts w:cs="Arial"/>
                <w:szCs w:val="22"/>
              </w:rPr>
            </w:pPr>
            <w:r w:rsidRPr="00F33F55">
              <w:rPr>
                <w:rFonts w:cs="Arial"/>
                <w:szCs w:val="22"/>
              </w:rPr>
              <w:t>Využití opatření jinde v</w:t>
            </w:r>
            <w:r w:rsidR="005A1247">
              <w:rPr>
                <w:rFonts w:cs="Arial"/>
                <w:szCs w:val="22"/>
              </w:rPr>
              <w:t> </w:t>
            </w:r>
            <w:r w:rsidRPr="00F33F55">
              <w:rPr>
                <w:rFonts w:cs="Arial"/>
                <w:szCs w:val="22"/>
              </w:rPr>
              <w:t>Evropě / ve světě</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219FC006" w14:textId="77777777" w:rsidR="001530C0" w:rsidRPr="00F33F55" w:rsidRDefault="001530C0" w:rsidP="00C042D4">
            <w:pPr>
              <w:pStyle w:val="Zpat"/>
              <w:spacing w:before="60" w:after="60"/>
              <w:jc w:val="both"/>
              <w:rPr>
                <w:rFonts w:cs="Arial"/>
                <w:szCs w:val="22"/>
              </w:rPr>
            </w:pPr>
            <w:r w:rsidRPr="00F33F55">
              <w:rPr>
                <w:rFonts w:cs="Arial"/>
                <w:szCs w:val="22"/>
              </w:rPr>
              <w:t xml:space="preserve">Německo – 2014 schváleny zákony, které municipalitám umožní zavést parkování zdarma ve vyhrazených zónách. </w:t>
            </w:r>
          </w:p>
          <w:p w14:paraId="0896681F" w14:textId="6F9FB62D" w:rsidR="001530C0" w:rsidRPr="00F33F55" w:rsidRDefault="001530C0" w:rsidP="00262622">
            <w:pPr>
              <w:pStyle w:val="Zpat"/>
              <w:spacing w:before="60" w:after="60"/>
              <w:jc w:val="both"/>
              <w:rPr>
                <w:rFonts w:cs="Arial"/>
                <w:szCs w:val="22"/>
              </w:rPr>
            </w:pPr>
            <w:r w:rsidRPr="00F33F55">
              <w:rPr>
                <w:rFonts w:cs="Arial"/>
                <w:szCs w:val="22"/>
              </w:rPr>
              <w:t>Nizozemsko - Rotterdam poskytuje parkování elektromobilů v</w:t>
            </w:r>
            <w:r w:rsidR="005A1247">
              <w:rPr>
                <w:rFonts w:cs="Arial"/>
                <w:szCs w:val="22"/>
              </w:rPr>
              <w:t> </w:t>
            </w:r>
            <w:r w:rsidRPr="00F33F55">
              <w:rPr>
                <w:rFonts w:cs="Arial"/>
                <w:szCs w:val="22"/>
              </w:rPr>
              <w:t>centru města po dobu jednoho roku zdarma, Amsterdam – parkování zdarma.</w:t>
            </w:r>
          </w:p>
          <w:p w14:paraId="0D251ABF" w14:textId="77777777" w:rsidR="001530C0" w:rsidRPr="00F33F55" w:rsidRDefault="001530C0" w:rsidP="00B618F0">
            <w:pPr>
              <w:pStyle w:val="Zpat"/>
              <w:spacing w:before="60" w:after="60"/>
              <w:jc w:val="both"/>
              <w:rPr>
                <w:rFonts w:cs="Arial"/>
                <w:szCs w:val="22"/>
              </w:rPr>
            </w:pPr>
            <w:r w:rsidRPr="00F33F55">
              <w:rPr>
                <w:rFonts w:cs="Arial"/>
                <w:szCs w:val="22"/>
              </w:rPr>
              <w:t>Norsko – parkování zdarma na veřejných parkovacích místech.</w:t>
            </w:r>
          </w:p>
        </w:tc>
      </w:tr>
      <w:tr w:rsidR="001530C0" w:rsidRPr="00D5678F" w14:paraId="67ACC67A"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3928B304" w14:textId="3499BDC0" w:rsidR="001530C0" w:rsidRPr="00F33F55" w:rsidRDefault="001530C0" w:rsidP="005A1247">
            <w:pPr>
              <w:spacing w:before="60" w:after="60"/>
              <w:jc w:val="both"/>
              <w:rPr>
                <w:rFonts w:cs="Arial"/>
                <w:szCs w:val="22"/>
              </w:rPr>
            </w:pPr>
            <w:r w:rsidRPr="00F33F55">
              <w:rPr>
                <w:rFonts w:cs="Arial"/>
                <w:szCs w:val="22"/>
              </w:rPr>
              <w:t>Analogické opatření v</w:t>
            </w:r>
            <w:r w:rsidR="005A1247">
              <w:rPr>
                <w:rFonts w:cs="Arial"/>
                <w:szCs w:val="22"/>
              </w:rPr>
              <w:t> </w:t>
            </w:r>
            <w:r w:rsidRPr="00F33F55">
              <w:rPr>
                <w:rFonts w:cs="Arial"/>
                <w:szCs w:val="22"/>
              </w:rPr>
              <w:t>ČR</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69687711" w14:textId="77777777" w:rsidR="001530C0" w:rsidRPr="00F33F55" w:rsidRDefault="001530C0" w:rsidP="00C042D4">
            <w:pPr>
              <w:pStyle w:val="Zpat"/>
              <w:spacing w:before="60" w:after="60"/>
              <w:jc w:val="both"/>
              <w:rPr>
                <w:rFonts w:cs="Arial"/>
                <w:szCs w:val="22"/>
              </w:rPr>
            </w:pPr>
            <w:r w:rsidRPr="00F33F55">
              <w:rPr>
                <w:rFonts w:cs="Arial"/>
                <w:szCs w:val="22"/>
              </w:rPr>
              <w:t>Snížená cena za parkovací kartu pro právnickou osobu, která má ve své hlavní činnosti veřejně prospěšnou činnost (250 Kč/čtvrtletí).</w:t>
            </w:r>
          </w:p>
        </w:tc>
      </w:tr>
      <w:tr w:rsidR="001530C0" w:rsidRPr="00D5678F" w14:paraId="11B02611"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A472776" w14:textId="77777777" w:rsidR="001530C0" w:rsidRPr="00F33F55" w:rsidRDefault="001530C0" w:rsidP="009A3B7E">
            <w:pPr>
              <w:spacing w:before="60" w:after="60"/>
              <w:jc w:val="both"/>
              <w:rPr>
                <w:rFonts w:cs="Arial"/>
                <w:szCs w:val="22"/>
              </w:rPr>
            </w:pPr>
            <w:r w:rsidRPr="00F33F55">
              <w:rPr>
                <w:rFonts w:cs="Arial"/>
                <w:szCs w:val="22"/>
              </w:rPr>
              <w:t>Vazba na další opatření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6C1BE59" w14:textId="77777777" w:rsidR="001530C0" w:rsidRPr="00F33F55" w:rsidRDefault="001530C0" w:rsidP="00C042D4">
            <w:pPr>
              <w:pStyle w:val="Zpat"/>
              <w:spacing w:before="60" w:after="60"/>
              <w:jc w:val="both"/>
              <w:rPr>
                <w:rFonts w:cs="Arial"/>
                <w:szCs w:val="22"/>
              </w:rPr>
            </w:pPr>
            <w:r w:rsidRPr="00F33F55">
              <w:rPr>
                <w:rFonts w:cs="Arial"/>
                <w:szCs w:val="22"/>
              </w:rPr>
              <w:t>labelling elektro</w:t>
            </w:r>
          </w:p>
        </w:tc>
      </w:tr>
      <w:tr w:rsidR="001530C0" w:rsidRPr="00D5678F" w14:paraId="4A1D4EDD"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2DB10376" w14:textId="77777777" w:rsidR="001530C0" w:rsidRPr="00F33F55" w:rsidRDefault="001530C0" w:rsidP="009A3B7E">
            <w:pPr>
              <w:spacing w:before="60" w:after="60"/>
              <w:jc w:val="both"/>
              <w:rPr>
                <w:rFonts w:cs="Arial"/>
                <w:szCs w:val="22"/>
              </w:rPr>
            </w:pPr>
            <w:r w:rsidRPr="00F33F55">
              <w:rPr>
                <w:rFonts w:cs="Arial"/>
                <w:szCs w:val="22"/>
              </w:rPr>
              <w:t>Rozpočtový dopad / financování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ADEA2ED" w14:textId="77777777" w:rsidR="001530C0" w:rsidRPr="00F33F55" w:rsidRDefault="001530C0" w:rsidP="00C042D4">
            <w:pPr>
              <w:pStyle w:val="Zpat"/>
              <w:spacing w:before="60" w:after="60"/>
              <w:jc w:val="both"/>
              <w:rPr>
                <w:rFonts w:cs="Arial"/>
                <w:szCs w:val="22"/>
              </w:rPr>
            </w:pPr>
            <w:r w:rsidRPr="00F33F55">
              <w:rPr>
                <w:rFonts w:cs="Arial"/>
                <w:szCs w:val="22"/>
              </w:rPr>
              <w:t>Snížený výnos provozovatele zóny - většinou města či obce, odhad desítky milionů Kč do roku 2020.</w:t>
            </w:r>
          </w:p>
        </w:tc>
      </w:tr>
      <w:tr w:rsidR="001530C0" w:rsidRPr="00D5678F" w14:paraId="56C11B39"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1675C5C" w14:textId="77777777" w:rsidR="001530C0" w:rsidRPr="00F33F55" w:rsidRDefault="001530C0" w:rsidP="009A3B7E">
            <w:pPr>
              <w:spacing w:before="60" w:after="60"/>
              <w:jc w:val="both"/>
              <w:rPr>
                <w:rFonts w:cs="Arial"/>
                <w:szCs w:val="22"/>
              </w:rPr>
            </w:pPr>
            <w:r w:rsidRPr="00F33F55">
              <w:rPr>
                <w:rFonts w:cs="Arial"/>
                <w:szCs w:val="22"/>
              </w:rPr>
              <w:t>Odpovědnost</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54F1AB9" w14:textId="77777777" w:rsidR="001530C0" w:rsidRPr="00F33F55" w:rsidRDefault="001530C0" w:rsidP="00C042D4">
            <w:pPr>
              <w:pStyle w:val="Zpat"/>
              <w:spacing w:before="60" w:after="60"/>
              <w:jc w:val="both"/>
              <w:rPr>
                <w:rFonts w:cs="Arial"/>
                <w:szCs w:val="22"/>
              </w:rPr>
            </w:pPr>
            <w:r w:rsidRPr="00F33F55">
              <w:rPr>
                <w:rFonts w:cs="Arial"/>
                <w:szCs w:val="22"/>
              </w:rPr>
              <w:t>Provozovatel zóny (místně příslušná municipalita)</w:t>
            </w:r>
          </w:p>
        </w:tc>
      </w:tr>
      <w:tr w:rsidR="001530C0" w:rsidRPr="00D5678F" w14:paraId="5D0470DA" w14:textId="77777777" w:rsidTr="00D005FA">
        <w:trPr>
          <w:cantSplit/>
          <w:jc w:val="center"/>
        </w:trPr>
        <w:tc>
          <w:tcPr>
            <w:tcW w:w="1981"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493E48C0" w14:textId="77777777" w:rsidR="001530C0" w:rsidRPr="00F33F55" w:rsidRDefault="001530C0" w:rsidP="009A3B7E">
            <w:pPr>
              <w:spacing w:before="60" w:after="60"/>
              <w:jc w:val="both"/>
              <w:rPr>
                <w:rFonts w:cs="Arial"/>
                <w:szCs w:val="22"/>
              </w:rPr>
            </w:pPr>
            <w:r w:rsidRPr="00F33F55">
              <w:rPr>
                <w:rFonts w:cs="Arial"/>
                <w:szCs w:val="22"/>
              </w:rPr>
              <w:t>Termín</w:t>
            </w:r>
          </w:p>
        </w:tc>
        <w:tc>
          <w:tcPr>
            <w:tcW w:w="7360"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7579CEEE" w14:textId="77777777" w:rsidR="001530C0" w:rsidRPr="00F33F55" w:rsidRDefault="001530C0" w:rsidP="00C042D4">
            <w:pPr>
              <w:spacing w:before="60" w:after="60"/>
              <w:jc w:val="both"/>
              <w:rPr>
                <w:rFonts w:cs="Arial"/>
                <w:szCs w:val="22"/>
              </w:rPr>
            </w:pPr>
            <w:r>
              <w:rPr>
                <w:rFonts w:cs="Arial"/>
                <w:szCs w:val="22"/>
              </w:rPr>
              <w:t>2020</w:t>
            </w:r>
          </w:p>
        </w:tc>
      </w:tr>
    </w:tbl>
    <w:p w14:paraId="0E6A46B9" w14:textId="77777777" w:rsidR="001530C0" w:rsidRDefault="001530C0" w:rsidP="009A3B7E">
      <w:pPr>
        <w:jc w:val="both"/>
      </w:pPr>
    </w:p>
    <w:p w14:paraId="1E27CD6C" w14:textId="77777777" w:rsidR="001530C0" w:rsidRDefault="001530C0" w:rsidP="009A3B7E">
      <w:pPr>
        <w:spacing w:before="0" w:after="0"/>
        <w:jc w:val="both"/>
      </w:pPr>
      <w:r>
        <w:br w:type="page"/>
      </w:r>
    </w:p>
    <w:p w14:paraId="78007422" w14:textId="75968BFC" w:rsidR="001530C0" w:rsidRDefault="005A511B" w:rsidP="009A3B7E">
      <w:pPr>
        <w:pStyle w:val="Nadpis3"/>
        <w:jc w:val="both"/>
      </w:pPr>
      <w:bookmarkStart w:id="113" w:name="_Toc21589178"/>
      <w:r>
        <w:lastRenderedPageBreak/>
        <w:t>S20</w:t>
      </w:r>
      <w:r w:rsidR="001530C0">
        <w:t xml:space="preserve"> </w:t>
      </w:r>
      <w:r w:rsidR="001530C0" w:rsidRPr="00E81B2B">
        <w:t>Metodika pro vyčlenění parkovacích stání a</w:t>
      </w:r>
      <w:r w:rsidR="005A1247">
        <w:t> </w:t>
      </w:r>
      <w:r w:rsidR="001530C0" w:rsidRPr="00E81B2B">
        <w:t>zajištění jeho vymahatelnosti</w:t>
      </w:r>
      <w:bookmarkEnd w:id="113"/>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1530C0" w14:paraId="3A46C521" w14:textId="77777777" w:rsidTr="00D005FA">
        <w:tc>
          <w:tcPr>
            <w:tcW w:w="934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hideMark/>
          </w:tcPr>
          <w:p w14:paraId="44743CA1" w14:textId="2F705354" w:rsidR="001530C0" w:rsidRDefault="005A511B" w:rsidP="005A1247">
            <w:pPr>
              <w:jc w:val="both"/>
              <w:rPr>
                <w:rFonts w:cs="Arial"/>
                <w:b/>
                <w:color w:val="FFFFFF" w:themeColor="background1"/>
              </w:rPr>
            </w:pPr>
            <w:r>
              <w:rPr>
                <w:rFonts w:cs="Arial"/>
                <w:b/>
                <w:color w:val="FFFFFF" w:themeColor="background1"/>
              </w:rPr>
              <w:t>S20</w:t>
            </w:r>
            <w:r w:rsidR="001530C0">
              <w:rPr>
                <w:rFonts w:cs="Arial"/>
                <w:b/>
                <w:color w:val="FFFFFF" w:themeColor="background1"/>
              </w:rPr>
              <w:t xml:space="preserve"> Metodika pro vyčlenění parkovacích stání a</w:t>
            </w:r>
            <w:r w:rsidR="005A1247">
              <w:rPr>
                <w:rFonts w:cs="Arial"/>
                <w:b/>
                <w:color w:val="FFFFFF" w:themeColor="background1"/>
              </w:rPr>
              <w:t> </w:t>
            </w:r>
            <w:r w:rsidR="001530C0">
              <w:rPr>
                <w:rFonts w:cs="Arial"/>
                <w:b/>
                <w:color w:val="FFFFFF" w:themeColor="background1"/>
              </w:rPr>
              <w:t>zajištění jeho vymahatelnosti</w:t>
            </w:r>
          </w:p>
        </w:tc>
      </w:tr>
      <w:tr w:rsidR="001F67CE" w14:paraId="76F7B7FE" w14:textId="77777777" w:rsidTr="00D005FA">
        <w:tc>
          <w:tcPr>
            <w:tcW w:w="1984" w:type="dxa"/>
            <w:tcBorders>
              <w:top w:val="single" w:sz="4" w:space="0" w:color="auto"/>
              <w:left w:val="single" w:sz="12" w:space="0" w:color="auto"/>
              <w:bottom w:val="single" w:sz="4" w:space="0" w:color="auto"/>
              <w:right w:val="single" w:sz="12" w:space="0" w:color="auto"/>
            </w:tcBorders>
          </w:tcPr>
          <w:p w14:paraId="48055842" w14:textId="77777777" w:rsidR="001530C0" w:rsidRDefault="001530C0" w:rsidP="009A3B7E">
            <w:pPr>
              <w:pStyle w:val="Normln10"/>
              <w:rPr>
                <w:rFonts w:cs="Arial"/>
                <w:sz w:val="22"/>
                <w:szCs w:val="22"/>
              </w:rPr>
            </w:pPr>
            <w:r>
              <w:rPr>
                <w:rFonts w:cs="Arial"/>
                <w:sz w:val="22"/>
                <w:szCs w:val="22"/>
              </w:rPr>
              <w:t>Návaznost na strategický cíl</w:t>
            </w:r>
          </w:p>
        </w:tc>
        <w:tc>
          <w:tcPr>
            <w:tcW w:w="7357" w:type="dxa"/>
            <w:tcBorders>
              <w:top w:val="single" w:sz="4" w:space="0" w:color="auto"/>
              <w:left w:val="single" w:sz="12" w:space="0" w:color="auto"/>
              <w:bottom w:val="single" w:sz="4" w:space="0" w:color="auto"/>
              <w:right w:val="single" w:sz="12" w:space="0" w:color="auto"/>
            </w:tcBorders>
          </w:tcPr>
          <w:p w14:paraId="1017AA94" w14:textId="77777777" w:rsidR="001530C0" w:rsidRPr="00AC26BD" w:rsidDel="00EE2DDD" w:rsidRDefault="001530C0" w:rsidP="009A3B7E">
            <w:pPr>
              <w:pStyle w:val="Normln10"/>
              <w:spacing w:line="240" w:lineRule="auto"/>
              <w:rPr>
                <w:rFonts w:cs="Arial"/>
                <w:sz w:val="22"/>
                <w:szCs w:val="22"/>
              </w:rPr>
            </w:pPr>
            <w:r>
              <w:rPr>
                <w:rFonts w:cs="Arial"/>
                <w:sz w:val="22"/>
                <w:szCs w:val="22"/>
              </w:rPr>
              <w:t>Zajištění stabilního regulatorního rámce pro rozvoj elektromobility</w:t>
            </w:r>
            <w:r w:rsidR="00E957C2">
              <w:rPr>
                <w:rFonts w:cs="Arial"/>
                <w:sz w:val="22"/>
                <w:szCs w:val="22"/>
              </w:rPr>
              <w:t xml:space="preserve"> (kap. 2.4.3.)</w:t>
            </w:r>
          </w:p>
        </w:tc>
      </w:tr>
      <w:tr w:rsidR="001F67CE" w14:paraId="263B83DA" w14:textId="77777777" w:rsidTr="00D005FA">
        <w:tc>
          <w:tcPr>
            <w:tcW w:w="1984" w:type="dxa"/>
            <w:tcBorders>
              <w:top w:val="single" w:sz="4" w:space="0" w:color="auto"/>
              <w:left w:val="single" w:sz="12" w:space="0" w:color="auto"/>
              <w:bottom w:val="single" w:sz="4" w:space="0" w:color="auto"/>
              <w:right w:val="single" w:sz="12" w:space="0" w:color="auto"/>
            </w:tcBorders>
            <w:hideMark/>
          </w:tcPr>
          <w:p w14:paraId="185A8F60" w14:textId="77777777" w:rsidR="001530C0" w:rsidRDefault="001530C0" w:rsidP="009A3B7E">
            <w:pPr>
              <w:pStyle w:val="Normln10"/>
              <w:rPr>
                <w:rFonts w:cs="Arial"/>
                <w:sz w:val="22"/>
                <w:szCs w:val="22"/>
              </w:rPr>
            </w:pPr>
            <w:r>
              <w:rPr>
                <w:rFonts w:cs="Arial"/>
                <w:sz w:val="22"/>
                <w:szCs w:val="22"/>
              </w:rPr>
              <w:t>Cíl opatření</w:t>
            </w:r>
          </w:p>
        </w:tc>
        <w:tc>
          <w:tcPr>
            <w:tcW w:w="7357" w:type="dxa"/>
            <w:tcBorders>
              <w:top w:val="single" w:sz="4" w:space="0" w:color="auto"/>
              <w:left w:val="single" w:sz="12" w:space="0" w:color="auto"/>
              <w:bottom w:val="single" w:sz="4" w:space="0" w:color="auto"/>
              <w:right w:val="single" w:sz="12" w:space="0" w:color="auto"/>
            </w:tcBorders>
            <w:hideMark/>
          </w:tcPr>
          <w:p w14:paraId="653B1257" w14:textId="4FEC9835" w:rsidR="001530C0" w:rsidRDefault="001530C0" w:rsidP="005A1247">
            <w:pPr>
              <w:pStyle w:val="Normln10"/>
              <w:spacing w:line="240" w:lineRule="auto"/>
              <w:rPr>
                <w:rFonts w:cs="Arial"/>
                <w:sz w:val="22"/>
                <w:szCs w:val="22"/>
              </w:rPr>
            </w:pPr>
            <w:r w:rsidRPr="00950924">
              <w:rPr>
                <w:rFonts w:cs="Arial"/>
                <w:sz w:val="22"/>
                <w:szCs w:val="22"/>
              </w:rPr>
              <w:t>Praktická aplikace ukázala, že je třeba vypracovat metodický pokyn/instrukce pro policii/městskou policii, jak má v</w:t>
            </w:r>
            <w:r w:rsidR="005A1247">
              <w:rPr>
                <w:rFonts w:cs="Arial"/>
                <w:sz w:val="22"/>
                <w:szCs w:val="22"/>
              </w:rPr>
              <w:t> </w:t>
            </w:r>
            <w:r w:rsidRPr="00950924">
              <w:rPr>
                <w:rFonts w:cs="Arial"/>
                <w:sz w:val="22"/>
                <w:szCs w:val="22"/>
              </w:rPr>
              <w:t>případě porušování pravidel postupovat.</w:t>
            </w:r>
          </w:p>
        </w:tc>
      </w:tr>
      <w:tr w:rsidR="001F67CE" w14:paraId="14FD121A" w14:textId="77777777" w:rsidTr="00D005FA">
        <w:tc>
          <w:tcPr>
            <w:tcW w:w="1984" w:type="dxa"/>
            <w:tcBorders>
              <w:top w:val="single" w:sz="4" w:space="0" w:color="auto"/>
              <w:left w:val="single" w:sz="12" w:space="0" w:color="auto"/>
              <w:bottom w:val="single" w:sz="4" w:space="0" w:color="auto"/>
              <w:right w:val="single" w:sz="12" w:space="0" w:color="auto"/>
            </w:tcBorders>
            <w:hideMark/>
          </w:tcPr>
          <w:p w14:paraId="543DF96B" w14:textId="77777777" w:rsidR="001530C0" w:rsidRDefault="001530C0" w:rsidP="009A3B7E">
            <w:pPr>
              <w:pStyle w:val="Normln10"/>
              <w:rPr>
                <w:rFonts w:cs="Arial"/>
                <w:sz w:val="22"/>
                <w:szCs w:val="22"/>
              </w:rPr>
            </w:pPr>
            <w:r>
              <w:rPr>
                <w:rFonts w:cs="Arial"/>
                <w:sz w:val="22"/>
                <w:szCs w:val="22"/>
              </w:rPr>
              <w:t>Popis opatření</w:t>
            </w:r>
            <w:r>
              <w:rPr>
                <w:rFonts w:cs="Arial"/>
                <w:sz w:val="22"/>
                <w:szCs w:val="22"/>
              </w:rPr>
              <w:tab/>
            </w:r>
          </w:p>
        </w:tc>
        <w:tc>
          <w:tcPr>
            <w:tcW w:w="7357" w:type="dxa"/>
            <w:tcBorders>
              <w:top w:val="single" w:sz="4" w:space="0" w:color="auto"/>
              <w:left w:val="single" w:sz="12" w:space="0" w:color="auto"/>
              <w:bottom w:val="single" w:sz="4" w:space="0" w:color="auto"/>
              <w:right w:val="single" w:sz="12" w:space="0" w:color="auto"/>
            </w:tcBorders>
            <w:hideMark/>
          </w:tcPr>
          <w:p w14:paraId="689652B0" w14:textId="4F5AAC35" w:rsidR="001530C0" w:rsidRDefault="001530C0" w:rsidP="009A3B7E">
            <w:pPr>
              <w:pStyle w:val="Normln10"/>
              <w:spacing w:line="240" w:lineRule="auto"/>
              <w:rPr>
                <w:rFonts w:cs="Arial"/>
                <w:sz w:val="22"/>
                <w:szCs w:val="22"/>
              </w:rPr>
            </w:pPr>
            <w:r>
              <w:rPr>
                <w:rFonts w:cs="Arial"/>
                <w:sz w:val="22"/>
                <w:szCs w:val="22"/>
              </w:rPr>
              <w:t>Jedním z</w:t>
            </w:r>
            <w:r w:rsidR="005A1247">
              <w:rPr>
                <w:rFonts w:cs="Arial"/>
                <w:sz w:val="22"/>
                <w:szCs w:val="22"/>
              </w:rPr>
              <w:t> </w:t>
            </w:r>
            <w:r>
              <w:rPr>
                <w:rFonts w:cs="Arial"/>
                <w:sz w:val="22"/>
                <w:szCs w:val="22"/>
              </w:rPr>
              <w:t>problémů při provozování dobíjecí infrastruktury je její zneužívání za účelem stání (ať už krátkodobého nebo dlouhodobého). Odstavené vozidlo (může jít nejen o</w:t>
            </w:r>
            <w:r w:rsidR="005A1247">
              <w:rPr>
                <w:rFonts w:cs="Arial"/>
                <w:sz w:val="22"/>
                <w:szCs w:val="22"/>
              </w:rPr>
              <w:t> </w:t>
            </w:r>
            <w:r>
              <w:rPr>
                <w:rFonts w:cs="Arial"/>
                <w:sz w:val="22"/>
                <w:szCs w:val="22"/>
              </w:rPr>
              <w:t>vozidlo se spalovacím motorem, ale i</w:t>
            </w:r>
            <w:r w:rsidR="005A1247">
              <w:rPr>
                <w:rFonts w:cs="Arial"/>
                <w:sz w:val="22"/>
                <w:szCs w:val="22"/>
              </w:rPr>
              <w:t> </w:t>
            </w:r>
            <w:r>
              <w:rPr>
                <w:rFonts w:cs="Arial"/>
                <w:sz w:val="22"/>
                <w:szCs w:val="22"/>
              </w:rPr>
              <w:t>o</w:t>
            </w:r>
            <w:r w:rsidR="000F2439">
              <w:rPr>
                <w:rFonts w:cs="Arial"/>
                <w:sz w:val="22"/>
                <w:szCs w:val="22"/>
              </w:rPr>
              <w:t> </w:t>
            </w:r>
            <w:r>
              <w:rPr>
                <w:rFonts w:cs="Arial"/>
                <w:sz w:val="22"/>
                <w:szCs w:val="22"/>
              </w:rPr>
              <w:t>elektromobil, který se nedobíjí) brání ostatním elektromobilistům ve využití dobíjecí stanice (případy, kdy elektromobilista zůstává ke stanici připojen i</w:t>
            </w:r>
            <w:r w:rsidR="005A1247">
              <w:rPr>
                <w:rFonts w:cs="Arial"/>
                <w:sz w:val="22"/>
                <w:szCs w:val="22"/>
              </w:rPr>
              <w:t> </w:t>
            </w:r>
            <w:r>
              <w:rPr>
                <w:rFonts w:cs="Arial"/>
                <w:sz w:val="22"/>
                <w:szCs w:val="22"/>
              </w:rPr>
              <w:t>po ukončení dobíjení budou řešeny vhodnou tarifikací provozovatele stanice, která bude k</w:t>
            </w:r>
            <w:r w:rsidR="005A1247">
              <w:rPr>
                <w:rFonts w:cs="Arial"/>
                <w:sz w:val="22"/>
                <w:szCs w:val="22"/>
              </w:rPr>
              <w:t> </w:t>
            </w:r>
            <w:r>
              <w:rPr>
                <w:rFonts w:cs="Arial"/>
                <w:sz w:val="22"/>
                <w:szCs w:val="22"/>
              </w:rPr>
              <w:t>tomuto jednání demotivovat).</w:t>
            </w:r>
          </w:p>
          <w:p w14:paraId="69EF1B74" w14:textId="346DD6BB" w:rsidR="001530C0" w:rsidRDefault="001530C0" w:rsidP="005A1247">
            <w:pPr>
              <w:pStyle w:val="Normln10"/>
              <w:spacing w:line="240" w:lineRule="auto"/>
              <w:rPr>
                <w:rFonts w:cs="Arial"/>
                <w:sz w:val="22"/>
                <w:szCs w:val="22"/>
              </w:rPr>
            </w:pPr>
            <w:r>
              <w:rPr>
                <w:rFonts w:cs="Arial"/>
                <w:sz w:val="22"/>
                <w:szCs w:val="22"/>
              </w:rPr>
              <w:t>Pro vyčlenění parkovacích stání pro dobíjení elektromobilů dnes existuje právní základ v</w:t>
            </w:r>
            <w:r w:rsidR="005A1247">
              <w:rPr>
                <w:rFonts w:cs="Arial"/>
                <w:sz w:val="22"/>
                <w:szCs w:val="22"/>
              </w:rPr>
              <w:t> </w:t>
            </w:r>
            <w:r>
              <w:rPr>
                <w:rFonts w:cs="Arial"/>
                <w:sz w:val="22"/>
                <w:szCs w:val="22"/>
              </w:rPr>
              <w:t>podobě vyhlášky č. 294/2015 Sb. k</w:t>
            </w:r>
            <w:r w:rsidR="005A1247">
              <w:rPr>
                <w:rFonts w:cs="Arial"/>
                <w:sz w:val="22"/>
                <w:szCs w:val="22"/>
              </w:rPr>
              <w:t> </w:t>
            </w:r>
            <w:r>
              <w:rPr>
                <w:rFonts w:cs="Arial"/>
                <w:sz w:val="22"/>
                <w:szCs w:val="22"/>
              </w:rPr>
              <w:t>zákonu č. 361/2000 Sb. o</w:t>
            </w:r>
            <w:r w:rsidR="005A1247">
              <w:rPr>
                <w:rFonts w:cs="Arial"/>
                <w:sz w:val="22"/>
                <w:szCs w:val="22"/>
              </w:rPr>
              <w:t> </w:t>
            </w:r>
            <w:r>
              <w:rPr>
                <w:rFonts w:cs="Arial"/>
                <w:sz w:val="22"/>
                <w:szCs w:val="22"/>
              </w:rPr>
              <w:t>provozu na pozemních komunikacích, kdy pro vyčlenění stání stačí aplikovat existující značku IP 12 „Vyhrazené parkoviště“ (viz příloha 2 vyhlášky) doplněné v</w:t>
            </w:r>
            <w:r w:rsidR="005A1247">
              <w:rPr>
                <w:rFonts w:cs="Arial"/>
                <w:sz w:val="22"/>
                <w:szCs w:val="22"/>
              </w:rPr>
              <w:t> </w:t>
            </w:r>
            <w:r>
              <w:rPr>
                <w:rFonts w:cs="Arial"/>
                <w:sz w:val="22"/>
                <w:szCs w:val="22"/>
              </w:rPr>
              <w:t>souladu s</w:t>
            </w:r>
            <w:r w:rsidR="005A1247">
              <w:rPr>
                <w:rFonts w:cs="Arial"/>
                <w:sz w:val="22"/>
                <w:szCs w:val="22"/>
              </w:rPr>
              <w:t> </w:t>
            </w:r>
            <w:r>
              <w:rPr>
                <w:rFonts w:cs="Arial"/>
                <w:sz w:val="22"/>
                <w:szCs w:val="22"/>
              </w:rPr>
              <w:t>§ 10 uvedené vyhlášky o</w:t>
            </w:r>
            <w:r w:rsidR="005A1247">
              <w:rPr>
                <w:rFonts w:cs="Arial"/>
                <w:sz w:val="22"/>
                <w:szCs w:val="22"/>
              </w:rPr>
              <w:t> </w:t>
            </w:r>
            <w:r>
              <w:rPr>
                <w:rFonts w:cs="Arial"/>
                <w:sz w:val="22"/>
                <w:szCs w:val="22"/>
              </w:rPr>
              <w:t>určený symbol č. 416 „Dobíjecí stanice“ (viz příloha 7 vyhlášky).</w:t>
            </w:r>
          </w:p>
        </w:tc>
      </w:tr>
      <w:tr w:rsidR="001F67CE" w14:paraId="79E54DC3" w14:textId="77777777" w:rsidTr="00D005FA">
        <w:tc>
          <w:tcPr>
            <w:tcW w:w="1984" w:type="dxa"/>
            <w:tcBorders>
              <w:top w:val="single" w:sz="4" w:space="0" w:color="auto"/>
              <w:left w:val="single" w:sz="12" w:space="0" w:color="auto"/>
              <w:bottom w:val="single" w:sz="4" w:space="0" w:color="auto"/>
              <w:right w:val="single" w:sz="12" w:space="0" w:color="auto"/>
            </w:tcBorders>
            <w:hideMark/>
          </w:tcPr>
          <w:p w14:paraId="4BAC2492" w14:textId="77777777" w:rsidR="001530C0" w:rsidRDefault="001530C0" w:rsidP="009A3B7E">
            <w:pPr>
              <w:pStyle w:val="Normln10"/>
              <w:rPr>
                <w:rFonts w:cs="Arial"/>
                <w:sz w:val="22"/>
                <w:szCs w:val="22"/>
              </w:rPr>
            </w:pPr>
            <w:r>
              <w:rPr>
                <w:rFonts w:cs="Arial"/>
                <w:sz w:val="22"/>
                <w:szCs w:val="22"/>
              </w:rPr>
              <w:t>Rozpočtový dopad / financování</w:t>
            </w:r>
          </w:p>
        </w:tc>
        <w:tc>
          <w:tcPr>
            <w:tcW w:w="7357" w:type="dxa"/>
            <w:tcBorders>
              <w:top w:val="single" w:sz="4" w:space="0" w:color="auto"/>
              <w:left w:val="single" w:sz="12" w:space="0" w:color="auto"/>
              <w:bottom w:val="single" w:sz="4" w:space="0" w:color="auto"/>
              <w:right w:val="single" w:sz="12" w:space="0" w:color="auto"/>
            </w:tcBorders>
          </w:tcPr>
          <w:p w14:paraId="2603C690" w14:textId="77777777" w:rsidR="001530C0" w:rsidRDefault="001530C0" w:rsidP="009A3B7E">
            <w:pPr>
              <w:pStyle w:val="Normln10"/>
              <w:spacing w:line="240" w:lineRule="auto"/>
              <w:rPr>
                <w:rFonts w:cs="Arial"/>
                <w:sz w:val="22"/>
                <w:szCs w:val="22"/>
              </w:rPr>
            </w:pPr>
            <w:r>
              <w:rPr>
                <w:rFonts w:cs="Arial"/>
                <w:sz w:val="22"/>
                <w:szCs w:val="22"/>
              </w:rPr>
              <w:t>Žádný</w:t>
            </w:r>
          </w:p>
        </w:tc>
      </w:tr>
      <w:tr w:rsidR="001F67CE" w14:paraId="3695193F" w14:textId="77777777" w:rsidTr="00D005FA">
        <w:tc>
          <w:tcPr>
            <w:tcW w:w="1984" w:type="dxa"/>
            <w:tcBorders>
              <w:top w:val="single" w:sz="4" w:space="0" w:color="auto"/>
              <w:left w:val="single" w:sz="12" w:space="0" w:color="auto"/>
              <w:bottom w:val="single" w:sz="4" w:space="0" w:color="auto"/>
              <w:right w:val="single" w:sz="12" w:space="0" w:color="auto"/>
            </w:tcBorders>
            <w:hideMark/>
          </w:tcPr>
          <w:p w14:paraId="6CE52EAB" w14:textId="77777777" w:rsidR="001530C0" w:rsidRDefault="001530C0" w:rsidP="009A3B7E">
            <w:pPr>
              <w:pStyle w:val="Normln10"/>
              <w:rPr>
                <w:rFonts w:cs="Arial"/>
                <w:sz w:val="22"/>
                <w:szCs w:val="22"/>
              </w:rPr>
            </w:pPr>
            <w:r>
              <w:rPr>
                <w:rFonts w:cs="Arial"/>
                <w:sz w:val="22"/>
                <w:szCs w:val="22"/>
              </w:rPr>
              <w:t>Odpovědnost</w:t>
            </w:r>
          </w:p>
        </w:tc>
        <w:tc>
          <w:tcPr>
            <w:tcW w:w="7357" w:type="dxa"/>
            <w:tcBorders>
              <w:top w:val="single" w:sz="4" w:space="0" w:color="auto"/>
              <w:left w:val="single" w:sz="12" w:space="0" w:color="auto"/>
              <w:bottom w:val="single" w:sz="4" w:space="0" w:color="auto"/>
              <w:right w:val="single" w:sz="12" w:space="0" w:color="auto"/>
            </w:tcBorders>
            <w:hideMark/>
          </w:tcPr>
          <w:p w14:paraId="2F3C47A4" w14:textId="77777777" w:rsidR="001530C0" w:rsidRDefault="001530C0" w:rsidP="009A3B7E">
            <w:pPr>
              <w:pStyle w:val="Normln10"/>
              <w:spacing w:line="240" w:lineRule="auto"/>
              <w:rPr>
                <w:rFonts w:cs="Arial"/>
                <w:sz w:val="22"/>
                <w:szCs w:val="22"/>
              </w:rPr>
            </w:pPr>
            <w:r>
              <w:rPr>
                <w:rFonts w:cs="Arial"/>
                <w:sz w:val="22"/>
                <w:szCs w:val="22"/>
              </w:rPr>
              <w:t>MV</w:t>
            </w:r>
          </w:p>
        </w:tc>
      </w:tr>
      <w:tr w:rsidR="001F67CE" w14:paraId="23599957" w14:textId="77777777" w:rsidTr="00D005FA">
        <w:tc>
          <w:tcPr>
            <w:tcW w:w="1984" w:type="dxa"/>
            <w:tcBorders>
              <w:top w:val="single" w:sz="4" w:space="0" w:color="auto"/>
              <w:left w:val="single" w:sz="12" w:space="0" w:color="auto"/>
              <w:bottom w:val="single" w:sz="4" w:space="0" w:color="auto"/>
              <w:right w:val="single" w:sz="12" w:space="0" w:color="auto"/>
            </w:tcBorders>
            <w:hideMark/>
          </w:tcPr>
          <w:p w14:paraId="10F66858" w14:textId="77777777" w:rsidR="001530C0" w:rsidRDefault="001530C0" w:rsidP="009A3B7E">
            <w:pPr>
              <w:pStyle w:val="Normln10"/>
              <w:rPr>
                <w:rFonts w:cs="Arial"/>
                <w:sz w:val="22"/>
                <w:szCs w:val="22"/>
              </w:rPr>
            </w:pPr>
            <w:r>
              <w:rPr>
                <w:rFonts w:cs="Arial"/>
                <w:sz w:val="22"/>
                <w:szCs w:val="22"/>
              </w:rPr>
              <w:t>Spolupráce</w:t>
            </w:r>
          </w:p>
        </w:tc>
        <w:tc>
          <w:tcPr>
            <w:tcW w:w="7357" w:type="dxa"/>
            <w:tcBorders>
              <w:top w:val="single" w:sz="4" w:space="0" w:color="auto"/>
              <w:left w:val="single" w:sz="12" w:space="0" w:color="auto"/>
              <w:bottom w:val="single" w:sz="4" w:space="0" w:color="auto"/>
              <w:right w:val="single" w:sz="12" w:space="0" w:color="auto"/>
            </w:tcBorders>
          </w:tcPr>
          <w:p w14:paraId="580DC55E" w14:textId="77777777" w:rsidR="001530C0" w:rsidRDefault="001530C0" w:rsidP="009A3B7E">
            <w:pPr>
              <w:pStyle w:val="Normln10"/>
              <w:spacing w:line="240" w:lineRule="auto"/>
              <w:rPr>
                <w:rFonts w:cs="Arial"/>
                <w:sz w:val="22"/>
                <w:szCs w:val="22"/>
              </w:rPr>
            </w:pPr>
            <w:r>
              <w:rPr>
                <w:rFonts w:cs="Arial"/>
                <w:sz w:val="22"/>
                <w:szCs w:val="22"/>
              </w:rPr>
              <w:t>MD, Provozovatelé dobíjecích stanic, Municipality</w:t>
            </w:r>
          </w:p>
        </w:tc>
      </w:tr>
      <w:tr w:rsidR="001F67CE" w14:paraId="501B3A71" w14:textId="77777777" w:rsidTr="00D005FA">
        <w:tc>
          <w:tcPr>
            <w:tcW w:w="1984" w:type="dxa"/>
            <w:tcBorders>
              <w:top w:val="single" w:sz="4" w:space="0" w:color="auto"/>
              <w:left w:val="single" w:sz="12" w:space="0" w:color="auto"/>
              <w:bottom w:val="single" w:sz="12" w:space="0" w:color="auto"/>
              <w:right w:val="single" w:sz="12" w:space="0" w:color="auto"/>
            </w:tcBorders>
            <w:hideMark/>
          </w:tcPr>
          <w:p w14:paraId="3F5C718D" w14:textId="77777777" w:rsidR="001530C0" w:rsidRDefault="001530C0" w:rsidP="009A3B7E">
            <w:pPr>
              <w:pStyle w:val="Normln10"/>
              <w:rPr>
                <w:rFonts w:cs="Arial"/>
                <w:sz w:val="22"/>
                <w:szCs w:val="22"/>
              </w:rPr>
            </w:pPr>
            <w:r>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hideMark/>
          </w:tcPr>
          <w:p w14:paraId="587D0AFC" w14:textId="72B2251F" w:rsidR="001530C0" w:rsidRDefault="001530C0" w:rsidP="005A1247">
            <w:pPr>
              <w:pStyle w:val="Normln10"/>
              <w:spacing w:line="240" w:lineRule="auto"/>
              <w:rPr>
                <w:rFonts w:cs="Arial"/>
                <w:sz w:val="22"/>
                <w:szCs w:val="22"/>
              </w:rPr>
            </w:pPr>
            <w:r>
              <w:rPr>
                <w:rFonts w:cs="Arial"/>
                <w:sz w:val="22"/>
                <w:szCs w:val="22"/>
              </w:rPr>
              <w:t>Analýza a</w:t>
            </w:r>
            <w:r w:rsidR="005A1247">
              <w:rPr>
                <w:rFonts w:cs="Arial"/>
                <w:sz w:val="22"/>
                <w:szCs w:val="22"/>
              </w:rPr>
              <w:t> </w:t>
            </w:r>
            <w:r>
              <w:rPr>
                <w:rFonts w:cs="Arial"/>
                <w:sz w:val="22"/>
                <w:szCs w:val="22"/>
              </w:rPr>
              <w:t>návrh dalšího postupu</w:t>
            </w:r>
            <w:r>
              <w:rPr>
                <w:rFonts w:cs="Arial"/>
                <w:sz w:val="22"/>
                <w:szCs w:val="22"/>
              </w:rPr>
              <w:tab/>
              <w:t>6/2020</w:t>
            </w:r>
          </w:p>
        </w:tc>
      </w:tr>
    </w:tbl>
    <w:p w14:paraId="3F9DD32C" w14:textId="77777777" w:rsidR="001530C0" w:rsidRDefault="001530C0" w:rsidP="009A3B7E">
      <w:pPr>
        <w:jc w:val="both"/>
      </w:pPr>
    </w:p>
    <w:p w14:paraId="24BB1BD3" w14:textId="77777777" w:rsidR="001530C0" w:rsidRDefault="001530C0" w:rsidP="009A3B7E">
      <w:pPr>
        <w:spacing w:before="0" w:after="0"/>
        <w:jc w:val="both"/>
      </w:pPr>
      <w:r>
        <w:br w:type="page"/>
      </w:r>
    </w:p>
    <w:p w14:paraId="2BD137FE" w14:textId="3AF62BFA" w:rsidR="005A511B" w:rsidRDefault="005A511B" w:rsidP="005A511B">
      <w:pPr>
        <w:pStyle w:val="Nadpis3"/>
      </w:pPr>
      <w:bookmarkStart w:id="114" w:name="_Toc21589179"/>
      <w:r>
        <w:lastRenderedPageBreak/>
        <w:t xml:space="preserve">S21 </w:t>
      </w:r>
      <w:r w:rsidRPr="005E26E5">
        <w:t>Zajištění parkování vozidel na plynná paliva</w:t>
      </w:r>
      <w:r>
        <w:t xml:space="preserve"> a</w:t>
      </w:r>
      <w:r w:rsidR="005A1247">
        <w:t> </w:t>
      </w:r>
      <w:r>
        <w:t>vodík</w:t>
      </w:r>
      <w:r w:rsidRPr="005E26E5">
        <w:t xml:space="preserve"> v</w:t>
      </w:r>
      <w:r w:rsidR="005A1247">
        <w:t> </w:t>
      </w:r>
      <w:r w:rsidRPr="005E26E5">
        <w:t xml:space="preserve">nově budovaných </w:t>
      </w:r>
      <w:r>
        <w:t>a</w:t>
      </w:r>
      <w:r w:rsidR="005A1247">
        <w:t> </w:t>
      </w:r>
      <w:r>
        <w:t xml:space="preserve">rekonstruovaných </w:t>
      </w:r>
      <w:r w:rsidRPr="005E26E5">
        <w:t>hromadných garážích</w:t>
      </w:r>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5A511B" w14:paraId="6FC12B80" w14:textId="77777777" w:rsidTr="005A1247">
        <w:tc>
          <w:tcPr>
            <w:tcW w:w="934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hideMark/>
          </w:tcPr>
          <w:p w14:paraId="145DDBAD" w14:textId="1F2715F5" w:rsidR="005A511B" w:rsidRDefault="005A511B" w:rsidP="005A1247">
            <w:pPr>
              <w:spacing w:before="60" w:after="60"/>
              <w:jc w:val="both"/>
              <w:rPr>
                <w:rFonts w:cs="Arial"/>
                <w:b/>
                <w:color w:val="FFFFFF" w:themeColor="background1"/>
              </w:rPr>
            </w:pPr>
            <w:r>
              <w:rPr>
                <w:rFonts w:cs="Arial"/>
                <w:b/>
                <w:color w:val="FFFFFF" w:themeColor="background1"/>
              </w:rPr>
              <w:t xml:space="preserve">S21 </w:t>
            </w:r>
            <w:r w:rsidRPr="005E26E5">
              <w:rPr>
                <w:rFonts w:cs="Arial"/>
                <w:b/>
                <w:color w:val="FFFFFF" w:themeColor="background1"/>
              </w:rPr>
              <w:t xml:space="preserve">Zajištění parkování vozidel na plynná paliva </w:t>
            </w:r>
            <w:r>
              <w:rPr>
                <w:rFonts w:cs="Arial"/>
                <w:b/>
                <w:color w:val="FFFFFF" w:themeColor="background1"/>
              </w:rPr>
              <w:t>a</w:t>
            </w:r>
            <w:r w:rsidR="005A1247">
              <w:rPr>
                <w:rFonts w:cs="Arial"/>
                <w:b/>
                <w:color w:val="FFFFFF" w:themeColor="background1"/>
              </w:rPr>
              <w:t> </w:t>
            </w:r>
            <w:r>
              <w:rPr>
                <w:rFonts w:cs="Arial"/>
                <w:b/>
                <w:color w:val="FFFFFF" w:themeColor="background1"/>
              </w:rPr>
              <w:t xml:space="preserve">vodík </w:t>
            </w:r>
            <w:r w:rsidRPr="005E26E5">
              <w:rPr>
                <w:rFonts w:cs="Arial"/>
                <w:b/>
                <w:color w:val="FFFFFF" w:themeColor="background1"/>
              </w:rPr>
              <w:t>v</w:t>
            </w:r>
            <w:r w:rsidR="005A1247">
              <w:rPr>
                <w:rFonts w:cs="Arial"/>
                <w:b/>
                <w:color w:val="FFFFFF" w:themeColor="background1"/>
              </w:rPr>
              <w:t> </w:t>
            </w:r>
            <w:r w:rsidRPr="005E26E5">
              <w:rPr>
                <w:rFonts w:cs="Arial"/>
                <w:b/>
                <w:color w:val="FFFFFF" w:themeColor="background1"/>
              </w:rPr>
              <w:t xml:space="preserve">nově budovaných </w:t>
            </w:r>
            <w:r>
              <w:rPr>
                <w:rFonts w:cs="Arial"/>
                <w:b/>
                <w:color w:val="FFFFFF" w:themeColor="background1"/>
              </w:rPr>
              <w:t>a</w:t>
            </w:r>
            <w:r w:rsidR="005A1247">
              <w:rPr>
                <w:rFonts w:cs="Arial"/>
                <w:b/>
                <w:color w:val="FFFFFF" w:themeColor="background1"/>
              </w:rPr>
              <w:t> </w:t>
            </w:r>
            <w:r>
              <w:rPr>
                <w:rFonts w:cs="Arial"/>
                <w:b/>
                <w:color w:val="FFFFFF" w:themeColor="background1"/>
              </w:rPr>
              <w:t xml:space="preserve">rekonstruovaných </w:t>
            </w:r>
            <w:r w:rsidRPr="005E26E5">
              <w:rPr>
                <w:rFonts w:cs="Arial"/>
                <w:b/>
                <w:color w:val="FFFFFF" w:themeColor="background1"/>
              </w:rPr>
              <w:t>hromadných garážích</w:t>
            </w:r>
          </w:p>
        </w:tc>
      </w:tr>
      <w:tr w:rsidR="005A511B" w14:paraId="2F23E5C1" w14:textId="77777777" w:rsidTr="005A1247">
        <w:tc>
          <w:tcPr>
            <w:tcW w:w="1984" w:type="dxa"/>
            <w:tcBorders>
              <w:top w:val="single" w:sz="12" w:space="0" w:color="auto"/>
              <w:left w:val="single" w:sz="12" w:space="0" w:color="auto"/>
              <w:bottom w:val="single" w:sz="4" w:space="0" w:color="auto"/>
              <w:right w:val="single" w:sz="12" w:space="0" w:color="auto"/>
            </w:tcBorders>
            <w:hideMark/>
          </w:tcPr>
          <w:p w14:paraId="60AEBB6B" w14:textId="77777777" w:rsidR="005A511B" w:rsidRDefault="005A511B" w:rsidP="005A1247">
            <w:pPr>
              <w:pStyle w:val="Normln10"/>
              <w:rPr>
                <w:rFonts w:cs="Arial"/>
                <w:sz w:val="22"/>
                <w:szCs w:val="22"/>
              </w:rPr>
            </w:pPr>
            <w:r>
              <w:rPr>
                <w:rFonts w:cs="Arial"/>
                <w:sz w:val="22"/>
                <w:szCs w:val="22"/>
              </w:rPr>
              <w:t>Návaznost na strategický cíl</w:t>
            </w:r>
          </w:p>
        </w:tc>
        <w:tc>
          <w:tcPr>
            <w:tcW w:w="7357" w:type="dxa"/>
            <w:tcBorders>
              <w:top w:val="single" w:sz="12" w:space="0" w:color="auto"/>
              <w:left w:val="single" w:sz="12" w:space="0" w:color="auto"/>
              <w:bottom w:val="single" w:sz="4" w:space="0" w:color="auto"/>
              <w:right w:val="single" w:sz="12" w:space="0" w:color="auto"/>
            </w:tcBorders>
            <w:hideMark/>
          </w:tcPr>
          <w:p w14:paraId="2A58E3B2" w14:textId="08FAF0AD" w:rsidR="005A511B" w:rsidRDefault="005A511B" w:rsidP="005A1247">
            <w:pPr>
              <w:pStyle w:val="Normln10"/>
              <w:spacing w:before="60" w:after="60" w:line="240" w:lineRule="auto"/>
              <w:rPr>
                <w:rFonts w:cs="Arial"/>
                <w:sz w:val="22"/>
                <w:szCs w:val="22"/>
              </w:rPr>
            </w:pPr>
            <w:r w:rsidRPr="005E26E5">
              <w:rPr>
                <w:rFonts w:cs="Arial"/>
                <w:sz w:val="22"/>
                <w:szCs w:val="22"/>
              </w:rPr>
              <w:t>Vytváření podmínek pro lepší vnímání vozidel na plynná paliva</w:t>
            </w:r>
            <w:r>
              <w:rPr>
                <w:rFonts w:cs="Arial"/>
                <w:sz w:val="22"/>
                <w:szCs w:val="22"/>
              </w:rPr>
              <w:t xml:space="preserve"> a</w:t>
            </w:r>
            <w:r w:rsidR="005A1247">
              <w:rPr>
                <w:rFonts w:cs="Arial"/>
                <w:sz w:val="22"/>
                <w:szCs w:val="22"/>
              </w:rPr>
              <w:t> </w:t>
            </w:r>
            <w:r>
              <w:rPr>
                <w:rFonts w:cs="Arial"/>
                <w:sz w:val="22"/>
                <w:szCs w:val="22"/>
              </w:rPr>
              <w:t>vodík</w:t>
            </w:r>
            <w:r w:rsidRPr="005E26E5">
              <w:rPr>
                <w:rFonts w:cs="Arial"/>
                <w:sz w:val="22"/>
                <w:szCs w:val="22"/>
              </w:rPr>
              <w:t xml:space="preserve"> na straně potenciálních zákazníků a</w:t>
            </w:r>
            <w:r w:rsidR="005A1247">
              <w:rPr>
                <w:rFonts w:cs="Arial"/>
                <w:sz w:val="22"/>
                <w:szCs w:val="22"/>
              </w:rPr>
              <w:t> </w:t>
            </w:r>
            <w:r w:rsidRPr="005E26E5">
              <w:rPr>
                <w:rFonts w:cs="Arial"/>
                <w:sz w:val="22"/>
                <w:szCs w:val="22"/>
              </w:rPr>
              <w:t>podmínek pro rozvoj vozového parku</w:t>
            </w:r>
          </w:p>
        </w:tc>
      </w:tr>
      <w:tr w:rsidR="005A511B" w14:paraId="47C1A6D8"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0F31D889" w14:textId="77777777" w:rsidR="005A511B" w:rsidRDefault="005A511B" w:rsidP="005A1247">
            <w:pPr>
              <w:pStyle w:val="Normln10"/>
              <w:rPr>
                <w:rFonts w:cs="Arial"/>
                <w:sz w:val="22"/>
                <w:szCs w:val="22"/>
              </w:rPr>
            </w:pPr>
            <w:r>
              <w:rPr>
                <w:rFonts w:cs="Arial"/>
                <w:sz w:val="22"/>
                <w:szCs w:val="22"/>
              </w:rPr>
              <w:t>Cíl opatření</w:t>
            </w:r>
          </w:p>
        </w:tc>
        <w:tc>
          <w:tcPr>
            <w:tcW w:w="7357" w:type="dxa"/>
            <w:tcBorders>
              <w:top w:val="single" w:sz="4" w:space="0" w:color="auto"/>
              <w:left w:val="single" w:sz="12" w:space="0" w:color="auto"/>
              <w:bottom w:val="single" w:sz="4" w:space="0" w:color="auto"/>
              <w:right w:val="single" w:sz="12" w:space="0" w:color="auto"/>
            </w:tcBorders>
          </w:tcPr>
          <w:p w14:paraId="064CB4D3" w14:textId="1496990A" w:rsidR="005A511B" w:rsidRDefault="005A511B" w:rsidP="005A1247">
            <w:pPr>
              <w:pStyle w:val="Normln10"/>
              <w:spacing w:before="60" w:after="60" w:line="240" w:lineRule="auto"/>
              <w:rPr>
                <w:rFonts w:cs="Arial"/>
                <w:sz w:val="22"/>
                <w:szCs w:val="22"/>
              </w:rPr>
            </w:pPr>
            <w:r>
              <w:rPr>
                <w:rFonts w:cs="Arial"/>
                <w:sz w:val="22"/>
                <w:szCs w:val="22"/>
              </w:rPr>
              <w:t>Umožnit bezproblémové parkování vozidel na plynná paliva a</w:t>
            </w:r>
            <w:r w:rsidR="005A1247">
              <w:rPr>
                <w:rFonts w:cs="Arial"/>
                <w:sz w:val="22"/>
                <w:szCs w:val="22"/>
              </w:rPr>
              <w:t> </w:t>
            </w:r>
            <w:r>
              <w:rPr>
                <w:rFonts w:cs="Arial"/>
                <w:sz w:val="22"/>
                <w:szCs w:val="22"/>
              </w:rPr>
              <w:t>vodík v</w:t>
            </w:r>
            <w:r w:rsidR="005A1247">
              <w:rPr>
                <w:rFonts w:cs="Arial"/>
                <w:sz w:val="22"/>
                <w:szCs w:val="22"/>
              </w:rPr>
              <w:t> </w:t>
            </w:r>
            <w:r>
              <w:rPr>
                <w:rFonts w:cs="Arial"/>
                <w:sz w:val="22"/>
                <w:szCs w:val="22"/>
              </w:rPr>
              <w:t>hromadných garážích</w:t>
            </w:r>
          </w:p>
        </w:tc>
      </w:tr>
      <w:tr w:rsidR="005A511B" w14:paraId="6BA0D229" w14:textId="77777777" w:rsidTr="005A1247">
        <w:trPr>
          <w:trHeight w:val="5931"/>
        </w:trPr>
        <w:tc>
          <w:tcPr>
            <w:tcW w:w="1984" w:type="dxa"/>
            <w:tcBorders>
              <w:top w:val="single" w:sz="4" w:space="0" w:color="auto"/>
              <w:left w:val="single" w:sz="12" w:space="0" w:color="auto"/>
              <w:bottom w:val="single" w:sz="4" w:space="0" w:color="auto"/>
              <w:right w:val="single" w:sz="12" w:space="0" w:color="auto"/>
            </w:tcBorders>
            <w:hideMark/>
          </w:tcPr>
          <w:p w14:paraId="6B2A7C0A" w14:textId="77777777" w:rsidR="005A511B" w:rsidRDefault="005A511B" w:rsidP="005A1247">
            <w:pPr>
              <w:pStyle w:val="Normln10"/>
              <w:keepNext/>
              <w:spacing w:line="240" w:lineRule="auto"/>
              <w:rPr>
                <w:rFonts w:cs="Arial"/>
                <w:sz w:val="22"/>
                <w:szCs w:val="22"/>
              </w:rPr>
            </w:pPr>
            <w:r>
              <w:rPr>
                <w:rFonts w:cs="Arial"/>
                <w:sz w:val="22"/>
                <w:szCs w:val="22"/>
              </w:rPr>
              <w:t>Popis opatření</w:t>
            </w:r>
          </w:p>
        </w:tc>
        <w:tc>
          <w:tcPr>
            <w:tcW w:w="7357" w:type="dxa"/>
            <w:tcBorders>
              <w:top w:val="single" w:sz="4" w:space="0" w:color="auto"/>
              <w:left w:val="single" w:sz="12" w:space="0" w:color="auto"/>
              <w:right w:val="single" w:sz="12" w:space="0" w:color="auto"/>
            </w:tcBorders>
            <w:hideMark/>
          </w:tcPr>
          <w:p w14:paraId="57E58816" w14:textId="67B35F11" w:rsidR="005A511B" w:rsidRPr="005E26E5" w:rsidRDefault="005A511B" w:rsidP="005A1247">
            <w:pPr>
              <w:pStyle w:val="Normln10"/>
              <w:keepNext/>
              <w:spacing w:before="60" w:after="60" w:line="240" w:lineRule="auto"/>
              <w:rPr>
                <w:rFonts w:cs="Arial"/>
                <w:sz w:val="22"/>
                <w:szCs w:val="22"/>
              </w:rPr>
            </w:pPr>
            <w:r w:rsidRPr="00823214">
              <w:rPr>
                <w:sz w:val="22"/>
                <w:szCs w:val="22"/>
              </w:rPr>
              <w:t xml:space="preserve"> V</w:t>
            </w:r>
            <w:r w:rsidR="005A1247">
              <w:rPr>
                <w:sz w:val="22"/>
                <w:szCs w:val="22"/>
              </w:rPr>
              <w:t> </w:t>
            </w:r>
            <w:r w:rsidRPr="00823214">
              <w:rPr>
                <w:sz w:val="22"/>
                <w:szCs w:val="22"/>
              </w:rPr>
              <w:t xml:space="preserve">rámci rekodifikace veřejného stavebního práva stanovit každému investorovi povinnost vybavit nově budované </w:t>
            </w:r>
            <w:r>
              <w:rPr>
                <w:sz w:val="22"/>
                <w:szCs w:val="22"/>
              </w:rPr>
              <w:t>a</w:t>
            </w:r>
            <w:r w:rsidR="005A1247">
              <w:rPr>
                <w:sz w:val="22"/>
                <w:szCs w:val="22"/>
              </w:rPr>
              <w:t> </w:t>
            </w:r>
            <w:r>
              <w:rPr>
                <w:sz w:val="22"/>
                <w:szCs w:val="22"/>
              </w:rPr>
              <w:t xml:space="preserve">rekonstruované </w:t>
            </w:r>
            <w:r w:rsidRPr="00823214">
              <w:rPr>
                <w:sz w:val="22"/>
                <w:szCs w:val="22"/>
              </w:rPr>
              <w:t>hromadné garáže takovou technologií, která bezproblémově umožní parkování vozidel na plynná paliva a</w:t>
            </w:r>
            <w:r w:rsidR="005A1247">
              <w:rPr>
                <w:sz w:val="22"/>
                <w:szCs w:val="22"/>
              </w:rPr>
              <w:t> </w:t>
            </w:r>
            <w:r w:rsidRPr="00823214">
              <w:rPr>
                <w:sz w:val="22"/>
                <w:szCs w:val="22"/>
              </w:rPr>
              <w:t>vodík.</w:t>
            </w:r>
          </w:p>
          <w:p w14:paraId="1BA2A8F5" w14:textId="4D06DB04" w:rsidR="005A511B" w:rsidRPr="005E26E5" w:rsidRDefault="005A511B" w:rsidP="005A1247">
            <w:pPr>
              <w:pStyle w:val="Normln10"/>
              <w:keepNext/>
              <w:spacing w:before="60" w:after="60" w:line="240" w:lineRule="auto"/>
              <w:rPr>
                <w:rFonts w:cs="Arial"/>
                <w:sz w:val="22"/>
                <w:szCs w:val="22"/>
              </w:rPr>
            </w:pPr>
            <w:r w:rsidRPr="005E26E5">
              <w:rPr>
                <w:rFonts w:cs="Arial"/>
                <w:sz w:val="22"/>
                <w:szCs w:val="22"/>
              </w:rPr>
              <w:t xml:space="preserve">Vozidla na plynná paliva </w:t>
            </w:r>
            <w:r>
              <w:rPr>
                <w:rFonts w:cs="Arial"/>
                <w:sz w:val="22"/>
                <w:szCs w:val="22"/>
              </w:rPr>
              <w:t>a</w:t>
            </w:r>
            <w:r w:rsidR="005A1247">
              <w:rPr>
                <w:rFonts w:cs="Arial"/>
                <w:sz w:val="22"/>
                <w:szCs w:val="22"/>
              </w:rPr>
              <w:t> </w:t>
            </w:r>
            <w:r>
              <w:rPr>
                <w:rFonts w:cs="Arial"/>
                <w:sz w:val="22"/>
                <w:szCs w:val="22"/>
              </w:rPr>
              <w:t>později i</w:t>
            </w:r>
            <w:r w:rsidR="005A1247">
              <w:rPr>
                <w:rFonts w:cs="Arial"/>
                <w:sz w:val="22"/>
                <w:szCs w:val="22"/>
              </w:rPr>
              <w:t> </w:t>
            </w:r>
            <w:r>
              <w:rPr>
                <w:rFonts w:cs="Arial"/>
                <w:sz w:val="22"/>
                <w:szCs w:val="22"/>
              </w:rPr>
              <w:t xml:space="preserve">vodík </w:t>
            </w:r>
            <w:r w:rsidRPr="005E26E5">
              <w:rPr>
                <w:rFonts w:cs="Arial"/>
                <w:sz w:val="22"/>
                <w:szCs w:val="22"/>
              </w:rPr>
              <w:t>se stávají realitou, jejich počet v</w:t>
            </w:r>
            <w:r w:rsidR="005A1247">
              <w:rPr>
                <w:rFonts w:cs="Arial"/>
                <w:sz w:val="22"/>
                <w:szCs w:val="22"/>
              </w:rPr>
              <w:t> </w:t>
            </w:r>
            <w:r w:rsidRPr="005E26E5">
              <w:rPr>
                <w:rFonts w:cs="Arial"/>
                <w:sz w:val="22"/>
                <w:szCs w:val="22"/>
              </w:rPr>
              <w:t>nejbližší době významně poroste. Parkování v</w:t>
            </w:r>
            <w:r w:rsidR="005A1247">
              <w:rPr>
                <w:rFonts w:cs="Arial"/>
                <w:sz w:val="22"/>
                <w:szCs w:val="22"/>
              </w:rPr>
              <w:t> </w:t>
            </w:r>
            <w:r w:rsidRPr="005E26E5">
              <w:rPr>
                <w:rFonts w:cs="Arial"/>
                <w:sz w:val="22"/>
                <w:szCs w:val="22"/>
              </w:rPr>
              <w:t>garážích je nezbytnou potřebou při užívání vozidel ve městech.</w:t>
            </w:r>
          </w:p>
          <w:p w14:paraId="4A38873C" w14:textId="448DFD40" w:rsidR="005A511B" w:rsidRPr="005E26E5" w:rsidRDefault="005A511B" w:rsidP="005A1247">
            <w:pPr>
              <w:pStyle w:val="Normln10"/>
              <w:keepNext/>
              <w:spacing w:before="60" w:after="60" w:line="240" w:lineRule="auto"/>
              <w:rPr>
                <w:rFonts w:cs="Arial"/>
                <w:sz w:val="22"/>
                <w:szCs w:val="22"/>
              </w:rPr>
            </w:pPr>
            <w:r w:rsidRPr="005E26E5">
              <w:rPr>
                <w:rFonts w:cs="Arial"/>
                <w:sz w:val="22"/>
                <w:szCs w:val="22"/>
              </w:rPr>
              <w:t>Dnes platné bezpečnostní a</w:t>
            </w:r>
            <w:r w:rsidR="005A1247">
              <w:rPr>
                <w:rFonts w:cs="Arial"/>
                <w:sz w:val="22"/>
                <w:szCs w:val="22"/>
              </w:rPr>
              <w:t> </w:t>
            </w:r>
            <w:r w:rsidRPr="005E26E5">
              <w:rPr>
                <w:rFonts w:cs="Arial"/>
                <w:sz w:val="22"/>
                <w:szCs w:val="22"/>
              </w:rPr>
              <w:t>požární předpisy omezují nebo neumožňují parkování takových vozidel v</w:t>
            </w:r>
            <w:r w:rsidR="005A1247">
              <w:rPr>
                <w:rFonts w:cs="Arial"/>
                <w:sz w:val="22"/>
                <w:szCs w:val="22"/>
              </w:rPr>
              <w:t> </w:t>
            </w:r>
            <w:r w:rsidRPr="005E26E5">
              <w:rPr>
                <w:rFonts w:cs="Arial"/>
                <w:sz w:val="22"/>
                <w:szCs w:val="22"/>
              </w:rPr>
              <w:t>garážích. Tato skutečnost je spotřebiteli považována za jednu ze zásadních překážek bránících nákupu vozidla na plynný pohon</w:t>
            </w:r>
            <w:r>
              <w:rPr>
                <w:rFonts w:cs="Arial"/>
                <w:sz w:val="22"/>
                <w:szCs w:val="22"/>
              </w:rPr>
              <w:t xml:space="preserve"> i</w:t>
            </w:r>
            <w:r w:rsidR="005A1247">
              <w:rPr>
                <w:rFonts w:cs="Arial"/>
                <w:sz w:val="22"/>
                <w:szCs w:val="22"/>
              </w:rPr>
              <w:t> </w:t>
            </w:r>
            <w:r>
              <w:rPr>
                <w:rFonts w:cs="Arial"/>
                <w:sz w:val="22"/>
                <w:szCs w:val="22"/>
              </w:rPr>
              <w:t>vodík</w:t>
            </w:r>
            <w:r w:rsidRPr="005E26E5">
              <w:rPr>
                <w:rFonts w:cs="Arial"/>
                <w:sz w:val="22"/>
                <w:szCs w:val="22"/>
              </w:rPr>
              <w:t>.</w:t>
            </w:r>
          </w:p>
          <w:p w14:paraId="75A8E687" w14:textId="3DCD0544" w:rsidR="005A511B" w:rsidRDefault="005A511B" w:rsidP="005A1247">
            <w:pPr>
              <w:pStyle w:val="Normln10"/>
              <w:keepNext/>
              <w:spacing w:before="60" w:after="60" w:line="240" w:lineRule="auto"/>
              <w:rPr>
                <w:rFonts w:cs="Arial"/>
                <w:sz w:val="22"/>
                <w:szCs w:val="22"/>
              </w:rPr>
            </w:pPr>
            <w:r w:rsidRPr="005E26E5">
              <w:rPr>
                <w:rFonts w:cs="Arial"/>
                <w:sz w:val="22"/>
                <w:szCs w:val="22"/>
              </w:rPr>
              <w:t>S ohledem na očekávaný rozvoj zcela objektivně vyvstává potřeba takové vozy garážovat. Nová legislativa, upravující problematiku parkování vozidel ve veřejných parkovacích prostorách by měla být u</w:t>
            </w:r>
            <w:r w:rsidR="005A1247">
              <w:rPr>
                <w:rFonts w:cs="Arial"/>
                <w:sz w:val="22"/>
                <w:szCs w:val="22"/>
              </w:rPr>
              <w:t> </w:t>
            </w:r>
            <w:r w:rsidRPr="005E26E5">
              <w:rPr>
                <w:rFonts w:cs="Arial"/>
                <w:sz w:val="22"/>
                <w:szCs w:val="22"/>
              </w:rPr>
              <w:t>nově budovaných projektů stanovena povinně tak, aby byly splněny technické požadavky, které v</w:t>
            </w:r>
            <w:r w:rsidR="005A1247">
              <w:rPr>
                <w:rFonts w:cs="Arial"/>
                <w:sz w:val="22"/>
                <w:szCs w:val="22"/>
              </w:rPr>
              <w:t> </w:t>
            </w:r>
            <w:r w:rsidRPr="005E26E5">
              <w:rPr>
                <w:rFonts w:cs="Arial"/>
                <w:sz w:val="22"/>
                <w:szCs w:val="22"/>
              </w:rPr>
              <w:t xml:space="preserve">nich umožní kapacitně nelimitované parkování vozidel pro všechny druhy pohonných hmot. </w:t>
            </w:r>
            <w:r w:rsidRPr="00823214">
              <w:rPr>
                <w:sz w:val="22"/>
                <w:szCs w:val="22"/>
              </w:rPr>
              <w:t xml:space="preserve"> Tato zásada by měla být zakotvena v</w:t>
            </w:r>
            <w:r w:rsidR="005A1247">
              <w:rPr>
                <w:sz w:val="22"/>
                <w:szCs w:val="22"/>
              </w:rPr>
              <w:t> </w:t>
            </w:r>
            <w:r w:rsidRPr="00823214">
              <w:rPr>
                <w:sz w:val="22"/>
                <w:szCs w:val="22"/>
              </w:rPr>
              <w:t>technických požadavcích na stavby.</w:t>
            </w:r>
            <w:r>
              <w:rPr>
                <w:sz w:val="22"/>
                <w:szCs w:val="22"/>
              </w:rPr>
              <w:t xml:space="preserve"> </w:t>
            </w:r>
            <w:r w:rsidRPr="005E26E5">
              <w:rPr>
                <w:rFonts w:cs="Arial"/>
                <w:sz w:val="22"/>
                <w:szCs w:val="22"/>
              </w:rPr>
              <w:t>Těmito technickými požadavky, které by měly být specifikovány v</w:t>
            </w:r>
            <w:r w:rsidR="005A1247">
              <w:rPr>
                <w:rFonts w:cs="Arial"/>
                <w:sz w:val="22"/>
                <w:szCs w:val="22"/>
              </w:rPr>
              <w:t> </w:t>
            </w:r>
            <w:r w:rsidRPr="005E26E5">
              <w:rPr>
                <w:rFonts w:cs="Arial"/>
                <w:sz w:val="22"/>
                <w:szCs w:val="22"/>
              </w:rPr>
              <w:t>revidované ČSN 73 6058, se rozumí zejména odpovídající odvětrání veřejných parkovacích prostor a</w:t>
            </w:r>
            <w:r w:rsidR="005A1247">
              <w:rPr>
                <w:rFonts w:cs="Arial"/>
                <w:sz w:val="22"/>
                <w:szCs w:val="22"/>
              </w:rPr>
              <w:t> </w:t>
            </w:r>
            <w:r w:rsidRPr="005E26E5">
              <w:rPr>
                <w:rFonts w:cs="Arial"/>
                <w:sz w:val="22"/>
                <w:szCs w:val="22"/>
              </w:rPr>
              <w:t>vybavení další technologií zejména pro detekci možného úniku příslušného paliva.</w:t>
            </w:r>
          </w:p>
        </w:tc>
      </w:tr>
      <w:tr w:rsidR="005A511B" w14:paraId="45805D9D"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13AB5852" w14:textId="7D863F91" w:rsidR="005A511B" w:rsidRDefault="005A511B" w:rsidP="005A1247">
            <w:pPr>
              <w:pStyle w:val="Normln10"/>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357" w:type="dxa"/>
            <w:tcBorders>
              <w:top w:val="single" w:sz="4" w:space="0" w:color="auto"/>
              <w:left w:val="single" w:sz="12" w:space="0" w:color="auto"/>
              <w:bottom w:val="single" w:sz="4" w:space="0" w:color="auto"/>
              <w:right w:val="single" w:sz="12" w:space="0" w:color="auto"/>
            </w:tcBorders>
            <w:hideMark/>
          </w:tcPr>
          <w:p w14:paraId="2F680B25" w14:textId="3546A829" w:rsidR="005A511B" w:rsidRDefault="005A511B" w:rsidP="005A1247">
            <w:pPr>
              <w:pStyle w:val="Normln10"/>
              <w:spacing w:before="60" w:after="60" w:line="240" w:lineRule="auto"/>
              <w:rPr>
                <w:rFonts w:cs="Arial"/>
                <w:sz w:val="22"/>
                <w:szCs w:val="22"/>
              </w:rPr>
            </w:pPr>
            <w:r w:rsidRPr="005E26E5">
              <w:rPr>
                <w:rFonts w:cs="Arial"/>
                <w:sz w:val="22"/>
                <w:szCs w:val="22"/>
              </w:rPr>
              <w:t>Řada evropských zemí má nastaveny technické podmínky garážování vozidel přísněji, než je dnes platná česká úprava, díky tomu mohou tyto garáže užívat i</w:t>
            </w:r>
            <w:r w:rsidR="005A1247">
              <w:rPr>
                <w:rFonts w:cs="Arial"/>
                <w:sz w:val="22"/>
                <w:szCs w:val="22"/>
              </w:rPr>
              <w:t> </w:t>
            </w:r>
            <w:r w:rsidRPr="005E26E5">
              <w:rPr>
                <w:rFonts w:cs="Arial"/>
                <w:sz w:val="22"/>
                <w:szCs w:val="22"/>
              </w:rPr>
              <w:t>vozy s</w:t>
            </w:r>
            <w:r w:rsidR="005A1247">
              <w:rPr>
                <w:rFonts w:cs="Arial"/>
                <w:sz w:val="22"/>
                <w:szCs w:val="22"/>
              </w:rPr>
              <w:t> </w:t>
            </w:r>
            <w:r w:rsidRPr="005E26E5">
              <w:rPr>
                <w:rFonts w:cs="Arial"/>
                <w:sz w:val="22"/>
                <w:szCs w:val="22"/>
              </w:rPr>
              <w:t>plynnými pohony.</w:t>
            </w:r>
          </w:p>
        </w:tc>
      </w:tr>
      <w:tr w:rsidR="005A511B" w14:paraId="61D78EF5"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68941B56" w14:textId="77777777" w:rsidR="005A511B" w:rsidRDefault="005A511B" w:rsidP="005A1247">
            <w:pPr>
              <w:pStyle w:val="Normln10"/>
              <w:spacing w:before="60" w:after="60" w:line="240" w:lineRule="auto"/>
              <w:rPr>
                <w:rFonts w:cs="Arial"/>
                <w:sz w:val="22"/>
                <w:szCs w:val="22"/>
              </w:rPr>
            </w:pPr>
            <w:r>
              <w:rPr>
                <w:rFonts w:cs="Arial"/>
                <w:sz w:val="22"/>
                <w:szCs w:val="22"/>
              </w:rPr>
              <w:t>Rozpočtový dopad / financování</w:t>
            </w:r>
          </w:p>
        </w:tc>
        <w:tc>
          <w:tcPr>
            <w:tcW w:w="7357" w:type="dxa"/>
            <w:tcBorders>
              <w:top w:val="single" w:sz="4" w:space="0" w:color="auto"/>
              <w:left w:val="single" w:sz="12" w:space="0" w:color="auto"/>
              <w:bottom w:val="single" w:sz="4" w:space="0" w:color="auto"/>
              <w:right w:val="single" w:sz="12" w:space="0" w:color="auto"/>
            </w:tcBorders>
            <w:hideMark/>
          </w:tcPr>
          <w:p w14:paraId="14E9A124" w14:textId="77777777" w:rsidR="005A511B" w:rsidRDefault="005A511B" w:rsidP="005A1247">
            <w:pPr>
              <w:pStyle w:val="Normln10"/>
              <w:spacing w:before="60" w:after="60" w:line="240" w:lineRule="auto"/>
              <w:rPr>
                <w:rFonts w:cs="Arial"/>
                <w:sz w:val="22"/>
                <w:szCs w:val="22"/>
              </w:rPr>
            </w:pPr>
            <w:r>
              <w:rPr>
                <w:rFonts w:cs="Arial"/>
                <w:sz w:val="22"/>
                <w:szCs w:val="22"/>
              </w:rPr>
              <w:t>Financování ze strany investorů, nulový dopad na státní rozpočet nebo EU fondy.</w:t>
            </w:r>
          </w:p>
        </w:tc>
      </w:tr>
      <w:tr w:rsidR="005A511B" w14:paraId="76088587" w14:textId="77777777" w:rsidTr="005A1247">
        <w:tc>
          <w:tcPr>
            <w:tcW w:w="1984" w:type="dxa"/>
            <w:tcBorders>
              <w:top w:val="single" w:sz="4" w:space="0" w:color="auto"/>
              <w:left w:val="single" w:sz="12" w:space="0" w:color="auto"/>
              <w:bottom w:val="single" w:sz="4" w:space="0" w:color="auto"/>
              <w:right w:val="single" w:sz="12" w:space="0" w:color="auto"/>
            </w:tcBorders>
            <w:hideMark/>
          </w:tcPr>
          <w:p w14:paraId="259445A4" w14:textId="77777777" w:rsidR="005A511B" w:rsidRDefault="005A511B" w:rsidP="005A1247">
            <w:pPr>
              <w:pStyle w:val="Normln10"/>
              <w:rPr>
                <w:rFonts w:cs="Arial"/>
                <w:sz w:val="22"/>
                <w:szCs w:val="22"/>
              </w:rPr>
            </w:pPr>
            <w:r>
              <w:rPr>
                <w:rFonts w:cs="Arial"/>
                <w:sz w:val="22"/>
                <w:szCs w:val="22"/>
              </w:rPr>
              <w:t>Odpovědnost</w:t>
            </w:r>
          </w:p>
        </w:tc>
        <w:tc>
          <w:tcPr>
            <w:tcW w:w="7357" w:type="dxa"/>
            <w:tcBorders>
              <w:top w:val="single" w:sz="4" w:space="0" w:color="auto"/>
              <w:left w:val="single" w:sz="12" w:space="0" w:color="auto"/>
              <w:bottom w:val="single" w:sz="4" w:space="0" w:color="auto"/>
              <w:right w:val="single" w:sz="12" w:space="0" w:color="auto"/>
            </w:tcBorders>
            <w:hideMark/>
          </w:tcPr>
          <w:p w14:paraId="444068FD" w14:textId="77777777" w:rsidR="005A511B" w:rsidRDefault="005A511B" w:rsidP="005A1247">
            <w:pPr>
              <w:pStyle w:val="Normln10"/>
              <w:spacing w:before="60" w:after="60" w:line="240" w:lineRule="auto"/>
              <w:rPr>
                <w:rFonts w:cs="Arial"/>
                <w:sz w:val="22"/>
                <w:szCs w:val="22"/>
              </w:rPr>
            </w:pPr>
            <w:r>
              <w:rPr>
                <w:rFonts w:cs="Arial"/>
                <w:sz w:val="22"/>
                <w:szCs w:val="22"/>
              </w:rPr>
              <w:t>MMR, MV GŘ HZS, MZdr, MD, MPO</w:t>
            </w:r>
          </w:p>
        </w:tc>
      </w:tr>
      <w:tr w:rsidR="005A511B" w14:paraId="6F0AD563" w14:textId="77777777" w:rsidTr="005A1247">
        <w:tc>
          <w:tcPr>
            <w:tcW w:w="1984" w:type="dxa"/>
            <w:tcBorders>
              <w:top w:val="single" w:sz="4" w:space="0" w:color="auto"/>
              <w:left w:val="single" w:sz="12" w:space="0" w:color="auto"/>
              <w:bottom w:val="single" w:sz="12" w:space="0" w:color="auto"/>
              <w:right w:val="single" w:sz="12" w:space="0" w:color="auto"/>
            </w:tcBorders>
            <w:hideMark/>
          </w:tcPr>
          <w:p w14:paraId="3FF78128" w14:textId="77777777" w:rsidR="005A511B" w:rsidRDefault="005A511B" w:rsidP="005A1247">
            <w:pPr>
              <w:pStyle w:val="Normln10"/>
              <w:spacing w:before="60" w:after="60" w:line="240" w:lineRule="auto"/>
              <w:rPr>
                <w:rFonts w:cs="Arial"/>
                <w:sz w:val="22"/>
                <w:szCs w:val="22"/>
              </w:rPr>
            </w:pPr>
            <w:r>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hideMark/>
          </w:tcPr>
          <w:p w14:paraId="1522B1C7" w14:textId="77777777" w:rsidR="005A511B" w:rsidRDefault="005A511B" w:rsidP="005A1247">
            <w:pPr>
              <w:pStyle w:val="Normln10"/>
              <w:spacing w:before="60" w:after="60" w:line="240" w:lineRule="auto"/>
              <w:rPr>
                <w:rFonts w:cs="Arial"/>
                <w:sz w:val="22"/>
                <w:szCs w:val="22"/>
              </w:rPr>
            </w:pPr>
            <w:r>
              <w:rPr>
                <w:rFonts w:cs="Arial"/>
                <w:sz w:val="22"/>
                <w:szCs w:val="22"/>
              </w:rPr>
              <w:t>2021</w:t>
            </w:r>
          </w:p>
        </w:tc>
      </w:tr>
    </w:tbl>
    <w:p w14:paraId="73E116DE" w14:textId="190AC24D" w:rsidR="005A511B" w:rsidRDefault="005A511B" w:rsidP="009A3B7E">
      <w:pPr>
        <w:pStyle w:val="Nadpis3"/>
        <w:jc w:val="both"/>
      </w:pPr>
      <w:r>
        <w:lastRenderedPageBreak/>
        <w:t xml:space="preserve"> E15 Analýza možné úpravy režimu vydávání registrační značky pro elektrická vozidla</w:t>
      </w:r>
    </w:p>
    <w:bookmarkEnd w:id="114"/>
    <w:p w14:paraId="39272327" w14:textId="288E581E" w:rsidR="001530C0" w:rsidRDefault="001530C0" w:rsidP="005A511B">
      <w:pPr>
        <w:pStyle w:val="Nadpis3"/>
        <w:numPr>
          <w:ilvl w:val="0"/>
          <w:numId w:val="0"/>
        </w:numPr>
        <w:ind w:left="284"/>
        <w:jc w:val="both"/>
      </w:pPr>
    </w:p>
    <w:tbl>
      <w:tblPr>
        <w:tblW w:w="9483" w:type="dxa"/>
        <w:jc w:val="center"/>
        <w:tblCellMar>
          <w:left w:w="0" w:type="dxa"/>
          <w:right w:w="0" w:type="dxa"/>
        </w:tblCellMar>
        <w:tblLook w:val="00A0" w:firstRow="1" w:lastRow="0" w:firstColumn="1" w:lastColumn="0" w:noHBand="0" w:noVBand="0"/>
      </w:tblPr>
      <w:tblGrid>
        <w:gridCol w:w="1984"/>
        <w:gridCol w:w="7499"/>
      </w:tblGrid>
      <w:tr w:rsidR="001530C0" w:rsidRPr="00D5678F" w14:paraId="170F17D6" w14:textId="77777777" w:rsidTr="00D005FA">
        <w:trPr>
          <w:cantSplit/>
          <w:jc w:val="center"/>
        </w:trPr>
        <w:tc>
          <w:tcPr>
            <w:tcW w:w="9483"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vAlign w:val="center"/>
          </w:tcPr>
          <w:p w14:paraId="2D7C5D2B" w14:textId="1E3F982D" w:rsidR="001530C0" w:rsidRPr="00D5678F" w:rsidRDefault="001530C0" w:rsidP="005243F5">
            <w:pPr>
              <w:spacing w:before="60" w:after="60"/>
              <w:jc w:val="both"/>
              <w:rPr>
                <w:b/>
              </w:rPr>
            </w:pPr>
            <w:r w:rsidRPr="0066759B">
              <w:rPr>
                <w:b/>
                <w:color w:val="FFFFFF" w:themeColor="background1"/>
              </w:rPr>
              <w:t>E</w:t>
            </w:r>
            <w:r>
              <w:rPr>
                <w:b/>
                <w:color w:val="FFFFFF" w:themeColor="background1"/>
              </w:rPr>
              <w:t>1</w:t>
            </w:r>
            <w:r w:rsidR="005A511B">
              <w:rPr>
                <w:b/>
                <w:color w:val="FFFFFF" w:themeColor="background1"/>
              </w:rPr>
              <w:t>5</w:t>
            </w:r>
            <w:r>
              <w:rPr>
                <w:b/>
                <w:color w:val="FFFFFF" w:themeColor="background1"/>
              </w:rPr>
              <w:t xml:space="preserve"> </w:t>
            </w:r>
            <w:r w:rsidR="00045054">
              <w:rPr>
                <w:b/>
                <w:color w:val="FFFFFF" w:themeColor="background1"/>
              </w:rPr>
              <w:t>A</w:t>
            </w:r>
            <w:r w:rsidR="005243F5">
              <w:rPr>
                <w:b/>
                <w:color w:val="FFFFFF" w:themeColor="background1"/>
              </w:rPr>
              <w:t>nalýza možné ú</w:t>
            </w:r>
            <w:r w:rsidRPr="00730AE6">
              <w:rPr>
                <w:b/>
                <w:color w:val="FFFFFF" w:themeColor="background1"/>
              </w:rPr>
              <w:t>prav</w:t>
            </w:r>
            <w:r w:rsidR="005243F5">
              <w:rPr>
                <w:b/>
                <w:color w:val="FFFFFF" w:themeColor="background1"/>
              </w:rPr>
              <w:t>y</w:t>
            </w:r>
            <w:r w:rsidRPr="00730AE6">
              <w:rPr>
                <w:b/>
                <w:color w:val="FFFFFF" w:themeColor="background1"/>
              </w:rPr>
              <w:t xml:space="preserve"> režimu vydávání registrační značky pro elektrická vozidla</w:t>
            </w:r>
          </w:p>
        </w:tc>
      </w:tr>
      <w:tr w:rsidR="001530C0" w:rsidRPr="00D5678F" w14:paraId="0B20EB08"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39121EB8" w14:textId="77777777" w:rsidR="001530C0" w:rsidRPr="0066759B" w:rsidRDefault="001530C0" w:rsidP="009A3B7E">
            <w:pPr>
              <w:spacing w:before="60" w:after="60"/>
              <w:jc w:val="both"/>
              <w:rPr>
                <w:szCs w:val="20"/>
              </w:rPr>
            </w:pPr>
            <w:r w:rsidRPr="0066759B">
              <w:rPr>
                <w:szCs w:val="20"/>
              </w:rPr>
              <w:t>Návaznost na strategický cíl</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0731589B" w14:textId="77777777" w:rsidR="001530C0" w:rsidRPr="0066759B" w:rsidRDefault="001530C0" w:rsidP="00B502A0">
            <w:pPr>
              <w:pStyle w:val="TableText"/>
              <w:spacing w:before="60" w:after="60" w:line="240" w:lineRule="auto"/>
              <w:jc w:val="both"/>
            </w:pPr>
            <w:r w:rsidRPr="00E806F2">
              <w:rPr>
                <w:sz w:val="22"/>
                <w:szCs w:val="22"/>
              </w:rPr>
              <w:t>Rozvoj trhu elektrických vozidel</w:t>
            </w:r>
            <w:r w:rsidR="00E957C2">
              <w:rPr>
                <w:sz w:val="22"/>
                <w:szCs w:val="22"/>
              </w:rPr>
              <w:t xml:space="preserve"> (kap. 2.4.1.)</w:t>
            </w:r>
          </w:p>
        </w:tc>
      </w:tr>
      <w:tr w:rsidR="001530C0" w:rsidRPr="00D5678F" w14:paraId="78DFAEB7"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08E558A4" w14:textId="77777777" w:rsidR="001530C0" w:rsidRPr="0066759B" w:rsidRDefault="001530C0" w:rsidP="009A3B7E">
            <w:pPr>
              <w:spacing w:after="0"/>
              <w:jc w:val="both"/>
              <w:rPr>
                <w:szCs w:val="20"/>
              </w:rPr>
            </w:pPr>
            <w:r w:rsidRPr="0066759B">
              <w:rPr>
                <w:szCs w:val="20"/>
              </w:rPr>
              <w:t>Cíl opatření</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61865109" w14:textId="7D39BFE3" w:rsidR="00C70AFD" w:rsidRPr="0066759B" w:rsidRDefault="001530C0" w:rsidP="005A1247">
            <w:pPr>
              <w:spacing w:before="60" w:after="60"/>
              <w:jc w:val="both"/>
              <w:rPr>
                <w:szCs w:val="20"/>
              </w:rPr>
            </w:pPr>
            <w:r w:rsidRPr="00EE2DDD">
              <w:rPr>
                <w:szCs w:val="20"/>
              </w:rPr>
              <w:t>Zjednodušit existující režim a</w:t>
            </w:r>
            <w:r w:rsidR="005A1247">
              <w:rPr>
                <w:szCs w:val="20"/>
              </w:rPr>
              <w:t> </w:t>
            </w:r>
            <w:r w:rsidRPr="00EE2DDD">
              <w:rPr>
                <w:szCs w:val="20"/>
              </w:rPr>
              <w:t>upravit ho tak, aby jej bylo možné využít i</w:t>
            </w:r>
            <w:r w:rsidR="005A1247">
              <w:rPr>
                <w:szCs w:val="20"/>
              </w:rPr>
              <w:t> </w:t>
            </w:r>
            <w:r w:rsidRPr="00EE2DDD">
              <w:rPr>
                <w:szCs w:val="20"/>
              </w:rPr>
              <w:t>pro nákladní elektrická (res</w:t>
            </w:r>
            <w:r>
              <w:rPr>
                <w:szCs w:val="20"/>
              </w:rPr>
              <w:t xml:space="preserve">pektive </w:t>
            </w:r>
            <w:r w:rsidRPr="00EE2DDD">
              <w:rPr>
                <w:szCs w:val="20"/>
              </w:rPr>
              <w:t>plug-in hybridní) vozidla</w:t>
            </w:r>
          </w:p>
        </w:tc>
      </w:tr>
      <w:tr w:rsidR="001530C0" w:rsidRPr="00D5678F" w14:paraId="749BC066"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383EAAA0" w14:textId="77777777" w:rsidR="001530C0" w:rsidRPr="0066759B" w:rsidRDefault="001530C0" w:rsidP="009A3B7E">
            <w:pPr>
              <w:spacing w:after="0"/>
              <w:jc w:val="both"/>
              <w:rPr>
                <w:szCs w:val="20"/>
              </w:rPr>
            </w:pPr>
            <w:r w:rsidRPr="0066759B">
              <w:rPr>
                <w:szCs w:val="20"/>
              </w:rPr>
              <w:t>Popis opatření</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5724979D" w14:textId="70A30FEB" w:rsidR="001530C0" w:rsidRPr="00EE2DDD" w:rsidRDefault="001530C0" w:rsidP="00B502A0">
            <w:pPr>
              <w:spacing w:before="60" w:after="60"/>
              <w:jc w:val="both"/>
              <w:rPr>
                <w:szCs w:val="20"/>
              </w:rPr>
            </w:pPr>
            <w:r w:rsidRPr="00EE2DDD">
              <w:rPr>
                <w:szCs w:val="20"/>
              </w:rPr>
              <w:t xml:space="preserve">Cílem opatření </w:t>
            </w:r>
            <w:r w:rsidR="00EE5D95">
              <w:rPr>
                <w:szCs w:val="20"/>
              </w:rPr>
              <w:t>je posoudit možnost zavedení úpravy</w:t>
            </w:r>
            <w:r w:rsidRPr="00EE2DDD">
              <w:rPr>
                <w:szCs w:val="20"/>
              </w:rPr>
              <w:t xml:space="preserve"> vydáv</w:t>
            </w:r>
            <w:r w:rsidR="00EE5D95">
              <w:rPr>
                <w:szCs w:val="20"/>
              </w:rPr>
              <w:t>ání</w:t>
            </w:r>
            <w:r w:rsidRPr="00EE2DDD">
              <w:rPr>
                <w:szCs w:val="20"/>
              </w:rPr>
              <w:t xml:space="preserve"> speciálních registračních značek též pro plug-in hybridní nákladní vozidla</w:t>
            </w:r>
            <w:r w:rsidR="00EE5D95">
              <w:rPr>
                <w:szCs w:val="20"/>
              </w:rPr>
              <w:t xml:space="preserve"> (kategorie N1),</w:t>
            </w:r>
            <w:r w:rsidRPr="00EE2DDD">
              <w:rPr>
                <w:szCs w:val="20"/>
              </w:rPr>
              <w:t xml:space="preserve"> které z</w:t>
            </w:r>
            <w:r w:rsidR="005A1247">
              <w:rPr>
                <w:szCs w:val="20"/>
              </w:rPr>
              <w:t> </w:t>
            </w:r>
            <w:r w:rsidRPr="00EE2DDD">
              <w:rPr>
                <w:szCs w:val="20"/>
              </w:rPr>
              <w:t>podsta</w:t>
            </w:r>
            <w:r w:rsidR="00EE5D95">
              <w:rPr>
                <w:szCs w:val="20"/>
              </w:rPr>
              <w:t>t</w:t>
            </w:r>
            <w:r w:rsidRPr="00EE2DDD">
              <w:rPr>
                <w:szCs w:val="20"/>
              </w:rPr>
              <w:t>y věci (technické parametry) nemohou splňovat limit 50 g</w:t>
            </w:r>
            <w:r w:rsidR="005A1247">
              <w:rPr>
                <w:szCs w:val="20"/>
              </w:rPr>
              <w:t> </w:t>
            </w:r>
            <w:r w:rsidRPr="00EE2DDD">
              <w:rPr>
                <w:szCs w:val="20"/>
              </w:rPr>
              <w:t>CO</w:t>
            </w:r>
            <w:r w:rsidRPr="00546D75">
              <w:rPr>
                <w:szCs w:val="20"/>
                <w:vertAlign w:val="subscript"/>
              </w:rPr>
              <w:t>2</w:t>
            </w:r>
            <w:r w:rsidRPr="00EE2DDD">
              <w:rPr>
                <w:szCs w:val="20"/>
              </w:rPr>
              <w:t xml:space="preserve">/km. </w:t>
            </w:r>
          </w:p>
          <w:p w14:paraId="31D9338F" w14:textId="1DA89522" w:rsidR="00C70AFD" w:rsidRPr="0066759B" w:rsidRDefault="001530C0" w:rsidP="005A1247">
            <w:pPr>
              <w:spacing w:before="60" w:after="60"/>
              <w:jc w:val="both"/>
              <w:rPr>
                <w:szCs w:val="20"/>
              </w:rPr>
            </w:pPr>
            <w:r>
              <w:rPr>
                <w:szCs w:val="20"/>
              </w:rPr>
              <w:t>Zá</w:t>
            </w:r>
            <w:r w:rsidRPr="00EE2DDD">
              <w:rPr>
                <w:szCs w:val="20"/>
              </w:rPr>
              <w:t xml:space="preserve">roveň </w:t>
            </w:r>
            <w:r w:rsidR="00EE5D95">
              <w:rPr>
                <w:szCs w:val="20"/>
              </w:rPr>
              <w:t>se jeví jako</w:t>
            </w:r>
            <w:r w:rsidRPr="00EE2DDD">
              <w:rPr>
                <w:szCs w:val="20"/>
              </w:rPr>
              <w:t xml:space="preserve"> žádoucí</w:t>
            </w:r>
            <w:r w:rsidR="005243F5">
              <w:rPr>
                <w:szCs w:val="20"/>
              </w:rPr>
              <w:t xml:space="preserve"> posoudit možnosti</w:t>
            </w:r>
            <w:r w:rsidRPr="00EE2DDD">
              <w:rPr>
                <w:szCs w:val="20"/>
              </w:rPr>
              <w:t xml:space="preserve"> zjednoduš</w:t>
            </w:r>
            <w:r w:rsidR="005243F5">
              <w:rPr>
                <w:szCs w:val="20"/>
              </w:rPr>
              <w:t>ení</w:t>
            </w:r>
            <w:r w:rsidRPr="00EE2DDD">
              <w:rPr>
                <w:szCs w:val="20"/>
              </w:rPr>
              <w:t xml:space="preserve"> systém</w:t>
            </w:r>
            <w:r w:rsidR="005243F5">
              <w:rPr>
                <w:szCs w:val="20"/>
              </w:rPr>
              <w:t>u</w:t>
            </w:r>
            <w:r w:rsidRPr="00EE2DDD">
              <w:rPr>
                <w:szCs w:val="20"/>
              </w:rPr>
              <w:t xml:space="preserve"> vydávání těchto typů značek. V</w:t>
            </w:r>
            <w:r w:rsidR="005A1247">
              <w:rPr>
                <w:szCs w:val="20"/>
              </w:rPr>
              <w:t> </w:t>
            </w:r>
            <w:r w:rsidRPr="00EE2DDD">
              <w:rPr>
                <w:szCs w:val="20"/>
              </w:rPr>
              <w:t>současnosti se tyto značky vydávají tzv. na vyžádání vlastníka vozidla, který musí následně čekat na vydání dané značky několik týdnů. S</w:t>
            </w:r>
            <w:r w:rsidR="005A1247">
              <w:rPr>
                <w:szCs w:val="20"/>
              </w:rPr>
              <w:t> </w:t>
            </w:r>
            <w:r w:rsidRPr="00EE2DDD">
              <w:rPr>
                <w:szCs w:val="20"/>
              </w:rPr>
              <w:t>ohledem na očekávaný vývoj (viz predikce a</w:t>
            </w:r>
            <w:r w:rsidR="005A1247">
              <w:rPr>
                <w:szCs w:val="20"/>
              </w:rPr>
              <w:t> </w:t>
            </w:r>
            <w:r w:rsidRPr="00EE2DDD">
              <w:rPr>
                <w:szCs w:val="20"/>
              </w:rPr>
              <w:t xml:space="preserve">nastavení strategického cíle) se tento režim nejeví jako </w:t>
            </w:r>
            <w:r w:rsidR="005243F5">
              <w:rPr>
                <w:szCs w:val="20"/>
              </w:rPr>
              <w:t xml:space="preserve">zcela </w:t>
            </w:r>
            <w:r w:rsidRPr="00EE2DDD">
              <w:rPr>
                <w:szCs w:val="20"/>
              </w:rPr>
              <w:t>žádoucí</w:t>
            </w:r>
            <w:r w:rsidR="005243F5">
              <w:rPr>
                <w:szCs w:val="20"/>
              </w:rPr>
              <w:t xml:space="preserve"> a</w:t>
            </w:r>
            <w:r w:rsidR="005A1247">
              <w:rPr>
                <w:szCs w:val="20"/>
              </w:rPr>
              <w:t> </w:t>
            </w:r>
            <w:r w:rsidR="005243F5">
              <w:rPr>
                <w:szCs w:val="20"/>
              </w:rPr>
              <w:t>bylo by vhodné hledat optimálnější řešení</w:t>
            </w:r>
            <w:r w:rsidRPr="00EE2DDD">
              <w:rPr>
                <w:szCs w:val="20"/>
              </w:rPr>
              <w:t xml:space="preserve">. </w:t>
            </w:r>
          </w:p>
        </w:tc>
      </w:tr>
      <w:tr w:rsidR="001530C0" w:rsidRPr="00D5678F" w14:paraId="460DAE5B"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163105E3" w14:textId="02A42A58" w:rsidR="001530C0" w:rsidRPr="0066759B" w:rsidRDefault="001530C0" w:rsidP="005A1247">
            <w:pPr>
              <w:spacing w:after="0"/>
              <w:jc w:val="both"/>
              <w:rPr>
                <w:szCs w:val="20"/>
              </w:rPr>
            </w:pPr>
            <w:r w:rsidRPr="0066759B">
              <w:rPr>
                <w:szCs w:val="20"/>
              </w:rPr>
              <w:t>Využití opatření jinde v</w:t>
            </w:r>
            <w:r w:rsidR="005A1247">
              <w:rPr>
                <w:szCs w:val="20"/>
              </w:rPr>
              <w:t> </w:t>
            </w:r>
            <w:r w:rsidRPr="0066759B">
              <w:rPr>
                <w:szCs w:val="20"/>
              </w:rPr>
              <w:t>Evropě / ve světě</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71BBA09D" w14:textId="5C71B14B" w:rsidR="001530C0" w:rsidRPr="0066759B" w:rsidRDefault="005243F5" w:rsidP="005A1247">
            <w:pPr>
              <w:spacing w:before="60" w:after="60"/>
              <w:jc w:val="both"/>
              <w:rPr>
                <w:szCs w:val="20"/>
              </w:rPr>
            </w:pPr>
            <w:r>
              <w:rPr>
                <w:szCs w:val="20"/>
              </w:rPr>
              <w:t xml:space="preserve">V </w:t>
            </w:r>
            <w:r w:rsidR="001530C0" w:rsidRPr="0066759B">
              <w:rPr>
                <w:szCs w:val="20"/>
              </w:rPr>
              <w:t>Německ</w:t>
            </w:r>
            <w:r>
              <w:rPr>
                <w:szCs w:val="20"/>
              </w:rPr>
              <w:t>u v</w:t>
            </w:r>
            <w:r w:rsidR="005A1247">
              <w:rPr>
                <w:szCs w:val="20"/>
              </w:rPr>
              <w:t> </w:t>
            </w:r>
            <w:r>
              <w:rPr>
                <w:szCs w:val="20"/>
              </w:rPr>
              <w:t>současnosti probíhá odborná diskuze o</w:t>
            </w:r>
            <w:r w:rsidR="005A1247">
              <w:rPr>
                <w:szCs w:val="20"/>
              </w:rPr>
              <w:t> </w:t>
            </w:r>
            <w:r>
              <w:rPr>
                <w:szCs w:val="20"/>
              </w:rPr>
              <w:t>úpravě daného limitu CO2, na který se váže vydávání speciální registrační značky pro elektrická vozidla a</w:t>
            </w:r>
            <w:r w:rsidR="005A1247">
              <w:rPr>
                <w:szCs w:val="20"/>
              </w:rPr>
              <w:t> </w:t>
            </w:r>
            <w:r>
              <w:rPr>
                <w:szCs w:val="20"/>
              </w:rPr>
              <w:t>to právě v</w:t>
            </w:r>
            <w:r w:rsidR="005A1247">
              <w:rPr>
                <w:szCs w:val="20"/>
              </w:rPr>
              <w:t> </w:t>
            </w:r>
            <w:r>
              <w:rPr>
                <w:szCs w:val="20"/>
              </w:rPr>
              <w:t>návaznosti na nový vývoj v</w:t>
            </w:r>
            <w:r w:rsidR="005A1247">
              <w:rPr>
                <w:szCs w:val="20"/>
              </w:rPr>
              <w:t> </w:t>
            </w:r>
            <w:r>
              <w:rPr>
                <w:szCs w:val="20"/>
              </w:rPr>
              <w:t xml:space="preserve">této oblasti (zaváděním nízkoemisních vozidel kategorie N1, která doposud na trhu nebyla). Limit pro vozidla M1 se přitom měnit nemá.  </w:t>
            </w:r>
            <w:r w:rsidR="00061FB2">
              <w:rPr>
                <w:szCs w:val="20"/>
              </w:rPr>
              <w:t>   </w:t>
            </w:r>
          </w:p>
        </w:tc>
      </w:tr>
      <w:tr w:rsidR="001530C0" w:rsidRPr="00D5678F" w14:paraId="283EBED6"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15E6B4B3" w14:textId="1CF45198" w:rsidR="001530C0" w:rsidRPr="0066759B" w:rsidRDefault="001530C0" w:rsidP="005A1247">
            <w:pPr>
              <w:spacing w:before="60" w:after="60"/>
              <w:jc w:val="both"/>
              <w:rPr>
                <w:szCs w:val="20"/>
              </w:rPr>
            </w:pPr>
            <w:r w:rsidRPr="0066759B">
              <w:rPr>
                <w:szCs w:val="20"/>
              </w:rPr>
              <w:t>Analogické opatření v</w:t>
            </w:r>
            <w:r w:rsidR="005A1247">
              <w:rPr>
                <w:szCs w:val="20"/>
              </w:rPr>
              <w:t> </w:t>
            </w:r>
            <w:r w:rsidRPr="0066759B">
              <w:rPr>
                <w:szCs w:val="20"/>
              </w:rPr>
              <w:t>ČR</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4EAEF01F" w14:textId="77777777" w:rsidR="001530C0" w:rsidRPr="0066759B" w:rsidRDefault="001530C0" w:rsidP="00262622">
            <w:pPr>
              <w:spacing w:before="60" w:after="60"/>
              <w:jc w:val="both"/>
              <w:rPr>
                <w:szCs w:val="20"/>
              </w:rPr>
            </w:pPr>
            <w:r w:rsidRPr="0066759B">
              <w:rPr>
                <w:szCs w:val="20"/>
              </w:rPr>
              <w:t>Označení vozidel na LPG, CNG, taxi</w:t>
            </w:r>
          </w:p>
        </w:tc>
      </w:tr>
      <w:tr w:rsidR="001530C0" w:rsidRPr="00D5678F" w14:paraId="573AC1B0"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0A2BEEF6" w14:textId="77777777" w:rsidR="001530C0" w:rsidRPr="0066759B" w:rsidRDefault="001530C0" w:rsidP="009A3B7E">
            <w:pPr>
              <w:spacing w:after="0"/>
              <w:jc w:val="both"/>
              <w:rPr>
                <w:szCs w:val="20"/>
              </w:rPr>
            </w:pPr>
            <w:r w:rsidRPr="0066759B">
              <w:rPr>
                <w:szCs w:val="20"/>
              </w:rPr>
              <w:t>Rozpočtový dopad / financování</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527B1754" w14:textId="6411B223" w:rsidR="001530C0" w:rsidRPr="0066759B" w:rsidRDefault="001530C0" w:rsidP="005A1247">
            <w:pPr>
              <w:spacing w:before="60" w:after="60"/>
              <w:jc w:val="both"/>
              <w:rPr>
                <w:szCs w:val="20"/>
              </w:rPr>
            </w:pPr>
            <w:r w:rsidRPr="0066759B">
              <w:rPr>
                <w:szCs w:val="20"/>
              </w:rPr>
              <w:t>Náklady spojené s</w:t>
            </w:r>
            <w:r w:rsidR="005A1247">
              <w:rPr>
                <w:szCs w:val="20"/>
              </w:rPr>
              <w:t> </w:t>
            </w:r>
            <w:r w:rsidRPr="0066759B">
              <w:rPr>
                <w:szCs w:val="20"/>
              </w:rPr>
              <w:t>přípravou a</w:t>
            </w:r>
            <w:r w:rsidR="005A1247">
              <w:rPr>
                <w:szCs w:val="20"/>
              </w:rPr>
              <w:t> </w:t>
            </w:r>
            <w:r w:rsidRPr="0066759B">
              <w:rPr>
                <w:szCs w:val="20"/>
              </w:rPr>
              <w:t>realizací značky v</w:t>
            </w:r>
            <w:r w:rsidR="005A1247">
              <w:rPr>
                <w:szCs w:val="20"/>
              </w:rPr>
              <w:t> </w:t>
            </w:r>
            <w:r w:rsidRPr="0066759B">
              <w:rPr>
                <w:szCs w:val="20"/>
              </w:rPr>
              <w:t xml:space="preserve">rámci rozpočtu MD. </w:t>
            </w:r>
          </w:p>
        </w:tc>
      </w:tr>
      <w:tr w:rsidR="001530C0" w:rsidRPr="00D5678F" w14:paraId="2FBEE239" w14:textId="77777777" w:rsidTr="00D005FA">
        <w:trPr>
          <w:cantSplit/>
          <w:jc w:val="center"/>
        </w:trPr>
        <w:tc>
          <w:tcPr>
            <w:tcW w:w="1984" w:type="dxa"/>
            <w:tcBorders>
              <w:top w:val="nil"/>
              <w:left w:val="single" w:sz="12" w:space="0" w:color="auto"/>
              <w:bottom w:val="single" w:sz="8" w:space="0" w:color="auto"/>
              <w:right w:val="single" w:sz="12" w:space="0" w:color="auto"/>
            </w:tcBorders>
            <w:tcMar>
              <w:top w:w="0" w:type="dxa"/>
              <w:left w:w="70" w:type="dxa"/>
              <w:bottom w:w="0" w:type="dxa"/>
              <w:right w:w="70" w:type="dxa"/>
            </w:tcMar>
          </w:tcPr>
          <w:p w14:paraId="0425646B" w14:textId="77777777" w:rsidR="001530C0" w:rsidRPr="0066759B" w:rsidRDefault="001530C0" w:rsidP="009A3B7E">
            <w:pPr>
              <w:spacing w:before="60" w:after="60"/>
              <w:jc w:val="both"/>
              <w:rPr>
                <w:szCs w:val="20"/>
              </w:rPr>
            </w:pPr>
            <w:r w:rsidRPr="0066759B">
              <w:rPr>
                <w:szCs w:val="20"/>
              </w:rPr>
              <w:t>Odpovědnost</w:t>
            </w:r>
          </w:p>
        </w:tc>
        <w:tc>
          <w:tcPr>
            <w:tcW w:w="7499" w:type="dxa"/>
            <w:tcBorders>
              <w:top w:val="nil"/>
              <w:left w:val="nil"/>
              <w:bottom w:val="single" w:sz="8" w:space="0" w:color="auto"/>
              <w:right w:val="single" w:sz="12" w:space="0" w:color="auto"/>
            </w:tcBorders>
            <w:tcMar>
              <w:top w:w="0" w:type="dxa"/>
              <w:left w:w="70" w:type="dxa"/>
              <w:bottom w:w="0" w:type="dxa"/>
              <w:right w:w="70" w:type="dxa"/>
            </w:tcMar>
          </w:tcPr>
          <w:p w14:paraId="298A0A6E" w14:textId="169A28D6" w:rsidR="001530C0" w:rsidRPr="0066759B" w:rsidRDefault="001530C0" w:rsidP="00C70AFD">
            <w:pPr>
              <w:spacing w:before="60" w:after="60"/>
              <w:jc w:val="both"/>
              <w:rPr>
                <w:szCs w:val="20"/>
              </w:rPr>
            </w:pPr>
            <w:r w:rsidRPr="0066759B">
              <w:rPr>
                <w:szCs w:val="20"/>
              </w:rPr>
              <w:t>MD</w:t>
            </w:r>
          </w:p>
        </w:tc>
      </w:tr>
      <w:tr w:rsidR="001530C0" w:rsidRPr="00D5678F" w14:paraId="1A9D0036" w14:textId="77777777" w:rsidTr="00D005FA">
        <w:trPr>
          <w:cantSplit/>
          <w:jc w:val="center"/>
        </w:trPr>
        <w:tc>
          <w:tcPr>
            <w:tcW w:w="1984" w:type="dxa"/>
            <w:tcBorders>
              <w:top w:val="nil"/>
              <w:left w:val="single" w:sz="12" w:space="0" w:color="auto"/>
              <w:bottom w:val="single" w:sz="12" w:space="0" w:color="auto"/>
              <w:right w:val="single" w:sz="12" w:space="0" w:color="auto"/>
            </w:tcBorders>
            <w:tcMar>
              <w:top w:w="0" w:type="dxa"/>
              <w:left w:w="70" w:type="dxa"/>
              <w:bottom w:w="0" w:type="dxa"/>
              <w:right w:w="70" w:type="dxa"/>
            </w:tcMar>
          </w:tcPr>
          <w:p w14:paraId="48F96A64" w14:textId="77777777" w:rsidR="001530C0" w:rsidRPr="0066759B" w:rsidRDefault="001530C0" w:rsidP="009A3B7E">
            <w:pPr>
              <w:spacing w:before="60" w:after="60"/>
              <w:jc w:val="both"/>
              <w:rPr>
                <w:szCs w:val="20"/>
              </w:rPr>
            </w:pPr>
            <w:r w:rsidRPr="0066759B">
              <w:rPr>
                <w:szCs w:val="20"/>
              </w:rPr>
              <w:t>Termín</w:t>
            </w:r>
          </w:p>
        </w:tc>
        <w:tc>
          <w:tcPr>
            <w:tcW w:w="7499" w:type="dxa"/>
            <w:tcBorders>
              <w:top w:val="nil"/>
              <w:left w:val="nil"/>
              <w:bottom w:val="single" w:sz="12" w:space="0" w:color="auto"/>
              <w:right w:val="single" w:sz="12" w:space="0" w:color="auto"/>
            </w:tcBorders>
            <w:tcMar>
              <w:top w:w="0" w:type="dxa"/>
              <w:left w:w="70" w:type="dxa"/>
              <w:bottom w:w="0" w:type="dxa"/>
              <w:right w:w="70" w:type="dxa"/>
            </w:tcMar>
          </w:tcPr>
          <w:p w14:paraId="23735552" w14:textId="460C0CBB" w:rsidR="001530C0" w:rsidRPr="0066759B" w:rsidRDefault="001530C0" w:rsidP="00C70AFD">
            <w:pPr>
              <w:spacing w:before="60" w:after="60"/>
              <w:jc w:val="both"/>
              <w:rPr>
                <w:szCs w:val="20"/>
              </w:rPr>
            </w:pPr>
            <w:r>
              <w:rPr>
                <w:szCs w:val="20"/>
              </w:rPr>
              <w:t>2021-</w:t>
            </w:r>
          </w:p>
        </w:tc>
      </w:tr>
    </w:tbl>
    <w:p w14:paraId="141DCDCB" w14:textId="77777777" w:rsidR="001530C0" w:rsidRDefault="001530C0" w:rsidP="009A3B7E">
      <w:pPr>
        <w:jc w:val="both"/>
      </w:pPr>
    </w:p>
    <w:p w14:paraId="03BBC808" w14:textId="576B3BED" w:rsidR="008F4A01" w:rsidRDefault="001530C0" w:rsidP="005A511B">
      <w:pPr>
        <w:pStyle w:val="Nadpis3"/>
      </w:pPr>
      <w:r>
        <w:br w:type="page"/>
      </w:r>
      <w:r w:rsidR="005A511B">
        <w:lastRenderedPageBreak/>
        <w:t>E16</w:t>
      </w:r>
      <w:r w:rsidR="008F4A01">
        <w:t xml:space="preserve"> Zjednodušení přístupu elektrických vozidel do nízkoemisních zón </w:t>
      </w:r>
    </w:p>
    <w:tbl>
      <w:tblPr>
        <w:tblW w:w="9423" w:type="dxa"/>
        <w:jc w:val="center"/>
        <w:tblCellMar>
          <w:left w:w="0" w:type="dxa"/>
          <w:right w:w="0" w:type="dxa"/>
        </w:tblCellMar>
        <w:tblLook w:val="00A0" w:firstRow="1" w:lastRow="0" w:firstColumn="1" w:lastColumn="0" w:noHBand="0" w:noVBand="0"/>
      </w:tblPr>
      <w:tblGrid>
        <w:gridCol w:w="1971"/>
        <w:gridCol w:w="7452"/>
      </w:tblGrid>
      <w:tr w:rsidR="008F4A01" w14:paraId="465BCEAE" w14:textId="77777777" w:rsidTr="008F4A01">
        <w:trPr>
          <w:cantSplit/>
          <w:trHeight w:val="578"/>
          <w:jc w:val="center"/>
        </w:trPr>
        <w:tc>
          <w:tcPr>
            <w:tcW w:w="9423"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vAlign w:val="center"/>
            <w:hideMark/>
          </w:tcPr>
          <w:p w14:paraId="55F580D2" w14:textId="7E8FEA7D" w:rsidR="008F4A01" w:rsidRDefault="005A511B">
            <w:pPr>
              <w:spacing w:before="60" w:after="60" w:line="256" w:lineRule="auto"/>
              <w:jc w:val="both"/>
              <w:rPr>
                <w:b/>
                <w:lang w:eastAsia="en-US"/>
              </w:rPr>
            </w:pPr>
            <w:r>
              <w:rPr>
                <w:b/>
                <w:color w:val="FFFFFF" w:themeColor="background1"/>
                <w:lang w:eastAsia="en-US"/>
              </w:rPr>
              <w:t>E16</w:t>
            </w:r>
            <w:r w:rsidR="008F4A01">
              <w:rPr>
                <w:b/>
                <w:color w:val="FFFFFF" w:themeColor="background1"/>
                <w:lang w:eastAsia="en-US"/>
              </w:rPr>
              <w:t xml:space="preserve">  </w:t>
            </w:r>
            <w:r w:rsidR="008F4A01" w:rsidRPr="005A511B">
              <w:rPr>
                <w:b/>
                <w:color w:val="FFFFFF" w:themeColor="background1"/>
                <w:lang w:eastAsia="en-US"/>
              </w:rPr>
              <w:t>Zjednodušení přístupu elektrických vozidel do nízkoemisních zón</w:t>
            </w:r>
          </w:p>
        </w:tc>
      </w:tr>
      <w:tr w:rsidR="008F4A01" w14:paraId="179EB4EC" w14:textId="77777777" w:rsidTr="007E541C">
        <w:trPr>
          <w:cantSplit/>
          <w:trHeight w:val="605"/>
          <w:jc w:val="center"/>
        </w:trPr>
        <w:tc>
          <w:tcPr>
            <w:tcW w:w="1971"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4B14D39C" w14:textId="77777777" w:rsidR="008F4A01" w:rsidRDefault="008F4A01">
            <w:pPr>
              <w:spacing w:before="60" w:after="60" w:line="256" w:lineRule="auto"/>
              <w:jc w:val="both"/>
              <w:rPr>
                <w:szCs w:val="20"/>
                <w:lang w:eastAsia="en-US"/>
              </w:rPr>
            </w:pPr>
            <w:r>
              <w:rPr>
                <w:szCs w:val="20"/>
                <w:lang w:eastAsia="en-US"/>
              </w:rPr>
              <w:t>Návaznost na strategický cíl</w:t>
            </w:r>
          </w:p>
        </w:tc>
        <w:tc>
          <w:tcPr>
            <w:tcW w:w="7452" w:type="dxa"/>
            <w:tcBorders>
              <w:top w:val="nil"/>
              <w:left w:val="nil"/>
              <w:bottom w:val="single" w:sz="8" w:space="0" w:color="auto"/>
              <w:right w:val="single" w:sz="12" w:space="0" w:color="auto"/>
            </w:tcBorders>
            <w:tcMar>
              <w:top w:w="0" w:type="dxa"/>
              <w:left w:w="70" w:type="dxa"/>
              <w:bottom w:w="0" w:type="dxa"/>
              <w:right w:w="70" w:type="dxa"/>
            </w:tcMar>
            <w:hideMark/>
          </w:tcPr>
          <w:p w14:paraId="7906DECF" w14:textId="77777777" w:rsidR="008F4A01" w:rsidRDefault="008F4A01">
            <w:pPr>
              <w:pStyle w:val="TableText"/>
              <w:spacing w:before="60" w:after="60" w:line="240" w:lineRule="auto"/>
              <w:jc w:val="both"/>
            </w:pPr>
            <w:r>
              <w:rPr>
                <w:sz w:val="22"/>
                <w:szCs w:val="22"/>
              </w:rPr>
              <w:t>Rozvoj trhu elektrických vozidel (kap. 2.4.1.)</w:t>
            </w:r>
          </w:p>
        </w:tc>
      </w:tr>
      <w:tr w:rsidR="008F4A01" w14:paraId="5B7CAA25" w14:textId="77777777" w:rsidTr="007E541C">
        <w:trPr>
          <w:cantSplit/>
          <w:trHeight w:val="1432"/>
          <w:jc w:val="center"/>
        </w:trPr>
        <w:tc>
          <w:tcPr>
            <w:tcW w:w="1971"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3E8F6FD1" w14:textId="77777777" w:rsidR="008F4A01" w:rsidRDefault="008F4A01">
            <w:pPr>
              <w:spacing w:after="0" w:line="256" w:lineRule="auto"/>
              <w:jc w:val="both"/>
              <w:rPr>
                <w:szCs w:val="20"/>
                <w:lang w:eastAsia="en-US"/>
              </w:rPr>
            </w:pPr>
            <w:r>
              <w:rPr>
                <w:szCs w:val="20"/>
                <w:lang w:eastAsia="en-US"/>
              </w:rPr>
              <w:t>Cíl opatření</w:t>
            </w:r>
          </w:p>
        </w:tc>
        <w:tc>
          <w:tcPr>
            <w:tcW w:w="7452" w:type="dxa"/>
            <w:tcBorders>
              <w:top w:val="nil"/>
              <w:left w:val="nil"/>
              <w:bottom w:val="single" w:sz="8" w:space="0" w:color="auto"/>
              <w:right w:val="single" w:sz="12" w:space="0" w:color="auto"/>
            </w:tcBorders>
            <w:tcMar>
              <w:top w:w="0" w:type="dxa"/>
              <w:left w:w="70" w:type="dxa"/>
              <w:bottom w:w="0" w:type="dxa"/>
              <w:right w:w="70" w:type="dxa"/>
            </w:tcMar>
            <w:hideMark/>
          </w:tcPr>
          <w:p w14:paraId="1FC1739A" w14:textId="48F8708D" w:rsidR="008F4A01" w:rsidRDefault="008F4A01" w:rsidP="005A1247">
            <w:pPr>
              <w:spacing w:before="60" w:after="60" w:line="256" w:lineRule="auto"/>
              <w:jc w:val="both"/>
              <w:rPr>
                <w:szCs w:val="20"/>
                <w:lang w:eastAsia="en-US"/>
              </w:rPr>
            </w:pPr>
            <w:r>
              <w:rPr>
                <w:szCs w:val="20"/>
                <w:lang w:eastAsia="en-US"/>
              </w:rPr>
              <w:t>Novelizovat zákon č. 201/2012 Sb., o</w:t>
            </w:r>
            <w:r w:rsidR="005A1247">
              <w:rPr>
                <w:szCs w:val="20"/>
                <w:lang w:eastAsia="en-US"/>
              </w:rPr>
              <w:t> </w:t>
            </w:r>
            <w:r>
              <w:rPr>
                <w:szCs w:val="20"/>
                <w:lang w:eastAsia="en-US"/>
              </w:rPr>
              <w:t>ochraně ovzduší, v</w:t>
            </w:r>
            <w:r w:rsidR="005A1247">
              <w:rPr>
                <w:szCs w:val="20"/>
                <w:lang w:eastAsia="en-US"/>
              </w:rPr>
              <w:t> </w:t>
            </w:r>
            <w:r>
              <w:rPr>
                <w:szCs w:val="20"/>
                <w:lang w:eastAsia="en-US"/>
              </w:rPr>
              <w:t>platném znění, (dále jen „zákon o</w:t>
            </w:r>
            <w:r w:rsidR="005A1247">
              <w:rPr>
                <w:szCs w:val="20"/>
                <w:lang w:eastAsia="en-US"/>
              </w:rPr>
              <w:t> </w:t>
            </w:r>
            <w:r>
              <w:rPr>
                <w:szCs w:val="20"/>
                <w:lang w:eastAsia="en-US"/>
              </w:rPr>
              <w:t>ochraně ovzduší“) tak, aby umožnil elektrickým vozidlům registrační značkou nahradit emisní plaketu pro vjezd do nízkoemisní zóny.</w:t>
            </w:r>
          </w:p>
        </w:tc>
      </w:tr>
      <w:tr w:rsidR="008F4A01" w14:paraId="26494F66" w14:textId="77777777" w:rsidTr="007E541C">
        <w:trPr>
          <w:cantSplit/>
          <w:trHeight w:val="3610"/>
          <w:jc w:val="center"/>
        </w:trPr>
        <w:tc>
          <w:tcPr>
            <w:tcW w:w="1971"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5898270E" w14:textId="77777777" w:rsidR="008F4A01" w:rsidRDefault="008F4A01">
            <w:pPr>
              <w:spacing w:after="0" w:line="256" w:lineRule="auto"/>
              <w:jc w:val="both"/>
              <w:rPr>
                <w:szCs w:val="20"/>
                <w:lang w:eastAsia="en-US"/>
              </w:rPr>
            </w:pPr>
            <w:r>
              <w:rPr>
                <w:szCs w:val="20"/>
                <w:lang w:eastAsia="en-US"/>
              </w:rPr>
              <w:t>Popis opatření</w:t>
            </w:r>
          </w:p>
        </w:tc>
        <w:tc>
          <w:tcPr>
            <w:tcW w:w="7452" w:type="dxa"/>
            <w:tcBorders>
              <w:top w:val="nil"/>
              <w:left w:val="nil"/>
              <w:bottom w:val="single" w:sz="8" w:space="0" w:color="auto"/>
              <w:right w:val="single" w:sz="12" w:space="0" w:color="auto"/>
            </w:tcBorders>
            <w:tcMar>
              <w:top w:w="0" w:type="dxa"/>
              <w:left w:w="70" w:type="dxa"/>
              <w:bottom w:w="0" w:type="dxa"/>
              <w:right w:w="70" w:type="dxa"/>
            </w:tcMar>
            <w:hideMark/>
          </w:tcPr>
          <w:p w14:paraId="601F2737" w14:textId="7259E22B" w:rsidR="008F4A01" w:rsidRDefault="008F4A01">
            <w:pPr>
              <w:spacing w:line="256" w:lineRule="auto"/>
              <w:jc w:val="both"/>
              <w:rPr>
                <w:bCs/>
                <w:szCs w:val="20"/>
                <w:lang w:eastAsia="en-US"/>
              </w:rPr>
            </w:pPr>
            <w:r>
              <w:rPr>
                <w:bCs/>
                <w:szCs w:val="20"/>
                <w:lang w:eastAsia="en-US"/>
              </w:rPr>
              <w:t>Dle zákona o</w:t>
            </w:r>
            <w:r w:rsidR="005A1247">
              <w:rPr>
                <w:bCs/>
                <w:szCs w:val="20"/>
                <w:lang w:eastAsia="en-US"/>
              </w:rPr>
              <w:t> </w:t>
            </w:r>
            <w:r>
              <w:rPr>
                <w:bCs/>
                <w:szCs w:val="20"/>
                <w:lang w:eastAsia="en-US"/>
              </w:rPr>
              <w:t>ochraně ovzduší mohou obce na svém území vyhlásit nízkoemisní zónu, do které mají povolen vjezd pouze vozidla označená příslušnou emisní plaketou. Navrženou novelou nařízení vlády č. 56/2013 Sb., o</w:t>
            </w:r>
            <w:r w:rsidR="005A1247">
              <w:rPr>
                <w:bCs/>
                <w:szCs w:val="20"/>
                <w:lang w:eastAsia="en-US"/>
              </w:rPr>
              <w:t> </w:t>
            </w:r>
            <w:r>
              <w:rPr>
                <w:bCs/>
                <w:szCs w:val="20"/>
                <w:lang w:eastAsia="en-US"/>
              </w:rPr>
              <w:t>stanovení pravidel pro zařazení silničních motorových vozidel do emisních kategorií a</w:t>
            </w:r>
            <w:r w:rsidR="005A1247">
              <w:rPr>
                <w:bCs/>
                <w:szCs w:val="20"/>
                <w:lang w:eastAsia="en-US"/>
              </w:rPr>
              <w:t> </w:t>
            </w:r>
            <w:r>
              <w:rPr>
                <w:bCs/>
                <w:szCs w:val="20"/>
                <w:lang w:eastAsia="en-US"/>
              </w:rPr>
              <w:t>o emisních plaketách</w:t>
            </w:r>
            <w:r>
              <w:rPr>
                <w:lang w:eastAsia="en-US"/>
              </w:rPr>
              <w:t xml:space="preserve"> </w:t>
            </w:r>
            <w:r>
              <w:rPr>
                <w:bCs/>
                <w:szCs w:val="20"/>
                <w:lang w:eastAsia="en-US"/>
              </w:rPr>
              <w:t>(dále jen „nařízení vlády o</w:t>
            </w:r>
            <w:r w:rsidR="005A1247">
              <w:rPr>
                <w:bCs/>
                <w:szCs w:val="20"/>
                <w:lang w:eastAsia="en-US"/>
              </w:rPr>
              <w:t> </w:t>
            </w:r>
            <w:r>
              <w:rPr>
                <w:bCs/>
                <w:szCs w:val="20"/>
                <w:lang w:eastAsia="en-US"/>
              </w:rPr>
              <w:t>emisních plaketách“) je vytvořena nová emisní kategorie E, do které budou zařazena elektrická vozidla. Vzhledem k</w:t>
            </w:r>
            <w:r w:rsidR="005A1247">
              <w:rPr>
                <w:bCs/>
                <w:szCs w:val="20"/>
                <w:lang w:eastAsia="en-US"/>
              </w:rPr>
              <w:t> </w:t>
            </w:r>
            <w:r>
              <w:rPr>
                <w:bCs/>
                <w:szCs w:val="20"/>
                <w:lang w:eastAsia="en-US"/>
              </w:rPr>
              <w:t>tomu, že dle zákona o</w:t>
            </w:r>
            <w:r w:rsidR="005A1247">
              <w:rPr>
                <w:bCs/>
                <w:szCs w:val="20"/>
                <w:lang w:eastAsia="en-US"/>
              </w:rPr>
              <w:t> </w:t>
            </w:r>
            <w:r>
              <w:rPr>
                <w:bCs/>
                <w:szCs w:val="20"/>
                <w:lang w:eastAsia="en-US"/>
              </w:rPr>
              <w:t>ochraně ovzduší musí být vozidla označena emisní plaketou, je nařízením vlády o</w:t>
            </w:r>
            <w:r w:rsidR="005A1247">
              <w:rPr>
                <w:bCs/>
                <w:szCs w:val="20"/>
                <w:lang w:eastAsia="en-US"/>
              </w:rPr>
              <w:t> </w:t>
            </w:r>
            <w:r>
              <w:rPr>
                <w:bCs/>
                <w:szCs w:val="20"/>
                <w:lang w:eastAsia="en-US"/>
              </w:rPr>
              <w:t>emisních plaketách přiřazena emisní kategorii E</w:t>
            </w:r>
            <w:r w:rsidR="005A1247">
              <w:rPr>
                <w:bCs/>
                <w:szCs w:val="20"/>
                <w:lang w:eastAsia="en-US"/>
              </w:rPr>
              <w:t> </w:t>
            </w:r>
            <w:r>
              <w:rPr>
                <w:bCs/>
                <w:szCs w:val="20"/>
                <w:lang w:eastAsia="en-US"/>
              </w:rPr>
              <w:t xml:space="preserve">plaketa bílé barvy. </w:t>
            </w:r>
          </w:p>
          <w:p w14:paraId="26304EBC" w14:textId="0A67AC31" w:rsidR="008F4A01" w:rsidRDefault="008F4A01" w:rsidP="005A1247">
            <w:pPr>
              <w:spacing w:line="256" w:lineRule="auto"/>
              <w:jc w:val="both"/>
              <w:rPr>
                <w:szCs w:val="20"/>
                <w:lang w:eastAsia="en-US"/>
              </w:rPr>
            </w:pPr>
            <w:r>
              <w:rPr>
                <w:bCs/>
                <w:szCs w:val="20"/>
                <w:lang w:eastAsia="en-US"/>
              </w:rPr>
              <w:t>Pro zjednodušení prokázání příslušnosti k</w:t>
            </w:r>
            <w:r w:rsidR="005A1247">
              <w:rPr>
                <w:bCs/>
                <w:szCs w:val="20"/>
                <w:lang w:eastAsia="en-US"/>
              </w:rPr>
              <w:t> </w:t>
            </w:r>
            <w:r>
              <w:rPr>
                <w:bCs/>
                <w:szCs w:val="20"/>
                <w:lang w:eastAsia="en-US"/>
              </w:rPr>
              <w:t>emisní kategorii E</w:t>
            </w:r>
            <w:r w:rsidR="005A1247">
              <w:rPr>
                <w:bCs/>
                <w:szCs w:val="20"/>
                <w:lang w:eastAsia="en-US"/>
              </w:rPr>
              <w:t> </w:t>
            </w:r>
            <w:r>
              <w:rPr>
                <w:bCs/>
                <w:szCs w:val="20"/>
                <w:lang w:eastAsia="en-US"/>
              </w:rPr>
              <w:t>bude provedena novela zákona o</w:t>
            </w:r>
            <w:r w:rsidR="005A1247">
              <w:rPr>
                <w:bCs/>
                <w:szCs w:val="20"/>
                <w:lang w:eastAsia="en-US"/>
              </w:rPr>
              <w:t> </w:t>
            </w:r>
            <w:r>
              <w:rPr>
                <w:bCs/>
                <w:szCs w:val="20"/>
                <w:lang w:eastAsia="en-US"/>
              </w:rPr>
              <w:t>ochraně ovzduší, která umožní nahradit emisní plaketu pro elektrická vozidla registrační značkou pro elektrická vozidla.</w:t>
            </w:r>
          </w:p>
        </w:tc>
      </w:tr>
      <w:tr w:rsidR="008F4A01" w14:paraId="79705105" w14:textId="77777777" w:rsidTr="007E541C">
        <w:trPr>
          <w:cantSplit/>
          <w:trHeight w:val="620"/>
          <w:jc w:val="center"/>
        </w:trPr>
        <w:tc>
          <w:tcPr>
            <w:tcW w:w="1971"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757AB459" w14:textId="77777777" w:rsidR="008F4A01" w:rsidRDefault="008F4A01">
            <w:pPr>
              <w:spacing w:after="0" w:line="256" w:lineRule="auto"/>
              <w:jc w:val="both"/>
              <w:rPr>
                <w:szCs w:val="20"/>
                <w:lang w:eastAsia="en-US"/>
              </w:rPr>
            </w:pPr>
            <w:r>
              <w:rPr>
                <w:szCs w:val="20"/>
                <w:lang w:eastAsia="en-US"/>
              </w:rPr>
              <w:t>Rozpočtový dopad / financování</w:t>
            </w:r>
          </w:p>
        </w:tc>
        <w:tc>
          <w:tcPr>
            <w:tcW w:w="7452" w:type="dxa"/>
            <w:tcBorders>
              <w:top w:val="nil"/>
              <w:left w:val="nil"/>
              <w:bottom w:val="single" w:sz="8" w:space="0" w:color="auto"/>
              <w:right w:val="single" w:sz="12" w:space="0" w:color="auto"/>
            </w:tcBorders>
            <w:tcMar>
              <w:top w:w="0" w:type="dxa"/>
              <w:left w:w="70" w:type="dxa"/>
              <w:bottom w:w="0" w:type="dxa"/>
              <w:right w:w="70" w:type="dxa"/>
            </w:tcMar>
            <w:hideMark/>
          </w:tcPr>
          <w:p w14:paraId="7F65A4CD" w14:textId="381121DD" w:rsidR="008F4A01" w:rsidRDefault="008F4A01" w:rsidP="005A1247">
            <w:pPr>
              <w:spacing w:before="60" w:after="60" w:line="256" w:lineRule="auto"/>
              <w:jc w:val="both"/>
              <w:rPr>
                <w:szCs w:val="20"/>
                <w:lang w:eastAsia="en-US"/>
              </w:rPr>
            </w:pPr>
            <w:r>
              <w:rPr>
                <w:szCs w:val="20"/>
                <w:lang w:eastAsia="en-US"/>
              </w:rPr>
              <w:t>Náklady spojené s</w:t>
            </w:r>
            <w:r w:rsidR="005A1247">
              <w:rPr>
                <w:szCs w:val="20"/>
                <w:lang w:eastAsia="en-US"/>
              </w:rPr>
              <w:t> </w:t>
            </w:r>
            <w:r>
              <w:rPr>
                <w:szCs w:val="20"/>
                <w:lang w:eastAsia="en-US"/>
              </w:rPr>
              <w:t>přípravou a</w:t>
            </w:r>
            <w:r w:rsidR="005A1247">
              <w:rPr>
                <w:szCs w:val="20"/>
                <w:lang w:eastAsia="en-US"/>
              </w:rPr>
              <w:t> </w:t>
            </w:r>
            <w:r>
              <w:rPr>
                <w:szCs w:val="20"/>
                <w:lang w:eastAsia="en-US"/>
              </w:rPr>
              <w:t>realizací značky v</w:t>
            </w:r>
            <w:r w:rsidR="005A1247">
              <w:rPr>
                <w:szCs w:val="20"/>
                <w:lang w:eastAsia="en-US"/>
              </w:rPr>
              <w:t> </w:t>
            </w:r>
            <w:r>
              <w:rPr>
                <w:szCs w:val="20"/>
                <w:lang w:eastAsia="en-US"/>
              </w:rPr>
              <w:t xml:space="preserve">rámci rozpočtu MD. </w:t>
            </w:r>
          </w:p>
        </w:tc>
      </w:tr>
      <w:tr w:rsidR="008F4A01" w14:paraId="6D705880" w14:textId="77777777" w:rsidTr="007E541C">
        <w:trPr>
          <w:cantSplit/>
          <w:trHeight w:val="679"/>
          <w:jc w:val="center"/>
        </w:trPr>
        <w:tc>
          <w:tcPr>
            <w:tcW w:w="1971" w:type="dxa"/>
            <w:tcBorders>
              <w:top w:val="nil"/>
              <w:left w:val="single" w:sz="12" w:space="0" w:color="auto"/>
              <w:bottom w:val="single" w:sz="8" w:space="0" w:color="auto"/>
              <w:right w:val="single" w:sz="12" w:space="0" w:color="auto"/>
            </w:tcBorders>
            <w:tcMar>
              <w:top w:w="0" w:type="dxa"/>
              <w:left w:w="70" w:type="dxa"/>
              <w:bottom w:w="0" w:type="dxa"/>
              <w:right w:w="70" w:type="dxa"/>
            </w:tcMar>
            <w:hideMark/>
          </w:tcPr>
          <w:p w14:paraId="64E11317" w14:textId="77777777" w:rsidR="008F4A01" w:rsidRDefault="008F4A01">
            <w:pPr>
              <w:spacing w:before="60" w:after="60" w:line="256" w:lineRule="auto"/>
              <w:jc w:val="both"/>
              <w:rPr>
                <w:szCs w:val="20"/>
                <w:lang w:eastAsia="en-US"/>
              </w:rPr>
            </w:pPr>
            <w:r>
              <w:rPr>
                <w:szCs w:val="20"/>
                <w:lang w:eastAsia="en-US"/>
              </w:rPr>
              <w:t>Odpovědnost</w:t>
            </w:r>
          </w:p>
        </w:tc>
        <w:tc>
          <w:tcPr>
            <w:tcW w:w="7452" w:type="dxa"/>
            <w:tcBorders>
              <w:top w:val="nil"/>
              <w:left w:val="nil"/>
              <w:bottom w:val="single" w:sz="8" w:space="0" w:color="auto"/>
              <w:right w:val="single" w:sz="12" w:space="0" w:color="auto"/>
            </w:tcBorders>
            <w:tcMar>
              <w:top w:w="0" w:type="dxa"/>
              <w:left w:w="70" w:type="dxa"/>
              <w:bottom w:w="0" w:type="dxa"/>
              <w:right w:w="70" w:type="dxa"/>
            </w:tcMar>
            <w:hideMark/>
          </w:tcPr>
          <w:p w14:paraId="29A65750" w14:textId="77777777" w:rsidR="008F4A01" w:rsidRDefault="008F4A01">
            <w:pPr>
              <w:spacing w:before="60" w:after="60" w:line="256" w:lineRule="auto"/>
              <w:jc w:val="both"/>
              <w:rPr>
                <w:szCs w:val="20"/>
                <w:lang w:eastAsia="en-US"/>
              </w:rPr>
            </w:pPr>
            <w:r>
              <w:rPr>
                <w:szCs w:val="20"/>
                <w:lang w:eastAsia="en-US"/>
              </w:rPr>
              <w:t xml:space="preserve">MŽP </w:t>
            </w:r>
          </w:p>
        </w:tc>
      </w:tr>
      <w:tr w:rsidR="008F4A01" w14:paraId="29B5983F" w14:textId="77777777" w:rsidTr="007E541C">
        <w:trPr>
          <w:cantSplit/>
          <w:trHeight w:val="694"/>
          <w:jc w:val="center"/>
        </w:trPr>
        <w:tc>
          <w:tcPr>
            <w:tcW w:w="1971" w:type="dxa"/>
            <w:tcBorders>
              <w:top w:val="nil"/>
              <w:left w:val="single" w:sz="12" w:space="0" w:color="auto"/>
              <w:bottom w:val="single" w:sz="12" w:space="0" w:color="auto"/>
              <w:right w:val="single" w:sz="12" w:space="0" w:color="auto"/>
            </w:tcBorders>
            <w:tcMar>
              <w:top w:w="0" w:type="dxa"/>
              <w:left w:w="70" w:type="dxa"/>
              <w:bottom w:w="0" w:type="dxa"/>
              <w:right w:w="70" w:type="dxa"/>
            </w:tcMar>
            <w:hideMark/>
          </w:tcPr>
          <w:p w14:paraId="0A00086F" w14:textId="77777777" w:rsidR="008F4A01" w:rsidRDefault="008F4A01">
            <w:pPr>
              <w:spacing w:before="60" w:after="60" w:line="256" w:lineRule="auto"/>
              <w:jc w:val="both"/>
              <w:rPr>
                <w:szCs w:val="20"/>
                <w:lang w:eastAsia="en-US"/>
              </w:rPr>
            </w:pPr>
            <w:r>
              <w:rPr>
                <w:szCs w:val="20"/>
                <w:lang w:eastAsia="en-US"/>
              </w:rPr>
              <w:t>Termín</w:t>
            </w:r>
          </w:p>
        </w:tc>
        <w:tc>
          <w:tcPr>
            <w:tcW w:w="7452" w:type="dxa"/>
            <w:tcBorders>
              <w:top w:val="nil"/>
              <w:left w:val="nil"/>
              <w:bottom w:val="single" w:sz="12" w:space="0" w:color="auto"/>
              <w:right w:val="single" w:sz="12" w:space="0" w:color="auto"/>
            </w:tcBorders>
            <w:tcMar>
              <w:top w:w="0" w:type="dxa"/>
              <w:left w:w="70" w:type="dxa"/>
              <w:bottom w:w="0" w:type="dxa"/>
              <w:right w:w="70" w:type="dxa"/>
            </w:tcMar>
            <w:hideMark/>
          </w:tcPr>
          <w:p w14:paraId="3E504D63" w14:textId="77777777" w:rsidR="008F4A01" w:rsidRDefault="008F4A01">
            <w:pPr>
              <w:spacing w:before="60" w:after="60" w:line="256" w:lineRule="auto"/>
              <w:jc w:val="both"/>
              <w:rPr>
                <w:szCs w:val="20"/>
                <w:lang w:eastAsia="en-US"/>
              </w:rPr>
            </w:pPr>
            <w:r>
              <w:rPr>
                <w:szCs w:val="20"/>
                <w:lang w:eastAsia="en-US"/>
              </w:rPr>
              <w:t xml:space="preserve">2022 </w:t>
            </w:r>
          </w:p>
        </w:tc>
      </w:tr>
    </w:tbl>
    <w:p w14:paraId="369E7517" w14:textId="77777777" w:rsidR="008F4A01" w:rsidRDefault="008F4A01" w:rsidP="008F4A01"/>
    <w:p w14:paraId="194F2A7D" w14:textId="77777777" w:rsidR="00944EFB" w:rsidRDefault="00944EFB" w:rsidP="008F4A01"/>
    <w:p w14:paraId="0D1DCF4F" w14:textId="77777777" w:rsidR="00944EFB" w:rsidRDefault="00944EFB" w:rsidP="008F4A01"/>
    <w:p w14:paraId="4BA6D1A1" w14:textId="77777777" w:rsidR="00944EFB" w:rsidRDefault="00944EFB" w:rsidP="008F4A01"/>
    <w:p w14:paraId="59C4F5B6" w14:textId="77777777" w:rsidR="00944EFB" w:rsidRDefault="00944EFB" w:rsidP="008F4A01"/>
    <w:p w14:paraId="74133A5B" w14:textId="77777777" w:rsidR="00944EFB" w:rsidRDefault="00944EFB" w:rsidP="008F4A01"/>
    <w:p w14:paraId="20B29CD6" w14:textId="77777777" w:rsidR="00944EFB" w:rsidRDefault="00944EFB" w:rsidP="008F4A01"/>
    <w:p w14:paraId="5450275F" w14:textId="15119912" w:rsidR="00362094" w:rsidRDefault="005A511B" w:rsidP="005A511B">
      <w:pPr>
        <w:pStyle w:val="Nadpis3"/>
      </w:pPr>
      <w:r>
        <w:lastRenderedPageBreak/>
        <w:t>E17</w:t>
      </w:r>
      <w:r w:rsidR="00362094">
        <w:t xml:space="preserve"> Posouzení možnosti zahrnutí elektromobility do Koncepce při nakládání s</w:t>
      </w:r>
      <w:r w:rsidR="005A1247">
        <w:t> </w:t>
      </w:r>
      <w:r w:rsidR="00362094">
        <w:t xml:space="preserve">nemovitostmi osobních nádraží  </w:t>
      </w:r>
    </w:p>
    <w:tbl>
      <w:tblPr>
        <w:tblpPr w:leftFromText="142" w:rightFromText="142" w:bottomFromText="160"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362094" w14:paraId="73BAD6AC" w14:textId="77777777" w:rsidTr="00362094">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22034D57" w14:textId="69DA2B40" w:rsidR="00362094" w:rsidRDefault="005A511B" w:rsidP="005A1247">
            <w:pPr>
              <w:spacing w:before="60" w:after="60"/>
              <w:jc w:val="both"/>
              <w:rPr>
                <w:rFonts w:cs="Arial"/>
                <w:b/>
                <w:color w:val="FFFFFF" w:themeColor="background1"/>
              </w:rPr>
            </w:pPr>
            <w:r>
              <w:rPr>
                <w:rFonts w:cs="Arial"/>
                <w:b/>
                <w:color w:val="FFFFFF" w:themeColor="background1"/>
              </w:rPr>
              <w:t>E17</w:t>
            </w:r>
            <w:r w:rsidR="00362094">
              <w:rPr>
                <w:color w:val="FFFFFF" w:themeColor="background1"/>
              </w:rPr>
              <w:t xml:space="preserve">  </w:t>
            </w:r>
            <w:r w:rsidR="00362094" w:rsidRPr="005A511B">
              <w:rPr>
                <w:b/>
                <w:color w:val="FFFFFF" w:themeColor="background1"/>
              </w:rPr>
              <w:t>Posouzení možnosti zahrnutí elektromobility do Koncepce při nakládání s</w:t>
            </w:r>
            <w:r w:rsidR="005A1247">
              <w:rPr>
                <w:b/>
                <w:color w:val="FFFFFF" w:themeColor="background1"/>
              </w:rPr>
              <w:t> </w:t>
            </w:r>
            <w:r w:rsidR="00362094" w:rsidRPr="005A511B">
              <w:rPr>
                <w:b/>
                <w:color w:val="FFFFFF" w:themeColor="background1"/>
              </w:rPr>
              <w:t xml:space="preserve">nemovitostmi osobních nádraží  </w:t>
            </w:r>
          </w:p>
        </w:tc>
      </w:tr>
      <w:tr w:rsidR="00362094" w14:paraId="21115A16" w14:textId="77777777" w:rsidTr="00362094">
        <w:tc>
          <w:tcPr>
            <w:tcW w:w="1984" w:type="dxa"/>
            <w:tcBorders>
              <w:top w:val="single" w:sz="12" w:space="0" w:color="auto"/>
              <w:left w:val="single" w:sz="12" w:space="0" w:color="auto"/>
              <w:bottom w:val="single" w:sz="4" w:space="0" w:color="auto"/>
              <w:right w:val="single" w:sz="12" w:space="0" w:color="auto"/>
            </w:tcBorders>
            <w:hideMark/>
          </w:tcPr>
          <w:p w14:paraId="61CA7D0B" w14:textId="77777777" w:rsidR="00362094" w:rsidRDefault="00362094">
            <w:pPr>
              <w:pStyle w:val="Normln10"/>
              <w:rPr>
                <w:rFonts w:cs="Arial"/>
                <w:sz w:val="22"/>
                <w:szCs w:val="22"/>
                <w:lang w:eastAsia="en-US"/>
              </w:rPr>
            </w:pPr>
            <w:r>
              <w:rPr>
                <w:rFonts w:cs="Arial"/>
                <w:sz w:val="22"/>
                <w:szCs w:val="22"/>
                <w:lang w:eastAsia="en-US"/>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302BF2E0" w14:textId="77777777" w:rsidR="00362094" w:rsidRDefault="00362094">
            <w:pPr>
              <w:pStyle w:val="Normln10"/>
              <w:spacing w:before="60" w:line="240" w:lineRule="auto"/>
              <w:rPr>
                <w:rFonts w:cs="Arial"/>
                <w:sz w:val="22"/>
                <w:szCs w:val="22"/>
                <w:lang w:eastAsia="en-US"/>
              </w:rPr>
            </w:pPr>
            <w:r>
              <w:rPr>
                <w:rFonts w:cs="Arial"/>
                <w:sz w:val="22"/>
                <w:szCs w:val="22"/>
                <w:lang w:eastAsia="en-US"/>
              </w:rPr>
              <w:t>Zajištění stabilního regulatorního rámce</w:t>
            </w:r>
          </w:p>
        </w:tc>
      </w:tr>
      <w:tr w:rsidR="00362094" w14:paraId="2CCC3ADB" w14:textId="77777777" w:rsidTr="00362094">
        <w:tc>
          <w:tcPr>
            <w:tcW w:w="1984" w:type="dxa"/>
            <w:tcBorders>
              <w:top w:val="single" w:sz="4" w:space="0" w:color="auto"/>
              <w:left w:val="single" w:sz="12" w:space="0" w:color="auto"/>
              <w:bottom w:val="single" w:sz="4" w:space="0" w:color="auto"/>
              <w:right w:val="single" w:sz="12" w:space="0" w:color="auto"/>
            </w:tcBorders>
            <w:hideMark/>
          </w:tcPr>
          <w:p w14:paraId="31B9C83F" w14:textId="77777777" w:rsidR="00362094" w:rsidRDefault="00362094">
            <w:pPr>
              <w:pStyle w:val="Normln10"/>
              <w:rPr>
                <w:rFonts w:cs="Arial"/>
                <w:sz w:val="22"/>
                <w:szCs w:val="22"/>
                <w:lang w:eastAsia="en-US"/>
              </w:rPr>
            </w:pPr>
            <w:r>
              <w:rPr>
                <w:rFonts w:cs="Arial"/>
                <w:sz w:val="22"/>
                <w:szCs w:val="22"/>
                <w:lang w:eastAsia="en-US"/>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3F43F2F3" w14:textId="723B35D1" w:rsidR="00362094" w:rsidRDefault="00362094" w:rsidP="005A1247">
            <w:pPr>
              <w:pStyle w:val="Normln10"/>
              <w:spacing w:before="60" w:line="240" w:lineRule="auto"/>
              <w:rPr>
                <w:rFonts w:cs="Arial"/>
                <w:sz w:val="22"/>
                <w:szCs w:val="22"/>
                <w:lang w:eastAsia="en-US"/>
              </w:rPr>
            </w:pPr>
            <w:r>
              <w:rPr>
                <w:rFonts w:cs="Arial"/>
                <w:sz w:val="22"/>
                <w:szCs w:val="22"/>
                <w:lang w:eastAsia="en-US"/>
              </w:rPr>
              <w:t>Cílem daného opatření zahájit diskuzi nad možnostmi stanovit určité požadavky na minimální rozsah infrastruktury dobíjecích stanic na nově budovacích a</w:t>
            </w:r>
            <w:r w:rsidR="005A1247">
              <w:rPr>
                <w:rFonts w:cs="Arial"/>
                <w:sz w:val="22"/>
                <w:szCs w:val="22"/>
                <w:lang w:eastAsia="en-US"/>
              </w:rPr>
              <w:t> </w:t>
            </w:r>
            <w:r>
              <w:rPr>
                <w:rFonts w:cs="Arial"/>
                <w:sz w:val="22"/>
                <w:szCs w:val="22"/>
                <w:lang w:eastAsia="en-US"/>
              </w:rPr>
              <w:t>modernizovaných parkovacích plochách v</w:t>
            </w:r>
            <w:r w:rsidR="005A1247">
              <w:rPr>
                <w:rFonts w:cs="Arial"/>
                <w:sz w:val="22"/>
                <w:szCs w:val="22"/>
                <w:lang w:eastAsia="en-US"/>
              </w:rPr>
              <w:t> </w:t>
            </w:r>
            <w:r>
              <w:rPr>
                <w:rFonts w:cs="Arial"/>
                <w:sz w:val="22"/>
                <w:szCs w:val="22"/>
                <w:lang w:eastAsia="en-US"/>
              </w:rPr>
              <w:t xml:space="preserve">přednádražích   </w:t>
            </w:r>
          </w:p>
        </w:tc>
      </w:tr>
      <w:tr w:rsidR="00362094" w14:paraId="63230C11" w14:textId="77777777" w:rsidTr="00362094">
        <w:trPr>
          <w:trHeight w:val="3249"/>
        </w:trPr>
        <w:tc>
          <w:tcPr>
            <w:tcW w:w="1984" w:type="dxa"/>
            <w:tcBorders>
              <w:top w:val="single" w:sz="4" w:space="0" w:color="auto"/>
              <w:left w:val="single" w:sz="12" w:space="0" w:color="auto"/>
              <w:bottom w:val="single" w:sz="4" w:space="0" w:color="auto"/>
              <w:right w:val="single" w:sz="12" w:space="0" w:color="auto"/>
            </w:tcBorders>
            <w:hideMark/>
          </w:tcPr>
          <w:p w14:paraId="31FAB096" w14:textId="77777777" w:rsidR="00362094" w:rsidRDefault="00362094">
            <w:pPr>
              <w:pStyle w:val="Normln10"/>
              <w:rPr>
                <w:rFonts w:cs="Arial"/>
                <w:sz w:val="22"/>
                <w:szCs w:val="22"/>
                <w:lang w:eastAsia="en-US"/>
              </w:rPr>
            </w:pPr>
            <w:r>
              <w:rPr>
                <w:rFonts w:cs="Arial"/>
                <w:sz w:val="22"/>
                <w:szCs w:val="22"/>
                <w:lang w:eastAsia="en-US"/>
              </w:rPr>
              <w:t>Popis opatření</w:t>
            </w:r>
            <w:r>
              <w:rPr>
                <w:rFonts w:cs="Arial"/>
                <w:sz w:val="22"/>
                <w:szCs w:val="22"/>
                <w:lang w:eastAsia="en-US"/>
              </w:rPr>
              <w:tab/>
            </w:r>
          </w:p>
        </w:tc>
        <w:tc>
          <w:tcPr>
            <w:tcW w:w="7087" w:type="dxa"/>
            <w:tcBorders>
              <w:top w:val="single" w:sz="4" w:space="0" w:color="auto"/>
              <w:left w:val="single" w:sz="12" w:space="0" w:color="auto"/>
              <w:bottom w:val="single" w:sz="4" w:space="0" w:color="auto"/>
              <w:right w:val="single" w:sz="12" w:space="0" w:color="auto"/>
            </w:tcBorders>
            <w:hideMark/>
          </w:tcPr>
          <w:p w14:paraId="795539D7" w14:textId="7E34BEE8" w:rsidR="00362094" w:rsidRDefault="00362094">
            <w:pPr>
              <w:pStyle w:val="Nadpis3"/>
              <w:numPr>
                <w:ilvl w:val="0"/>
                <w:numId w:val="0"/>
              </w:numPr>
              <w:tabs>
                <w:tab w:val="left" w:pos="708"/>
              </w:tabs>
              <w:spacing w:before="120" w:after="0" w:line="256" w:lineRule="auto"/>
              <w:ind w:left="567" w:hanging="567"/>
              <w:jc w:val="both"/>
              <w:rPr>
                <w:b w:val="0"/>
                <w:lang w:eastAsia="en-US"/>
              </w:rPr>
            </w:pPr>
            <w:r>
              <w:rPr>
                <w:b w:val="0"/>
                <w:lang w:eastAsia="en-US"/>
              </w:rPr>
              <w:t>Koncepce při nakládání s</w:t>
            </w:r>
            <w:r w:rsidR="005A1247">
              <w:rPr>
                <w:b w:val="0"/>
                <w:lang w:eastAsia="en-US"/>
              </w:rPr>
              <w:t> </w:t>
            </w:r>
            <w:r>
              <w:rPr>
                <w:b w:val="0"/>
                <w:lang w:eastAsia="en-US"/>
              </w:rPr>
              <w:t xml:space="preserve">nemovitostmi osobních nádraží obsahuje  </w:t>
            </w:r>
          </w:p>
          <w:p w14:paraId="5598D4A8" w14:textId="20BD8FBF" w:rsidR="00362094" w:rsidRDefault="00362094" w:rsidP="005A1247">
            <w:pPr>
              <w:jc w:val="both"/>
              <w:rPr>
                <w:rFonts w:cs="Arial"/>
                <w:iCs/>
                <w:lang w:eastAsia="en-US"/>
              </w:rPr>
            </w:pPr>
            <w:r>
              <w:rPr>
                <w:rFonts w:cs="Arial"/>
                <w:iCs/>
              </w:rPr>
              <w:t>základní strategické postupy, které se vztahují na nemovitosti osobních nádraží ve správě SŽDC, přičemž jejím účelem mj. je transparentní stanovení účelnosti vynaložení veřejných finančních prostředků poskytovaných SFDI. Součástí materiálu je kapitola věnovaná rozvoji parkovacích ploch v</w:t>
            </w:r>
            <w:r w:rsidR="005A1247">
              <w:rPr>
                <w:rFonts w:cs="Arial"/>
                <w:iCs/>
              </w:rPr>
              <w:t> </w:t>
            </w:r>
            <w:r>
              <w:rPr>
                <w:rFonts w:cs="Arial"/>
                <w:iCs/>
              </w:rPr>
              <w:t>přednádražích, která zatím obsahuje mj. požadavky na minimální počet vyhrazených stání pro vozidla přepravující těže pohybově postižené osoby nebo rozsah cyklistických parkovacích stání. Je na zvážení, zda do této části materiálu nedoplnit problematiku minimálního rozsahu infrastruktury pro dobíjení elektromobilů. Za tímto účelem by se mohlo patrně částečně vyjít z</w:t>
            </w:r>
            <w:r w:rsidR="005A1247">
              <w:rPr>
                <w:rFonts w:cs="Arial"/>
                <w:iCs/>
              </w:rPr>
              <w:t> </w:t>
            </w:r>
            <w:r>
              <w:rPr>
                <w:rFonts w:cs="Arial"/>
                <w:iCs/>
              </w:rPr>
              <w:t xml:space="preserve">požadavků směrnice </w:t>
            </w:r>
            <w:r>
              <w:rPr>
                <w:rFonts w:cs="Arial"/>
              </w:rPr>
              <w:t>Evropského parlamentu a</w:t>
            </w:r>
            <w:r w:rsidR="005A1247">
              <w:rPr>
                <w:rFonts w:cs="Arial"/>
              </w:rPr>
              <w:t> </w:t>
            </w:r>
            <w:r>
              <w:rPr>
                <w:rFonts w:cs="Arial"/>
              </w:rPr>
              <w:t>Rady (EU) 2018/844 ze dne 30. května 2018, kterou se mění směrnice 2010/31/EU o</w:t>
            </w:r>
            <w:r w:rsidR="005A1247">
              <w:rPr>
                <w:rFonts w:cs="Arial"/>
              </w:rPr>
              <w:t> </w:t>
            </w:r>
            <w:r>
              <w:rPr>
                <w:rFonts w:cs="Arial"/>
              </w:rPr>
              <w:t>energetické náročnosti budov a</w:t>
            </w:r>
            <w:r w:rsidR="005A1247">
              <w:rPr>
                <w:rFonts w:cs="Arial"/>
              </w:rPr>
              <w:t> </w:t>
            </w:r>
            <w:r>
              <w:rPr>
                <w:rFonts w:cs="Arial"/>
              </w:rPr>
              <w:t>směrnice 2012/27/EU o</w:t>
            </w:r>
            <w:r w:rsidR="005A1247">
              <w:rPr>
                <w:rFonts w:cs="Arial"/>
              </w:rPr>
              <w:t> </w:t>
            </w:r>
            <w:r>
              <w:rPr>
                <w:rFonts w:cs="Arial"/>
              </w:rPr>
              <w:t>energetické účinnosti a</w:t>
            </w:r>
            <w:r w:rsidR="005A1247">
              <w:rPr>
                <w:rFonts w:cs="Arial"/>
              </w:rPr>
              <w:t> </w:t>
            </w:r>
            <w:r>
              <w:rPr>
                <w:rFonts w:cs="Arial"/>
              </w:rPr>
              <w:t>obsahuje mj. nové povinnosti směřující k</w:t>
            </w:r>
            <w:r w:rsidR="005A1247">
              <w:rPr>
                <w:rFonts w:cs="Arial"/>
              </w:rPr>
              <w:t> </w:t>
            </w:r>
            <w:r>
              <w:rPr>
                <w:rFonts w:cs="Arial"/>
              </w:rPr>
              <w:t>rozvoji infrastruktury pro elektromobily v</w:t>
            </w:r>
            <w:r w:rsidR="005A1247">
              <w:rPr>
                <w:rFonts w:cs="Arial"/>
              </w:rPr>
              <w:t> </w:t>
            </w:r>
            <w:r>
              <w:rPr>
                <w:rFonts w:cs="Arial"/>
              </w:rPr>
              <w:t xml:space="preserve">budovách. </w:t>
            </w:r>
            <w:r>
              <w:rPr>
                <w:rFonts w:cs="Arial"/>
                <w:iCs/>
              </w:rPr>
              <w:t xml:space="preserve"> </w:t>
            </w:r>
          </w:p>
        </w:tc>
      </w:tr>
      <w:tr w:rsidR="00362094" w14:paraId="44ECAD33" w14:textId="77777777" w:rsidTr="00362094">
        <w:tc>
          <w:tcPr>
            <w:tcW w:w="1984" w:type="dxa"/>
            <w:tcBorders>
              <w:top w:val="single" w:sz="4" w:space="0" w:color="auto"/>
              <w:left w:val="single" w:sz="12" w:space="0" w:color="auto"/>
              <w:bottom w:val="single" w:sz="4" w:space="0" w:color="auto"/>
              <w:right w:val="single" w:sz="12" w:space="0" w:color="auto"/>
            </w:tcBorders>
            <w:hideMark/>
          </w:tcPr>
          <w:p w14:paraId="5292DC9D" w14:textId="77777777" w:rsidR="00362094" w:rsidRDefault="00362094">
            <w:pPr>
              <w:pStyle w:val="Normln10"/>
              <w:rPr>
                <w:rFonts w:cs="Arial"/>
                <w:sz w:val="22"/>
                <w:szCs w:val="22"/>
                <w:lang w:eastAsia="en-US"/>
              </w:rPr>
            </w:pPr>
            <w:r>
              <w:rPr>
                <w:rFonts w:cs="Arial"/>
                <w:sz w:val="22"/>
                <w:szCs w:val="22"/>
                <w:lang w:eastAsia="en-US"/>
              </w:rPr>
              <w:t>Rozpočtový dopad / financování</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67265736" w14:textId="78820A61" w:rsidR="00362094" w:rsidRDefault="00362094" w:rsidP="005A1247">
            <w:pPr>
              <w:pStyle w:val="Normln10"/>
              <w:spacing w:before="0" w:line="240" w:lineRule="auto"/>
              <w:jc w:val="left"/>
              <w:rPr>
                <w:rFonts w:cs="Arial"/>
                <w:sz w:val="22"/>
                <w:szCs w:val="22"/>
                <w:lang w:eastAsia="en-US"/>
              </w:rPr>
            </w:pPr>
            <w:r>
              <w:rPr>
                <w:rFonts w:cs="Arial"/>
                <w:sz w:val="22"/>
                <w:szCs w:val="22"/>
                <w:lang w:eastAsia="en-US"/>
              </w:rPr>
              <w:t>V této fázi nelze kvantifikovat. Na příslušných rozvoj dobíjecích stanic by mělo být možné čerpat prostředky z</w:t>
            </w:r>
            <w:r w:rsidR="005A1247">
              <w:rPr>
                <w:rFonts w:cs="Arial"/>
                <w:sz w:val="22"/>
                <w:szCs w:val="22"/>
                <w:lang w:eastAsia="en-US"/>
              </w:rPr>
              <w:t> </w:t>
            </w:r>
            <w:r>
              <w:rPr>
                <w:rFonts w:cs="Arial"/>
                <w:sz w:val="22"/>
                <w:szCs w:val="22"/>
                <w:lang w:eastAsia="en-US"/>
              </w:rPr>
              <w:t xml:space="preserve">OPD.   </w:t>
            </w:r>
          </w:p>
        </w:tc>
      </w:tr>
      <w:tr w:rsidR="00362094" w14:paraId="5E3B4A7E" w14:textId="77777777" w:rsidTr="00362094">
        <w:tc>
          <w:tcPr>
            <w:tcW w:w="1984" w:type="dxa"/>
            <w:tcBorders>
              <w:top w:val="single" w:sz="4" w:space="0" w:color="auto"/>
              <w:left w:val="single" w:sz="12" w:space="0" w:color="auto"/>
              <w:bottom w:val="single" w:sz="4" w:space="0" w:color="auto"/>
              <w:right w:val="single" w:sz="12" w:space="0" w:color="auto"/>
            </w:tcBorders>
            <w:hideMark/>
          </w:tcPr>
          <w:p w14:paraId="46BD5DA9" w14:textId="77777777" w:rsidR="00362094" w:rsidRDefault="00362094">
            <w:pPr>
              <w:pStyle w:val="Normln10"/>
              <w:rPr>
                <w:rFonts w:cs="Arial"/>
                <w:sz w:val="22"/>
                <w:szCs w:val="22"/>
                <w:lang w:eastAsia="en-US"/>
              </w:rPr>
            </w:pPr>
            <w:r>
              <w:rPr>
                <w:rFonts w:cs="Arial"/>
                <w:sz w:val="22"/>
                <w:szCs w:val="22"/>
                <w:lang w:eastAsia="en-US"/>
              </w:rPr>
              <w:t>Odpovědnost</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69BEF7F4" w14:textId="77777777" w:rsidR="00362094" w:rsidRDefault="00362094">
            <w:pPr>
              <w:pStyle w:val="Normln10"/>
              <w:spacing w:line="240" w:lineRule="auto"/>
              <w:jc w:val="left"/>
              <w:rPr>
                <w:rFonts w:cs="Arial"/>
                <w:sz w:val="22"/>
                <w:szCs w:val="22"/>
                <w:lang w:eastAsia="en-US"/>
              </w:rPr>
            </w:pPr>
            <w:r>
              <w:rPr>
                <w:rFonts w:cs="Arial"/>
                <w:sz w:val="22"/>
                <w:szCs w:val="22"/>
                <w:lang w:eastAsia="en-US"/>
              </w:rPr>
              <w:t>MD</w:t>
            </w:r>
          </w:p>
        </w:tc>
      </w:tr>
      <w:tr w:rsidR="00362094" w14:paraId="6840D32B" w14:textId="77777777" w:rsidTr="00362094">
        <w:tc>
          <w:tcPr>
            <w:tcW w:w="1984" w:type="dxa"/>
            <w:tcBorders>
              <w:top w:val="single" w:sz="4" w:space="0" w:color="auto"/>
              <w:left w:val="single" w:sz="12" w:space="0" w:color="auto"/>
              <w:bottom w:val="single" w:sz="4" w:space="0" w:color="auto"/>
              <w:right w:val="single" w:sz="12" w:space="0" w:color="auto"/>
            </w:tcBorders>
            <w:hideMark/>
          </w:tcPr>
          <w:p w14:paraId="23A5B178" w14:textId="77777777" w:rsidR="00362094" w:rsidRDefault="00362094">
            <w:pPr>
              <w:pStyle w:val="Normln10"/>
              <w:rPr>
                <w:rFonts w:cs="Arial"/>
                <w:sz w:val="22"/>
                <w:szCs w:val="22"/>
                <w:lang w:eastAsia="en-US"/>
              </w:rPr>
            </w:pPr>
            <w:r>
              <w:rPr>
                <w:rFonts w:cs="Arial"/>
                <w:sz w:val="22"/>
                <w:szCs w:val="22"/>
                <w:lang w:eastAsia="en-US"/>
              </w:rPr>
              <w:t>Spolupráce</w:t>
            </w:r>
          </w:p>
        </w:tc>
        <w:tc>
          <w:tcPr>
            <w:tcW w:w="7087" w:type="dxa"/>
            <w:tcBorders>
              <w:top w:val="single" w:sz="4" w:space="0" w:color="auto"/>
              <w:left w:val="single" w:sz="12" w:space="0" w:color="auto"/>
              <w:bottom w:val="single" w:sz="4" w:space="0" w:color="auto"/>
              <w:right w:val="single" w:sz="12" w:space="0" w:color="auto"/>
            </w:tcBorders>
            <w:vAlign w:val="center"/>
            <w:hideMark/>
          </w:tcPr>
          <w:p w14:paraId="26961F70" w14:textId="77777777" w:rsidR="00362094" w:rsidRDefault="00362094">
            <w:pPr>
              <w:pStyle w:val="Normln10"/>
              <w:spacing w:line="240" w:lineRule="auto"/>
              <w:jc w:val="left"/>
              <w:rPr>
                <w:rFonts w:cs="Arial"/>
                <w:sz w:val="22"/>
                <w:szCs w:val="22"/>
                <w:lang w:eastAsia="en-US"/>
              </w:rPr>
            </w:pPr>
            <w:r>
              <w:rPr>
                <w:rFonts w:cs="Arial"/>
                <w:sz w:val="22"/>
                <w:szCs w:val="22"/>
                <w:lang w:eastAsia="en-US"/>
              </w:rPr>
              <w:t xml:space="preserve">SŽDC, distribuční společnosti </w:t>
            </w:r>
          </w:p>
        </w:tc>
      </w:tr>
      <w:tr w:rsidR="00362094" w14:paraId="6CFF6D8F" w14:textId="77777777" w:rsidTr="00362094">
        <w:tc>
          <w:tcPr>
            <w:tcW w:w="1984" w:type="dxa"/>
            <w:tcBorders>
              <w:top w:val="single" w:sz="4" w:space="0" w:color="auto"/>
              <w:left w:val="single" w:sz="12" w:space="0" w:color="auto"/>
              <w:bottom w:val="single" w:sz="12" w:space="0" w:color="auto"/>
              <w:right w:val="single" w:sz="12" w:space="0" w:color="auto"/>
            </w:tcBorders>
            <w:hideMark/>
          </w:tcPr>
          <w:p w14:paraId="19F1FD67" w14:textId="77777777" w:rsidR="00362094" w:rsidRDefault="00362094">
            <w:pPr>
              <w:pStyle w:val="Normln10"/>
              <w:rPr>
                <w:rFonts w:cs="Arial"/>
                <w:sz w:val="22"/>
                <w:szCs w:val="22"/>
                <w:lang w:eastAsia="en-US"/>
              </w:rPr>
            </w:pPr>
            <w:r>
              <w:rPr>
                <w:rFonts w:cs="Arial"/>
                <w:sz w:val="22"/>
                <w:szCs w:val="22"/>
                <w:lang w:eastAsia="en-US"/>
              </w:rPr>
              <w:t>Termín</w:t>
            </w:r>
          </w:p>
        </w:tc>
        <w:tc>
          <w:tcPr>
            <w:tcW w:w="7087" w:type="dxa"/>
            <w:tcBorders>
              <w:top w:val="single" w:sz="4" w:space="0" w:color="auto"/>
              <w:left w:val="single" w:sz="12" w:space="0" w:color="auto"/>
              <w:bottom w:val="single" w:sz="12" w:space="0" w:color="auto"/>
              <w:right w:val="single" w:sz="12" w:space="0" w:color="auto"/>
            </w:tcBorders>
            <w:vAlign w:val="center"/>
            <w:hideMark/>
          </w:tcPr>
          <w:p w14:paraId="739317A8" w14:textId="77777777" w:rsidR="00362094" w:rsidRDefault="00362094">
            <w:pPr>
              <w:pStyle w:val="Normln10"/>
              <w:spacing w:line="240" w:lineRule="auto"/>
              <w:jc w:val="left"/>
              <w:rPr>
                <w:rFonts w:cs="Arial"/>
                <w:sz w:val="22"/>
                <w:szCs w:val="22"/>
                <w:lang w:eastAsia="en-US"/>
              </w:rPr>
            </w:pPr>
            <w:r>
              <w:rPr>
                <w:rFonts w:cs="Arial"/>
                <w:sz w:val="22"/>
                <w:szCs w:val="22"/>
                <w:lang w:eastAsia="en-US"/>
              </w:rPr>
              <w:t>12/2020</w:t>
            </w:r>
          </w:p>
        </w:tc>
      </w:tr>
    </w:tbl>
    <w:p w14:paraId="47D52ED8" w14:textId="77777777" w:rsidR="00362094" w:rsidRDefault="00362094" w:rsidP="008F4A01"/>
    <w:p w14:paraId="7F37873E" w14:textId="77777777" w:rsidR="00944EFB" w:rsidRDefault="00944EFB" w:rsidP="008F4A01"/>
    <w:p w14:paraId="104C5CFF" w14:textId="77777777" w:rsidR="00944EFB" w:rsidRDefault="00944EFB" w:rsidP="008F4A01"/>
    <w:p w14:paraId="566CA4BC" w14:textId="77777777" w:rsidR="001530C0" w:rsidRDefault="001530C0" w:rsidP="009A3B7E">
      <w:pPr>
        <w:spacing w:before="0" w:after="0"/>
        <w:jc w:val="both"/>
      </w:pPr>
    </w:p>
    <w:p w14:paraId="12CF028E" w14:textId="1DF67690" w:rsidR="001530C0" w:rsidRDefault="001530C0" w:rsidP="009A3B7E">
      <w:pPr>
        <w:pStyle w:val="Nadpis2"/>
        <w:jc w:val="both"/>
      </w:pPr>
      <w:bookmarkStart w:id="115" w:name="_Toc21589181"/>
      <w:bookmarkStart w:id="116" w:name="_Toc34387158"/>
      <w:r w:rsidRPr="00862F06">
        <w:lastRenderedPageBreak/>
        <w:t>Výzkum, technologický rozvoj a</w:t>
      </w:r>
      <w:r w:rsidR="005A1247">
        <w:t> </w:t>
      </w:r>
      <w:r w:rsidRPr="00862F06">
        <w:t>demonstrace</w:t>
      </w:r>
      <w:bookmarkEnd w:id="115"/>
      <w:bookmarkEnd w:id="116"/>
    </w:p>
    <w:p w14:paraId="2AA1BD28" w14:textId="1339A304" w:rsidR="001530C0" w:rsidRDefault="001530C0" w:rsidP="007B6D91">
      <w:pPr>
        <w:pStyle w:val="Nadpis3"/>
        <w:tabs>
          <w:tab w:val="num" w:pos="709"/>
        </w:tabs>
        <w:ind w:left="1134" w:hanging="1134"/>
        <w:jc w:val="both"/>
      </w:pPr>
      <w:bookmarkStart w:id="117" w:name="_Toc21589182"/>
      <w:r>
        <w:t>S2</w:t>
      </w:r>
      <w:r w:rsidR="005A511B">
        <w:t>2</w:t>
      </w:r>
      <w:r>
        <w:t xml:space="preserve"> </w:t>
      </w:r>
      <w:r w:rsidRPr="00862F06">
        <w:t>Začlenění čisté mobility do rámcových vzdělávacích programů na středních školách, akreditovaných vzdělávacích programů na vyšších odborných školách a</w:t>
      </w:r>
      <w:r w:rsidR="005A1247">
        <w:t> </w:t>
      </w:r>
      <w:r w:rsidRPr="00862F06">
        <w:t>akreditovaných studijních programů na vysokých školách</w:t>
      </w:r>
      <w:bookmarkEnd w:id="117"/>
    </w:p>
    <w:tbl>
      <w:tblPr>
        <w:tblpPr w:leftFromText="142" w:rightFromText="142" w:vertAnchor="text" w:horzAnchor="margin" w:tblpY="28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499"/>
      </w:tblGrid>
      <w:tr w:rsidR="001530C0" w:rsidRPr="003A7A2B" w14:paraId="1E1D32A1" w14:textId="77777777" w:rsidTr="00D005FA">
        <w:tc>
          <w:tcPr>
            <w:tcW w:w="9483" w:type="dxa"/>
            <w:gridSpan w:val="2"/>
            <w:tcBorders>
              <w:top w:val="single" w:sz="12" w:space="0" w:color="auto"/>
              <w:left w:val="single" w:sz="12" w:space="0" w:color="auto"/>
              <w:bottom w:val="single" w:sz="12" w:space="0" w:color="auto"/>
              <w:right w:val="single" w:sz="12" w:space="0" w:color="auto"/>
            </w:tcBorders>
            <w:shd w:val="clear" w:color="auto" w:fill="548DD4"/>
          </w:tcPr>
          <w:p w14:paraId="19E26A85" w14:textId="29BD0074" w:rsidR="001530C0" w:rsidRPr="003A7A2B" w:rsidRDefault="001530C0" w:rsidP="005A1247">
            <w:pPr>
              <w:spacing w:before="60" w:after="60"/>
              <w:jc w:val="both"/>
              <w:rPr>
                <w:rFonts w:cs="Arial"/>
                <w:b/>
                <w:color w:val="FFFFFF" w:themeColor="background1"/>
              </w:rPr>
            </w:pPr>
            <w:bookmarkStart w:id="118" w:name="_Toc406158924"/>
            <w:bookmarkStart w:id="119" w:name="_Toc406356029"/>
            <w:bookmarkStart w:id="120" w:name="_Toc411343120"/>
            <w:r>
              <w:rPr>
                <w:rFonts w:cs="Arial"/>
                <w:b/>
                <w:color w:val="FFFFFF" w:themeColor="background1"/>
              </w:rPr>
              <w:t>S</w:t>
            </w:r>
            <w:r w:rsidRPr="003A7A2B">
              <w:rPr>
                <w:rFonts w:cs="Arial"/>
                <w:b/>
                <w:color w:val="FFFFFF" w:themeColor="background1"/>
              </w:rPr>
              <w:t>2</w:t>
            </w:r>
            <w:r w:rsidR="005A511B">
              <w:rPr>
                <w:rFonts w:cs="Arial"/>
                <w:b/>
                <w:color w:val="FFFFFF" w:themeColor="background1"/>
              </w:rPr>
              <w:t>2</w:t>
            </w:r>
            <w:r w:rsidRPr="003A7A2B">
              <w:rPr>
                <w:rFonts w:cs="Arial"/>
                <w:b/>
                <w:color w:val="FFFFFF" w:themeColor="background1"/>
              </w:rPr>
              <w:t xml:space="preserve"> Začlenění čisté mobility do rámcových vzdělávacích programů na středních školách, akreditovaných vzdělávacích programů na vyšších odborných školách a</w:t>
            </w:r>
            <w:r w:rsidR="005A1247">
              <w:rPr>
                <w:rFonts w:cs="Arial"/>
                <w:b/>
                <w:color w:val="FFFFFF" w:themeColor="background1"/>
              </w:rPr>
              <w:t> </w:t>
            </w:r>
            <w:r w:rsidRPr="003A7A2B">
              <w:rPr>
                <w:rFonts w:cs="Arial"/>
                <w:b/>
                <w:color w:val="FFFFFF" w:themeColor="background1"/>
              </w:rPr>
              <w:t>akreditovaných studijních programů na vysokých školách</w:t>
            </w:r>
          </w:p>
        </w:tc>
      </w:tr>
      <w:tr w:rsidR="00B618F0" w:rsidRPr="003A7A2B" w14:paraId="76CBC7A3" w14:textId="77777777" w:rsidTr="00D005FA">
        <w:tc>
          <w:tcPr>
            <w:tcW w:w="1984" w:type="dxa"/>
            <w:tcBorders>
              <w:top w:val="single" w:sz="12" w:space="0" w:color="auto"/>
              <w:left w:val="single" w:sz="12" w:space="0" w:color="auto"/>
              <w:right w:val="single" w:sz="12" w:space="0" w:color="auto"/>
            </w:tcBorders>
          </w:tcPr>
          <w:p w14:paraId="612C1ACF"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Návaznost na strategický cíl</w:t>
            </w:r>
          </w:p>
        </w:tc>
        <w:tc>
          <w:tcPr>
            <w:tcW w:w="7499" w:type="dxa"/>
            <w:tcBorders>
              <w:top w:val="single" w:sz="12" w:space="0" w:color="auto"/>
              <w:left w:val="single" w:sz="12" w:space="0" w:color="auto"/>
              <w:right w:val="single" w:sz="12" w:space="0" w:color="auto"/>
            </w:tcBorders>
          </w:tcPr>
          <w:p w14:paraId="740D6C9C" w14:textId="27DAF4FB" w:rsidR="001530C0" w:rsidRPr="00D005FA" w:rsidRDefault="001530C0" w:rsidP="00B502A0">
            <w:pPr>
              <w:pStyle w:val="Normln10"/>
              <w:spacing w:before="0" w:line="240" w:lineRule="auto"/>
              <w:rPr>
                <w:sz w:val="21"/>
                <w:szCs w:val="21"/>
              </w:rPr>
            </w:pPr>
            <w:r w:rsidRPr="00D005FA">
              <w:rPr>
                <w:sz w:val="21"/>
                <w:szCs w:val="21"/>
              </w:rPr>
              <w:t>Vytváření rámce pro výzkum a</w:t>
            </w:r>
            <w:r w:rsidR="005A1247">
              <w:rPr>
                <w:sz w:val="21"/>
                <w:szCs w:val="21"/>
              </w:rPr>
              <w:t> </w:t>
            </w:r>
            <w:r w:rsidRPr="00D005FA">
              <w:rPr>
                <w:sz w:val="21"/>
                <w:szCs w:val="21"/>
              </w:rPr>
              <w:t>vývoj v</w:t>
            </w:r>
            <w:r w:rsidR="005A1247">
              <w:rPr>
                <w:sz w:val="21"/>
                <w:szCs w:val="21"/>
              </w:rPr>
              <w:t> </w:t>
            </w:r>
            <w:r w:rsidRPr="00D005FA">
              <w:rPr>
                <w:sz w:val="21"/>
                <w:szCs w:val="21"/>
              </w:rPr>
              <w:t>oblasti elektromobility</w:t>
            </w:r>
            <w:r w:rsidR="00A74829" w:rsidRPr="00D005FA">
              <w:rPr>
                <w:sz w:val="21"/>
                <w:szCs w:val="21"/>
              </w:rPr>
              <w:t xml:space="preserve"> (kap. 2.4.4.)</w:t>
            </w:r>
            <w:r w:rsidRPr="00D005FA">
              <w:rPr>
                <w:sz w:val="21"/>
                <w:szCs w:val="21"/>
              </w:rPr>
              <w:t xml:space="preserve"> </w:t>
            </w:r>
          </w:p>
          <w:p w14:paraId="420C8EB7" w14:textId="3AF1CAEC" w:rsidR="001530C0" w:rsidRPr="00D005FA" w:rsidRDefault="001530C0" w:rsidP="005A1247">
            <w:pPr>
              <w:pStyle w:val="Normln10"/>
              <w:spacing w:before="0" w:line="240" w:lineRule="auto"/>
              <w:rPr>
                <w:rFonts w:cs="Arial"/>
                <w:sz w:val="21"/>
                <w:szCs w:val="21"/>
              </w:rPr>
            </w:pPr>
            <w:r w:rsidRPr="00D005FA">
              <w:rPr>
                <w:sz w:val="21"/>
                <w:szCs w:val="21"/>
              </w:rPr>
              <w:t>Vytváření rámce pro výzkum a</w:t>
            </w:r>
            <w:r w:rsidR="005A1247">
              <w:rPr>
                <w:sz w:val="21"/>
                <w:szCs w:val="21"/>
              </w:rPr>
              <w:t> </w:t>
            </w:r>
            <w:r w:rsidRPr="00D005FA">
              <w:rPr>
                <w:sz w:val="21"/>
                <w:szCs w:val="21"/>
              </w:rPr>
              <w:t>vývoj v</w:t>
            </w:r>
            <w:r w:rsidR="005A1247">
              <w:rPr>
                <w:sz w:val="21"/>
                <w:szCs w:val="21"/>
              </w:rPr>
              <w:t> </w:t>
            </w:r>
            <w:r w:rsidRPr="00D005FA">
              <w:rPr>
                <w:sz w:val="21"/>
                <w:szCs w:val="21"/>
              </w:rPr>
              <w:t>oblasti vodíkové elektromobility</w:t>
            </w:r>
            <w:r w:rsidR="00A74829" w:rsidRPr="00D005FA">
              <w:rPr>
                <w:sz w:val="21"/>
                <w:szCs w:val="21"/>
              </w:rPr>
              <w:t xml:space="preserve"> (kap. 4.3.5.)</w:t>
            </w:r>
          </w:p>
        </w:tc>
      </w:tr>
      <w:tr w:rsidR="00B618F0" w:rsidRPr="003A7A2B" w14:paraId="4D9DE0FB" w14:textId="77777777" w:rsidTr="00D005FA">
        <w:tc>
          <w:tcPr>
            <w:tcW w:w="1984" w:type="dxa"/>
            <w:tcBorders>
              <w:top w:val="single" w:sz="4" w:space="0" w:color="auto"/>
              <w:left w:val="single" w:sz="12" w:space="0" w:color="auto"/>
              <w:right w:val="single" w:sz="12" w:space="0" w:color="auto"/>
            </w:tcBorders>
          </w:tcPr>
          <w:p w14:paraId="02B6AB29"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Cíl opatření</w:t>
            </w:r>
          </w:p>
        </w:tc>
        <w:tc>
          <w:tcPr>
            <w:tcW w:w="7499" w:type="dxa"/>
            <w:tcBorders>
              <w:top w:val="single" w:sz="4" w:space="0" w:color="auto"/>
              <w:left w:val="single" w:sz="12" w:space="0" w:color="auto"/>
              <w:right w:val="single" w:sz="12" w:space="0" w:color="auto"/>
            </w:tcBorders>
          </w:tcPr>
          <w:p w14:paraId="34D0E996" w14:textId="203B3713" w:rsidR="001530C0" w:rsidRPr="00D005FA" w:rsidRDefault="001530C0" w:rsidP="005A1247">
            <w:pPr>
              <w:pStyle w:val="Normln10"/>
              <w:spacing w:before="0" w:line="240" w:lineRule="auto"/>
              <w:rPr>
                <w:rFonts w:cs="Arial"/>
                <w:sz w:val="21"/>
                <w:szCs w:val="21"/>
              </w:rPr>
            </w:pPr>
            <w:r w:rsidRPr="00D005FA">
              <w:rPr>
                <w:rFonts w:cs="Arial"/>
                <w:sz w:val="21"/>
                <w:szCs w:val="21"/>
              </w:rPr>
              <w:t>Podpořit cílené vzdělávání v</w:t>
            </w:r>
            <w:r w:rsidR="005A1247">
              <w:rPr>
                <w:rFonts w:cs="Arial"/>
                <w:sz w:val="21"/>
                <w:szCs w:val="21"/>
              </w:rPr>
              <w:t> </w:t>
            </w:r>
            <w:r w:rsidRPr="00D005FA">
              <w:rPr>
                <w:rFonts w:cs="Arial"/>
                <w:sz w:val="21"/>
                <w:szCs w:val="21"/>
              </w:rPr>
              <w:t>oblasti čisté mobility</w:t>
            </w:r>
            <w:r w:rsidR="00392695" w:rsidRPr="00D005FA">
              <w:rPr>
                <w:rFonts w:cs="Arial"/>
                <w:sz w:val="21"/>
                <w:szCs w:val="21"/>
              </w:rPr>
              <w:t xml:space="preserve"> (elektro, vodík)</w:t>
            </w:r>
            <w:r w:rsidRPr="00D005FA">
              <w:rPr>
                <w:rFonts w:cs="Arial"/>
                <w:sz w:val="21"/>
                <w:szCs w:val="21"/>
              </w:rPr>
              <w:t>, podpora zajištění dostatku odborníků pro příslušná průmyslová odvětví</w:t>
            </w:r>
          </w:p>
        </w:tc>
      </w:tr>
      <w:tr w:rsidR="00B618F0" w:rsidRPr="003A7A2B" w14:paraId="50ABACCB" w14:textId="77777777" w:rsidTr="00D005FA">
        <w:tc>
          <w:tcPr>
            <w:tcW w:w="1984" w:type="dxa"/>
            <w:tcBorders>
              <w:left w:val="single" w:sz="12" w:space="0" w:color="auto"/>
              <w:right w:val="single" w:sz="12" w:space="0" w:color="auto"/>
            </w:tcBorders>
          </w:tcPr>
          <w:p w14:paraId="3CCCE496"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Popis opatření</w:t>
            </w:r>
          </w:p>
        </w:tc>
        <w:tc>
          <w:tcPr>
            <w:tcW w:w="7499" w:type="dxa"/>
            <w:tcBorders>
              <w:left w:val="single" w:sz="12" w:space="0" w:color="auto"/>
              <w:right w:val="single" w:sz="12" w:space="0" w:color="auto"/>
            </w:tcBorders>
          </w:tcPr>
          <w:p w14:paraId="1B6A1B72" w14:textId="0BD53CC2" w:rsidR="001530C0" w:rsidRPr="00D005FA" w:rsidRDefault="001530C0" w:rsidP="005A1247">
            <w:pPr>
              <w:pStyle w:val="Normln10"/>
              <w:spacing w:before="0" w:line="240" w:lineRule="auto"/>
              <w:rPr>
                <w:rFonts w:cs="Arial"/>
                <w:sz w:val="21"/>
                <w:szCs w:val="21"/>
              </w:rPr>
            </w:pPr>
            <w:r w:rsidRPr="00D005FA">
              <w:rPr>
                <w:rFonts w:cs="Arial"/>
                <w:sz w:val="21"/>
                <w:szCs w:val="21"/>
              </w:rPr>
              <w:t xml:space="preserve">Koordinovaně začlenit oblast čisté mobility </w:t>
            </w:r>
            <w:r w:rsidR="00392695" w:rsidRPr="00D005FA">
              <w:rPr>
                <w:rFonts w:cs="Arial"/>
                <w:sz w:val="21"/>
                <w:szCs w:val="21"/>
              </w:rPr>
              <w:t xml:space="preserve">(elektro, vodík) </w:t>
            </w:r>
            <w:r w:rsidRPr="00D005FA">
              <w:rPr>
                <w:rFonts w:cs="Arial"/>
                <w:sz w:val="21"/>
                <w:szCs w:val="21"/>
              </w:rPr>
              <w:t>do všech úrovní vzdělávacího systému s</w:t>
            </w:r>
            <w:r w:rsidR="005A1247">
              <w:rPr>
                <w:rFonts w:cs="Arial"/>
                <w:sz w:val="21"/>
                <w:szCs w:val="21"/>
              </w:rPr>
              <w:t> </w:t>
            </w:r>
            <w:r w:rsidRPr="00D005FA">
              <w:rPr>
                <w:rFonts w:cs="Arial"/>
                <w:sz w:val="21"/>
                <w:szCs w:val="21"/>
              </w:rPr>
              <w:t>cílem zajištění dostatku odborníků pro související obory jako součást podpory domácího průmyslu a</w:t>
            </w:r>
            <w:r w:rsidR="005A1247">
              <w:rPr>
                <w:rFonts w:cs="Arial"/>
                <w:sz w:val="21"/>
                <w:szCs w:val="21"/>
              </w:rPr>
              <w:t> </w:t>
            </w:r>
            <w:r w:rsidRPr="00D005FA">
              <w:rPr>
                <w:rFonts w:cs="Arial"/>
                <w:sz w:val="21"/>
                <w:szCs w:val="21"/>
              </w:rPr>
              <w:t>jeho konkurenceschopnosti.</w:t>
            </w:r>
          </w:p>
        </w:tc>
      </w:tr>
      <w:tr w:rsidR="00B618F0" w:rsidRPr="003A7A2B" w14:paraId="0E52C3CB" w14:textId="77777777" w:rsidTr="00D005FA">
        <w:tc>
          <w:tcPr>
            <w:tcW w:w="1984" w:type="dxa"/>
            <w:tcBorders>
              <w:left w:val="single" w:sz="12" w:space="0" w:color="auto"/>
              <w:right w:val="single" w:sz="12" w:space="0" w:color="auto"/>
            </w:tcBorders>
          </w:tcPr>
          <w:p w14:paraId="6510D36B" w14:textId="26A4E2B7" w:rsidR="001530C0" w:rsidRPr="003A7A2B" w:rsidRDefault="001530C0" w:rsidP="005A1247">
            <w:pPr>
              <w:pStyle w:val="Normln10"/>
              <w:spacing w:before="60" w:line="240" w:lineRule="auto"/>
              <w:rPr>
                <w:rFonts w:cs="Arial"/>
                <w:sz w:val="22"/>
                <w:szCs w:val="22"/>
              </w:rPr>
            </w:pPr>
            <w:r w:rsidRPr="003A7A2B">
              <w:rPr>
                <w:rFonts w:cs="Arial"/>
                <w:sz w:val="22"/>
                <w:szCs w:val="22"/>
              </w:rPr>
              <w:t>Využití opatření jinde v</w:t>
            </w:r>
            <w:r w:rsidR="005A1247">
              <w:rPr>
                <w:rFonts w:cs="Arial"/>
                <w:sz w:val="22"/>
                <w:szCs w:val="22"/>
              </w:rPr>
              <w:t> </w:t>
            </w:r>
            <w:r w:rsidRPr="003A7A2B">
              <w:rPr>
                <w:rFonts w:cs="Arial"/>
                <w:sz w:val="22"/>
                <w:szCs w:val="22"/>
              </w:rPr>
              <w:t>Evropě / ve světě</w:t>
            </w:r>
          </w:p>
        </w:tc>
        <w:tc>
          <w:tcPr>
            <w:tcW w:w="7499" w:type="dxa"/>
            <w:tcBorders>
              <w:left w:val="single" w:sz="12" w:space="0" w:color="auto"/>
              <w:right w:val="single" w:sz="12" w:space="0" w:color="auto"/>
            </w:tcBorders>
          </w:tcPr>
          <w:p w14:paraId="518B8A62" w14:textId="7015014C" w:rsidR="001530C0" w:rsidRPr="00D005FA" w:rsidRDefault="001530C0" w:rsidP="00B502A0">
            <w:pPr>
              <w:pStyle w:val="Normln10"/>
              <w:spacing w:before="0" w:line="240" w:lineRule="auto"/>
              <w:rPr>
                <w:rFonts w:cs="Arial"/>
                <w:sz w:val="21"/>
                <w:szCs w:val="21"/>
              </w:rPr>
            </w:pPr>
            <w:r w:rsidRPr="00D005FA">
              <w:rPr>
                <w:rFonts w:cs="Arial"/>
                <w:sz w:val="21"/>
                <w:szCs w:val="21"/>
              </w:rPr>
              <w:t>Existují - např. projekt Green Wheels v</w:t>
            </w:r>
            <w:r w:rsidR="005A1247">
              <w:rPr>
                <w:rFonts w:cs="Arial"/>
                <w:sz w:val="21"/>
                <w:szCs w:val="21"/>
              </w:rPr>
              <w:t> </w:t>
            </w:r>
            <w:r w:rsidRPr="00D005FA">
              <w:rPr>
                <w:rFonts w:cs="Arial"/>
                <w:sz w:val="21"/>
                <w:szCs w:val="21"/>
              </w:rPr>
              <w:t>rámci Erasmus+, který je zaměřen na oblast elektromobility a</w:t>
            </w:r>
            <w:r w:rsidR="005A1247">
              <w:rPr>
                <w:rFonts w:cs="Arial"/>
                <w:sz w:val="21"/>
                <w:szCs w:val="21"/>
              </w:rPr>
              <w:t> </w:t>
            </w:r>
            <w:r w:rsidRPr="00D005FA">
              <w:rPr>
                <w:rFonts w:cs="Arial"/>
                <w:sz w:val="21"/>
                <w:szCs w:val="21"/>
              </w:rPr>
              <w:t>vytváření vzdělávacích modulů. Na tvorbě modulů se podílejí střední školy a</w:t>
            </w:r>
            <w:r w:rsidR="005A1247">
              <w:rPr>
                <w:rFonts w:cs="Arial"/>
                <w:sz w:val="21"/>
                <w:szCs w:val="21"/>
              </w:rPr>
              <w:t> </w:t>
            </w:r>
            <w:r w:rsidRPr="00D005FA">
              <w:rPr>
                <w:rFonts w:cs="Arial"/>
                <w:sz w:val="21"/>
                <w:szCs w:val="21"/>
              </w:rPr>
              <w:t>vzdělávací instituce z</w:t>
            </w:r>
            <w:r w:rsidR="005A1247">
              <w:rPr>
                <w:rFonts w:cs="Arial"/>
                <w:sz w:val="21"/>
                <w:szCs w:val="21"/>
              </w:rPr>
              <w:t> </w:t>
            </w:r>
            <w:r w:rsidRPr="00D005FA">
              <w:rPr>
                <w:rFonts w:cs="Arial"/>
                <w:sz w:val="21"/>
                <w:szCs w:val="21"/>
              </w:rPr>
              <w:t>Anglie, ČR, Maďarska a</w:t>
            </w:r>
            <w:r w:rsidR="005A1247">
              <w:rPr>
                <w:rFonts w:cs="Arial"/>
                <w:sz w:val="21"/>
                <w:szCs w:val="21"/>
              </w:rPr>
              <w:t> </w:t>
            </w:r>
            <w:r w:rsidRPr="00D005FA">
              <w:rPr>
                <w:rFonts w:cs="Arial"/>
                <w:sz w:val="21"/>
                <w:szCs w:val="21"/>
              </w:rPr>
              <w:t>Slovenska. Získané výstupy budou moci býti využity při revizích Rámcových vzdělávacích programů (RVP) a</w:t>
            </w:r>
            <w:r w:rsidR="005A1247">
              <w:rPr>
                <w:rFonts w:cs="Arial"/>
                <w:sz w:val="21"/>
                <w:szCs w:val="21"/>
              </w:rPr>
              <w:t> </w:t>
            </w:r>
            <w:r w:rsidRPr="00D005FA">
              <w:rPr>
                <w:rFonts w:cs="Arial"/>
                <w:sz w:val="21"/>
                <w:szCs w:val="21"/>
              </w:rPr>
              <w:t>následné úpravě Školních vzdělávacích programů (ŠVP).</w:t>
            </w:r>
          </w:p>
          <w:p w14:paraId="7148BB9F" w14:textId="77777777" w:rsidR="001530C0" w:rsidRPr="00D005FA" w:rsidRDefault="001530C0" w:rsidP="00B502A0">
            <w:pPr>
              <w:pStyle w:val="Normln10"/>
              <w:spacing w:before="0" w:line="240" w:lineRule="auto"/>
              <w:rPr>
                <w:rFonts w:cs="Arial"/>
                <w:sz w:val="21"/>
                <w:szCs w:val="21"/>
              </w:rPr>
            </w:pPr>
            <w:r w:rsidRPr="00D005FA">
              <w:rPr>
                <w:rFonts w:cs="Arial"/>
                <w:sz w:val="21"/>
                <w:szCs w:val="21"/>
              </w:rPr>
              <w:t>Pro další konkrétní příklady by bylo potřeba udělat detailní analýzu.</w:t>
            </w:r>
          </w:p>
        </w:tc>
      </w:tr>
      <w:tr w:rsidR="00B618F0" w:rsidRPr="003A7A2B" w14:paraId="495489F4" w14:textId="77777777" w:rsidTr="00D005FA">
        <w:tc>
          <w:tcPr>
            <w:tcW w:w="1984" w:type="dxa"/>
            <w:tcBorders>
              <w:left w:val="single" w:sz="12" w:space="0" w:color="auto"/>
              <w:right w:val="single" w:sz="12" w:space="0" w:color="auto"/>
            </w:tcBorders>
          </w:tcPr>
          <w:p w14:paraId="182DEE22" w14:textId="50C9F658" w:rsidR="001530C0" w:rsidRPr="003A7A2B" w:rsidRDefault="001530C0" w:rsidP="005A1247">
            <w:pPr>
              <w:pStyle w:val="Normln10"/>
              <w:spacing w:before="60" w:line="240" w:lineRule="auto"/>
              <w:rPr>
                <w:rFonts w:cs="Arial"/>
                <w:sz w:val="22"/>
                <w:szCs w:val="22"/>
              </w:rPr>
            </w:pPr>
            <w:r w:rsidRPr="003A7A2B">
              <w:rPr>
                <w:rFonts w:cs="Arial"/>
                <w:sz w:val="22"/>
                <w:szCs w:val="22"/>
              </w:rPr>
              <w:t>Analogické opatření v</w:t>
            </w:r>
            <w:r w:rsidR="005A1247">
              <w:rPr>
                <w:rFonts w:cs="Arial"/>
                <w:sz w:val="22"/>
                <w:szCs w:val="22"/>
              </w:rPr>
              <w:t> </w:t>
            </w:r>
            <w:r w:rsidRPr="003A7A2B">
              <w:rPr>
                <w:rFonts w:cs="Arial"/>
                <w:sz w:val="22"/>
                <w:szCs w:val="22"/>
              </w:rPr>
              <w:t>ČR</w:t>
            </w:r>
          </w:p>
        </w:tc>
        <w:tc>
          <w:tcPr>
            <w:tcW w:w="7499" w:type="dxa"/>
            <w:tcBorders>
              <w:left w:val="single" w:sz="12" w:space="0" w:color="auto"/>
              <w:right w:val="single" w:sz="12" w:space="0" w:color="auto"/>
            </w:tcBorders>
          </w:tcPr>
          <w:p w14:paraId="35154859" w14:textId="64A5BC2E" w:rsidR="001530C0" w:rsidRPr="00D005FA" w:rsidRDefault="001530C0" w:rsidP="00B502A0">
            <w:pPr>
              <w:pStyle w:val="Normln10"/>
              <w:spacing w:before="0" w:line="240" w:lineRule="auto"/>
              <w:rPr>
                <w:rFonts w:cs="Arial"/>
                <w:sz w:val="21"/>
                <w:szCs w:val="21"/>
              </w:rPr>
            </w:pPr>
            <w:r w:rsidRPr="00D005FA">
              <w:rPr>
                <w:rFonts w:cs="Arial"/>
                <w:sz w:val="21"/>
                <w:szCs w:val="21"/>
              </w:rPr>
              <w:t>Na úrovni středních škol jde zejména o</w:t>
            </w:r>
            <w:r w:rsidR="005A1247">
              <w:rPr>
                <w:rFonts w:cs="Arial"/>
                <w:sz w:val="21"/>
                <w:szCs w:val="21"/>
              </w:rPr>
              <w:t> </w:t>
            </w:r>
            <w:r w:rsidRPr="00D005FA">
              <w:rPr>
                <w:rFonts w:cs="Arial"/>
                <w:sz w:val="21"/>
                <w:szCs w:val="21"/>
              </w:rPr>
              <w:t xml:space="preserve">aktualizaci Rámcových vzdělávacích programů. </w:t>
            </w:r>
          </w:p>
          <w:p w14:paraId="0C854871" w14:textId="54859427" w:rsidR="001530C0" w:rsidRPr="00D005FA" w:rsidRDefault="001530C0" w:rsidP="00B502A0">
            <w:pPr>
              <w:pStyle w:val="Normln10"/>
              <w:spacing w:before="0" w:line="240" w:lineRule="auto"/>
              <w:rPr>
                <w:rFonts w:cs="Arial"/>
                <w:sz w:val="21"/>
                <w:szCs w:val="21"/>
              </w:rPr>
            </w:pPr>
            <w:r w:rsidRPr="00D005FA">
              <w:rPr>
                <w:rFonts w:cs="Arial"/>
                <w:sz w:val="21"/>
                <w:szCs w:val="21"/>
              </w:rPr>
              <w:t>Revize RVP jsou připravovány v</w:t>
            </w:r>
            <w:r w:rsidR="005A1247">
              <w:rPr>
                <w:rFonts w:cs="Arial"/>
                <w:sz w:val="21"/>
                <w:szCs w:val="21"/>
              </w:rPr>
              <w:t> </w:t>
            </w:r>
            <w:r w:rsidRPr="00D005FA">
              <w:rPr>
                <w:rFonts w:cs="Arial"/>
                <w:sz w:val="21"/>
                <w:szCs w:val="21"/>
              </w:rPr>
              <w:t xml:space="preserve">oborových skupinách </w:t>
            </w:r>
            <w:r w:rsidR="00C77825">
              <w:rPr>
                <w:rFonts w:cs="Arial"/>
                <w:sz w:val="21"/>
                <w:szCs w:val="21"/>
              </w:rPr>
              <w:t xml:space="preserve">NPI ČR </w:t>
            </w:r>
            <w:r w:rsidRPr="00D005FA">
              <w:rPr>
                <w:rFonts w:cs="Arial"/>
                <w:sz w:val="21"/>
                <w:szCs w:val="21"/>
              </w:rPr>
              <w:t>za účasti zástupců škol a</w:t>
            </w:r>
            <w:r w:rsidR="005A1247">
              <w:rPr>
                <w:rFonts w:cs="Arial"/>
                <w:sz w:val="21"/>
                <w:szCs w:val="21"/>
              </w:rPr>
              <w:t> </w:t>
            </w:r>
            <w:r w:rsidRPr="00D005FA">
              <w:rPr>
                <w:rFonts w:cs="Arial"/>
                <w:sz w:val="21"/>
                <w:szCs w:val="21"/>
              </w:rPr>
              <w:t>zaměstnavatelů. Ve spolupráci se zaměstnavateli proběhla v</w:t>
            </w:r>
            <w:r w:rsidR="005A1247">
              <w:rPr>
                <w:rFonts w:cs="Arial"/>
                <w:sz w:val="21"/>
                <w:szCs w:val="21"/>
              </w:rPr>
              <w:t> </w:t>
            </w:r>
            <w:r w:rsidRPr="00D005FA">
              <w:rPr>
                <w:rFonts w:cs="Arial"/>
                <w:sz w:val="21"/>
                <w:szCs w:val="21"/>
              </w:rPr>
              <w:t>průběhu roku 2018 korektura a</w:t>
            </w:r>
            <w:r w:rsidR="005A1247">
              <w:rPr>
                <w:rFonts w:cs="Arial"/>
                <w:sz w:val="21"/>
                <w:szCs w:val="21"/>
              </w:rPr>
              <w:t> </w:t>
            </w:r>
            <w:r w:rsidRPr="00D005FA">
              <w:rPr>
                <w:rFonts w:cs="Arial"/>
                <w:sz w:val="21"/>
                <w:szCs w:val="21"/>
              </w:rPr>
              <w:t>doplnění revidované odborné složky ve vytipovaných oborech vzdělání, kterých se čistá mobilita dotýká: Autoelektrikář, Mechanik opravář motorových vozidel, Elektromechanik pro zařízení a</w:t>
            </w:r>
            <w:r w:rsidR="005A1247">
              <w:rPr>
                <w:rFonts w:cs="Arial"/>
                <w:sz w:val="21"/>
                <w:szCs w:val="21"/>
              </w:rPr>
              <w:t> </w:t>
            </w:r>
            <w:r w:rsidRPr="00D005FA">
              <w:rPr>
                <w:rFonts w:cs="Arial"/>
                <w:sz w:val="21"/>
                <w:szCs w:val="21"/>
              </w:rPr>
              <w:t>přístroje, Autotronik, Dopravní prostředky, Mechanik elektrotechnik a</w:t>
            </w:r>
            <w:r w:rsidR="005A1247">
              <w:rPr>
                <w:rFonts w:cs="Arial"/>
                <w:sz w:val="21"/>
                <w:szCs w:val="21"/>
              </w:rPr>
              <w:t> </w:t>
            </w:r>
            <w:r w:rsidRPr="00D005FA">
              <w:rPr>
                <w:rFonts w:cs="Arial"/>
                <w:sz w:val="21"/>
                <w:szCs w:val="21"/>
              </w:rPr>
              <w:t>Elektrotechnika. Po schválení RVP (očekáváno</w:t>
            </w:r>
            <w:r w:rsidR="00944EFB">
              <w:rPr>
                <w:rFonts w:cs="Arial"/>
                <w:sz w:val="21"/>
                <w:szCs w:val="21"/>
              </w:rPr>
              <w:t xml:space="preserve"> </w:t>
            </w:r>
            <w:r w:rsidR="007E6F8C">
              <w:rPr>
                <w:rFonts w:cs="Arial"/>
                <w:sz w:val="21"/>
                <w:szCs w:val="21"/>
              </w:rPr>
              <w:t>do konce pololetí 2020</w:t>
            </w:r>
            <w:r w:rsidRPr="00D005FA">
              <w:rPr>
                <w:rFonts w:cs="Arial"/>
                <w:sz w:val="21"/>
                <w:szCs w:val="21"/>
              </w:rPr>
              <w:t xml:space="preserve">) začne platit pro školy dvouletá lhůta, během které by měly upravit své školní vzdělávací programy. </w:t>
            </w:r>
          </w:p>
          <w:p w14:paraId="7038BCD0" w14:textId="77777777" w:rsidR="001530C0" w:rsidRPr="00D005FA" w:rsidRDefault="001530C0" w:rsidP="00B502A0">
            <w:pPr>
              <w:pStyle w:val="Normln10"/>
              <w:spacing w:before="0" w:line="240" w:lineRule="auto"/>
              <w:rPr>
                <w:rFonts w:cs="Arial"/>
                <w:sz w:val="21"/>
                <w:szCs w:val="21"/>
              </w:rPr>
            </w:pPr>
            <w:r w:rsidRPr="00D005FA">
              <w:rPr>
                <w:rFonts w:cs="Arial"/>
                <w:sz w:val="21"/>
                <w:szCs w:val="21"/>
              </w:rPr>
              <w:t>MŠMT rovněž připravuje komplexní revize všech RVP. Probíhá přípravná analytická fáze. Komplexní revize by měly navazovat na připravovanou vzdělávací Strategii 2030+. Začátek prací je plánován na rok 2020.</w:t>
            </w:r>
          </w:p>
          <w:p w14:paraId="4BB06662" w14:textId="57039E81" w:rsidR="001530C0" w:rsidRPr="00D005FA" w:rsidRDefault="001530C0" w:rsidP="005A1247">
            <w:pPr>
              <w:pStyle w:val="Normln10"/>
              <w:spacing w:before="0" w:line="240" w:lineRule="auto"/>
              <w:rPr>
                <w:rFonts w:cs="Arial"/>
                <w:sz w:val="21"/>
                <w:szCs w:val="21"/>
              </w:rPr>
            </w:pPr>
            <w:r w:rsidRPr="00D005FA">
              <w:rPr>
                <w:rFonts w:cs="Arial"/>
                <w:sz w:val="21"/>
                <w:szCs w:val="21"/>
              </w:rPr>
              <w:t>Na úrovni vysokých škol akreditace nových studijních programů dle trendů v</w:t>
            </w:r>
            <w:r w:rsidR="005A1247">
              <w:rPr>
                <w:rFonts w:cs="Arial"/>
                <w:sz w:val="21"/>
                <w:szCs w:val="21"/>
              </w:rPr>
              <w:t> </w:t>
            </w:r>
            <w:r w:rsidRPr="00D005FA">
              <w:rPr>
                <w:rFonts w:cs="Arial"/>
                <w:sz w:val="21"/>
                <w:szCs w:val="21"/>
              </w:rPr>
              <w:t>čisté mobilitě: např. na ČVUT magisterský program</w:t>
            </w:r>
            <w:r w:rsidRPr="00D005FA">
              <w:rPr>
                <w:sz w:val="21"/>
                <w:szCs w:val="21"/>
              </w:rPr>
              <w:t xml:space="preserve"> </w:t>
            </w:r>
            <w:r w:rsidRPr="00D005FA">
              <w:rPr>
                <w:rFonts w:cs="Arial"/>
                <w:sz w:val="21"/>
                <w:szCs w:val="21"/>
              </w:rPr>
              <w:t>Pohony palivovými články, Dopravní fakulta Univerzity Pardubice - nový studijní obor, jehož součástí je provoz a</w:t>
            </w:r>
            <w:r w:rsidR="005A1247">
              <w:rPr>
                <w:rFonts w:cs="Arial"/>
                <w:sz w:val="21"/>
                <w:szCs w:val="21"/>
              </w:rPr>
              <w:t> </w:t>
            </w:r>
            <w:r w:rsidRPr="00D005FA">
              <w:rPr>
                <w:rFonts w:cs="Arial"/>
                <w:sz w:val="21"/>
                <w:szCs w:val="21"/>
              </w:rPr>
              <w:t>konstrukce elektromobilů, …</w:t>
            </w:r>
          </w:p>
        </w:tc>
      </w:tr>
      <w:tr w:rsidR="00B618F0" w:rsidRPr="003A7A2B" w14:paraId="279F1450" w14:textId="77777777" w:rsidTr="00D005FA">
        <w:tc>
          <w:tcPr>
            <w:tcW w:w="1984" w:type="dxa"/>
            <w:tcBorders>
              <w:left w:val="single" w:sz="12" w:space="0" w:color="auto"/>
              <w:right w:val="single" w:sz="12" w:space="0" w:color="auto"/>
            </w:tcBorders>
          </w:tcPr>
          <w:p w14:paraId="4B3D3300"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Rozpočtový dopad / financování</w:t>
            </w:r>
          </w:p>
        </w:tc>
        <w:tc>
          <w:tcPr>
            <w:tcW w:w="7499" w:type="dxa"/>
            <w:tcBorders>
              <w:left w:val="single" w:sz="12" w:space="0" w:color="auto"/>
              <w:right w:val="single" w:sz="12" w:space="0" w:color="auto"/>
            </w:tcBorders>
            <w:vAlign w:val="center"/>
          </w:tcPr>
          <w:p w14:paraId="05DA6D48" w14:textId="57560F16" w:rsidR="001530C0" w:rsidRPr="00D005FA" w:rsidRDefault="001530C0" w:rsidP="00C77825">
            <w:pPr>
              <w:pStyle w:val="Normln10"/>
              <w:spacing w:before="0" w:line="240" w:lineRule="auto"/>
              <w:jc w:val="left"/>
              <w:rPr>
                <w:rFonts w:cs="Arial"/>
                <w:sz w:val="21"/>
                <w:szCs w:val="21"/>
              </w:rPr>
            </w:pPr>
            <w:r w:rsidRPr="00D005FA">
              <w:rPr>
                <w:rFonts w:cs="Arial"/>
                <w:sz w:val="21"/>
                <w:szCs w:val="21"/>
              </w:rPr>
              <w:t>V rámci existujících rozpočtů MŠMT.</w:t>
            </w:r>
          </w:p>
        </w:tc>
      </w:tr>
      <w:tr w:rsidR="00B618F0" w:rsidRPr="003A7A2B" w14:paraId="0316E285" w14:textId="77777777" w:rsidTr="00D005FA">
        <w:tc>
          <w:tcPr>
            <w:tcW w:w="1984" w:type="dxa"/>
            <w:tcBorders>
              <w:left w:val="single" w:sz="12" w:space="0" w:color="auto"/>
              <w:right w:val="single" w:sz="12" w:space="0" w:color="auto"/>
            </w:tcBorders>
          </w:tcPr>
          <w:p w14:paraId="1CDAFA89"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Odpovědnost</w:t>
            </w:r>
          </w:p>
        </w:tc>
        <w:tc>
          <w:tcPr>
            <w:tcW w:w="7499" w:type="dxa"/>
            <w:tcBorders>
              <w:left w:val="single" w:sz="12" w:space="0" w:color="auto"/>
              <w:right w:val="single" w:sz="12" w:space="0" w:color="auto"/>
            </w:tcBorders>
          </w:tcPr>
          <w:p w14:paraId="17CA1976" w14:textId="101667DB" w:rsidR="001530C0" w:rsidRPr="00D005FA" w:rsidRDefault="001530C0" w:rsidP="00B502A0">
            <w:pPr>
              <w:pStyle w:val="Normln10"/>
              <w:spacing w:before="0" w:line="240" w:lineRule="auto"/>
              <w:rPr>
                <w:rFonts w:cs="Arial"/>
                <w:sz w:val="21"/>
                <w:szCs w:val="21"/>
              </w:rPr>
            </w:pPr>
            <w:r w:rsidRPr="00D005FA">
              <w:rPr>
                <w:rFonts w:cs="Arial"/>
                <w:sz w:val="21"/>
                <w:szCs w:val="21"/>
              </w:rPr>
              <w:t>koordinace MŠMT</w:t>
            </w:r>
          </w:p>
          <w:p w14:paraId="3F3F867B" w14:textId="1EA1F29D" w:rsidR="001530C0" w:rsidRPr="00D005FA" w:rsidRDefault="001530C0" w:rsidP="005A1247">
            <w:pPr>
              <w:pStyle w:val="Normln10"/>
              <w:spacing w:before="0" w:line="240" w:lineRule="auto"/>
              <w:rPr>
                <w:rFonts w:cs="Arial"/>
                <w:sz w:val="21"/>
                <w:szCs w:val="21"/>
              </w:rPr>
            </w:pPr>
            <w:r w:rsidRPr="00D005FA">
              <w:rPr>
                <w:rFonts w:cs="Arial"/>
                <w:sz w:val="21"/>
                <w:szCs w:val="21"/>
              </w:rPr>
              <w:t xml:space="preserve">Akreditace studijních programů VŠ – </w:t>
            </w:r>
            <w:r w:rsidR="00C77825">
              <w:rPr>
                <w:rFonts w:cs="Arial"/>
                <w:sz w:val="21"/>
                <w:szCs w:val="21"/>
              </w:rPr>
              <w:t>Národní akreditační úřad pro vysoké školství ve spolupráci s</w:t>
            </w:r>
            <w:r w:rsidR="005A1247">
              <w:rPr>
                <w:rFonts w:cs="Arial"/>
                <w:sz w:val="21"/>
                <w:szCs w:val="21"/>
              </w:rPr>
              <w:t> </w:t>
            </w:r>
            <w:r w:rsidR="00C77825">
              <w:rPr>
                <w:rFonts w:cs="Arial"/>
                <w:sz w:val="21"/>
                <w:szCs w:val="21"/>
              </w:rPr>
              <w:t>vysokými školami</w:t>
            </w:r>
          </w:p>
        </w:tc>
      </w:tr>
      <w:tr w:rsidR="00B618F0" w:rsidRPr="003A7A2B" w14:paraId="5E132D15" w14:textId="77777777" w:rsidTr="00D005FA">
        <w:tc>
          <w:tcPr>
            <w:tcW w:w="1984" w:type="dxa"/>
            <w:tcBorders>
              <w:top w:val="single" w:sz="4" w:space="0" w:color="auto"/>
              <w:left w:val="single" w:sz="12" w:space="0" w:color="auto"/>
              <w:bottom w:val="single" w:sz="4" w:space="0" w:color="auto"/>
              <w:right w:val="single" w:sz="12" w:space="0" w:color="auto"/>
            </w:tcBorders>
          </w:tcPr>
          <w:p w14:paraId="1FFCC6E2"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Spolupráce</w:t>
            </w:r>
          </w:p>
        </w:tc>
        <w:tc>
          <w:tcPr>
            <w:tcW w:w="7499" w:type="dxa"/>
            <w:tcBorders>
              <w:top w:val="single" w:sz="4" w:space="0" w:color="auto"/>
              <w:left w:val="single" w:sz="12" w:space="0" w:color="auto"/>
              <w:bottom w:val="single" w:sz="4" w:space="0" w:color="auto"/>
              <w:right w:val="single" w:sz="12" w:space="0" w:color="auto"/>
            </w:tcBorders>
          </w:tcPr>
          <w:p w14:paraId="3F669948" w14:textId="77777777" w:rsidR="001530C0" w:rsidRPr="00D005FA" w:rsidRDefault="001530C0" w:rsidP="00B502A0">
            <w:pPr>
              <w:pStyle w:val="Normln10"/>
              <w:spacing w:before="0" w:line="240" w:lineRule="auto"/>
              <w:rPr>
                <w:rFonts w:cs="Arial"/>
                <w:sz w:val="21"/>
                <w:szCs w:val="21"/>
              </w:rPr>
            </w:pPr>
            <w:r w:rsidRPr="00D005FA">
              <w:rPr>
                <w:rFonts w:cs="Arial"/>
                <w:sz w:val="21"/>
                <w:szCs w:val="21"/>
              </w:rPr>
              <w:t>AutoSAP</w:t>
            </w:r>
          </w:p>
        </w:tc>
      </w:tr>
      <w:tr w:rsidR="00B618F0" w:rsidRPr="003A7A2B" w14:paraId="136EAC37" w14:textId="77777777" w:rsidTr="00D005FA">
        <w:tc>
          <w:tcPr>
            <w:tcW w:w="1984" w:type="dxa"/>
            <w:tcBorders>
              <w:top w:val="single" w:sz="4" w:space="0" w:color="auto"/>
              <w:left w:val="single" w:sz="12" w:space="0" w:color="auto"/>
              <w:bottom w:val="single" w:sz="12" w:space="0" w:color="auto"/>
              <w:right w:val="single" w:sz="12" w:space="0" w:color="auto"/>
            </w:tcBorders>
          </w:tcPr>
          <w:p w14:paraId="20B554E0" w14:textId="77777777" w:rsidR="001530C0" w:rsidRPr="003A7A2B" w:rsidRDefault="001530C0" w:rsidP="00B502A0">
            <w:pPr>
              <w:pStyle w:val="Normln10"/>
              <w:spacing w:before="60" w:line="240" w:lineRule="auto"/>
              <w:rPr>
                <w:rFonts w:cs="Arial"/>
                <w:sz w:val="22"/>
                <w:szCs w:val="22"/>
              </w:rPr>
            </w:pPr>
            <w:r w:rsidRPr="003A7A2B">
              <w:rPr>
                <w:rFonts w:cs="Arial"/>
                <w:sz w:val="22"/>
                <w:szCs w:val="22"/>
              </w:rPr>
              <w:t>Termín</w:t>
            </w:r>
          </w:p>
        </w:tc>
        <w:tc>
          <w:tcPr>
            <w:tcW w:w="7499" w:type="dxa"/>
            <w:tcBorders>
              <w:top w:val="single" w:sz="4" w:space="0" w:color="auto"/>
              <w:left w:val="single" w:sz="12" w:space="0" w:color="auto"/>
              <w:bottom w:val="single" w:sz="12" w:space="0" w:color="auto"/>
              <w:right w:val="single" w:sz="12" w:space="0" w:color="auto"/>
            </w:tcBorders>
          </w:tcPr>
          <w:p w14:paraId="6785CB79" w14:textId="77777777" w:rsidR="001530C0" w:rsidRPr="00D005FA" w:rsidRDefault="001530C0" w:rsidP="00B502A0">
            <w:pPr>
              <w:pStyle w:val="Normln10"/>
              <w:spacing w:before="0" w:line="240" w:lineRule="auto"/>
              <w:rPr>
                <w:rFonts w:cs="Arial"/>
                <w:sz w:val="21"/>
                <w:szCs w:val="21"/>
              </w:rPr>
            </w:pPr>
            <w:r w:rsidRPr="00D005FA">
              <w:rPr>
                <w:rFonts w:cs="Arial"/>
                <w:sz w:val="21"/>
                <w:szCs w:val="21"/>
              </w:rPr>
              <w:t>Revize RVP – 2019/2020</w:t>
            </w:r>
          </w:p>
          <w:p w14:paraId="12DBC058" w14:textId="77777777" w:rsidR="001530C0" w:rsidRPr="00D005FA" w:rsidRDefault="001530C0" w:rsidP="00B502A0">
            <w:pPr>
              <w:pStyle w:val="Normln10"/>
              <w:spacing w:before="0" w:line="240" w:lineRule="auto"/>
              <w:rPr>
                <w:rFonts w:cs="Arial"/>
                <w:sz w:val="21"/>
                <w:szCs w:val="21"/>
              </w:rPr>
            </w:pPr>
            <w:r w:rsidRPr="00D005FA">
              <w:rPr>
                <w:rFonts w:cs="Arial"/>
                <w:sz w:val="21"/>
                <w:szCs w:val="21"/>
              </w:rPr>
              <w:t>Komplexní revize RVP – 2020 až 2022</w:t>
            </w:r>
          </w:p>
        </w:tc>
      </w:tr>
      <w:bookmarkEnd w:id="118"/>
      <w:bookmarkEnd w:id="119"/>
      <w:bookmarkEnd w:id="120"/>
    </w:tbl>
    <w:p w14:paraId="17D16EF5" w14:textId="77777777" w:rsidR="001530C0" w:rsidRDefault="001530C0" w:rsidP="00B502A0">
      <w:pPr>
        <w:spacing w:before="0" w:after="0"/>
        <w:jc w:val="both"/>
      </w:pPr>
    </w:p>
    <w:p w14:paraId="589A7097" w14:textId="4C674F10" w:rsidR="001530C0" w:rsidRDefault="001530C0" w:rsidP="00B502A0">
      <w:pPr>
        <w:pStyle w:val="Nadpis3"/>
      </w:pPr>
      <w:bookmarkStart w:id="121" w:name="_Toc21589184"/>
      <w:r>
        <w:lastRenderedPageBreak/>
        <w:t>S2</w:t>
      </w:r>
      <w:r w:rsidR="00413546">
        <w:t>3</w:t>
      </w:r>
      <w:r>
        <w:t xml:space="preserve"> </w:t>
      </w:r>
      <w:r w:rsidRPr="00206400">
        <w:t>Cílené vzdělávací akce pro odbornou i</w:t>
      </w:r>
      <w:r w:rsidR="005A1247">
        <w:t> </w:t>
      </w:r>
      <w:r w:rsidRPr="00206400">
        <w:t>širší veřejnost v</w:t>
      </w:r>
      <w:r w:rsidR="005A1247">
        <w:t> </w:t>
      </w:r>
      <w:r w:rsidRPr="00206400">
        <w:t>oblasti alternativních paliv</w:t>
      </w:r>
      <w:bookmarkEnd w:id="121"/>
    </w:p>
    <w:tbl>
      <w:tblPr>
        <w:tblW w:w="9341" w:type="dxa"/>
        <w:jc w:val="center"/>
        <w:tblCellMar>
          <w:left w:w="0" w:type="dxa"/>
          <w:right w:w="0" w:type="dxa"/>
        </w:tblCellMar>
        <w:tblLook w:val="00A0" w:firstRow="1" w:lastRow="0" w:firstColumn="1" w:lastColumn="0" w:noHBand="0" w:noVBand="0"/>
      </w:tblPr>
      <w:tblGrid>
        <w:gridCol w:w="1981"/>
        <w:gridCol w:w="7360"/>
      </w:tblGrid>
      <w:tr w:rsidR="001530C0" w:rsidRPr="00D5678F" w14:paraId="602D0AF0" w14:textId="77777777" w:rsidTr="00D005FA">
        <w:trPr>
          <w:cantSplit/>
          <w:jc w:val="center"/>
        </w:trPr>
        <w:tc>
          <w:tcPr>
            <w:tcW w:w="9341"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37DE248D" w14:textId="65A58928" w:rsidR="001530C0" w:rsidRPr="00FA705F" w:rsidRDefault="001530C0" w:rsidP="005A1247">
            <w:pPr>
              <w:pStyle w:val="Zhlavtabulky"/>
              <w:spacing w:before="60" w:after="60"/>
              <w:jc w:val="both"/>
              <w:rPr>
                <w:rFonts w:cs="Arial"/>
                <w:color w:val="FFFFFF" w:themeColor="background1"/>
                <w:szCs w:val="22"/>
              </w:rPr>
            </w:pPr>
            <w:r w:rsidRPr="00D5678F">
              <w:rPr>
                <w:szCs w:val="22"/>
              </w:rPr>
              <w:br w:type="page"/>
            </w:r>
            <w:r>
              <w:rPr>
                <w:rFonts w:cs="Arial"/>
                <w:color w:val="FFFFFF" w:themeColor="background1"/>
                <w:szCs w:val="22"/>
                <w:shd w:val="clear" w:color="auto" w:fill="548DD4" w:themeFill="text2" w:themeFillTint="99"/>
              </w:rPr>
              <w:t>S2</w:t>
            </w:r>
            <w:r w:rsidR="00413546">
              <w:rPr>
                <w:rFonts w:cs="Arial"/>
                <w:color w:val="FFFFFF" w:themeColor="background1"/>
                <w:szCs w:val="22"/>
                <w:shd w:val="clear" w:color="auto" w:fill="548DD4" w:themeFill="text2" w:themeFillTint="99"/>
              </w:rPr>
              <w:t>3</w:t>
            </w:r>
            <w:r w:rsidRPr="00FA705F">
              <w:rPr>
                <w:rFonts w:cs="Arial"/>
                <w:color w:val="FFFFFF" w:themeColor="background1"/>
                <w:szCs w:val="22"/>
                <w:shd w:val="clear" w:color="auto" w:fill="548DD4" w:themeFill="text2" w:themeFillTint="99"/>
              </w:rPr>
              <w:t xml:space="preserve"> Cílené vzdělávací akce pro odbornou i</w:t>
            </w:r>
            <w:r w:rsidR="005A1247">
              <w:rPr>
                <w:rFonts w:cs="Arial"/>
                <w:color w:val="FFFFFF" w:themeColor="background1"/>
                <w:szCs w:val="22"/>
                <w:shd w:val="clear" w:color="auto" w:fill="548DD4" w:themeFill="text2" w:themeFillTint="99"/>
              </w:rPr>
              <w:t> </w:t>
            </w:r>
            <w:r w:rsidRPr="00FA705F">
              <w:rPr>
                <w:rFonts w:cs="Arial"/>
                <w:color w:val="FFFFFF" w:themeColor="background1"/>
                <w:szCs w:val="22"/>
                <w:shd w:val="clear" w:color="auto" w:fill="548DD4" w:themeFill="text2" w:themeFillTint="99"/>
              </w:rPr>
              <w:t>širší veřejnost v</w:t>
            </w:r>
            <w:r w:rsidR="005A1247">
              <w:rPr>
                <w:rFonts w:cs="Arial"/>
                <w:color w:val="FFFFFF" w:themeColor="background1"/>
                <w:szCs w:val="22"/>
                <w:shd w:val="clear" w:color="auto" w:fill="548DD4" w:themeFill="text2" w:themeFillTint="99"/>
              </w:rPr>
              <w:t> </w:t>
            </w:r>
            <w:r w:rsidRPr="00FA705F">
              <w:rPr>
                <w:rFonts w:cs="Arial"/>
                <w:color w:val="FFFFFF" w:themeColor="background1"/>
                <w:szCs w:val="22"/>
                <w:shd w:val="clear" w:color="auto" w:fill="548DD4" w:themeFill="text2" w:themeFillTint="99"/>
              </w:rPr>
              <w:t>oblasti alternativních paliv</w:t>
            </w:r>
          </w:p>
        </w:tc>
      </w:tr>
      <w:tr w:rsidR="00222E5B" w:rsidRPr="00D5678F" w14:paraId="439EC58A" w14:textId="77777777" w:rsidTr="00D005FA">
        <w:trPr>
          <w:cantSplit/>
          <w:jc w:val="center"/>
        </w:trPr>
        <w:tc>
          <w:tcPr>
            <w:tcW w:w="1981" w:type="dxa"/>
            <w:tcBorders>
              <w:top w:val="single" w:sz="12" w:space="0" w:color="auto"/>
              <w:left w:val="single" w:sz="12" w:space="0" w:color="auto"/>
              <w:bottom w:val="single" w:sz="4" w:space="0" w:color="auto"/>
              <w:right w:val="single" w:sz="12" w:space="0" w:color="auto"/>
            </w:tcBorders>
            <w:tcMar>
              <w:top w:w="0" w:type="dxa"/>
              <w:left w:w="70" w:type="dxa"/>
              <w:bottom w:w="0" w:type="dxa"/>
              <w:right w:w="70" w:type="dxa"/>
            </w:tcMar>
          </w:tcPr>
          <w:p w14:paraId="3B099199" w14:textId="77777777" w:rsidR="001530C0" w:rsidRPr="00206400" w:rsidRDefault="001530C0" w:rsidP="009A3B7E">
            <w:pPr>
              <w:pStyle w:val="Normln10"/>
              <w:rPr>
                <w:sz w:val="22"/>
              </w:rPr>
            </w:pPr>
            <w:r w:rsidRPr="00206400">
              <w:rPr>
                <w:sz w:val="22"/>
              </w:rPr>
              <w:t>Návaznost na strategický cíl</w:t>
            </w:r>
          </w:p>
        </w:tc>
        <w:tc>
          <w:tcPr>
            <w:tcW w:w="7360" w:type="dxa"/>
            <w:tcBorders>
              <w:top w:val="single" w:sz="12" w:space="0" w:color="auto"/>
              <w:left w:val="single" w:sz="12" w:space="0" w:color="auto"/>
              <w:bottom w:val="single" w:sz="4" w:space="0" w:color="auto"/>
              <w:right w:val="single" w:sz="12" w:space="0" w:color="auto"/>
            </w:tcBorders>
            <w:tcMar>
              <w:top w:w="0" w:type="dxa"/>
              <w:left w:w="70" w:type="dxa"/>
              <w:bottom w:w="0" w:type="dxa"/>
              <w:right w:w="70" w:type="dxa"/>
            </w:tcMar>
          </w:tcPr>
          <w:p w14:paraId="79237072" w14:textId="63A1F31A" w:rsidR="001530C0" w:rsidRPr="00F37AD7" w:rsidRDefault="001530C0" w:rsidP="009A3B7E">
            <w:pPr>
              <w:pStyle w:val="Normln10"/>
              <w:rPr>
                <w:sz w:val="22"/>
              </w:rPr>
            </w:pPr>
            <w:r w:rsidRPr="00F37AD7">
              <w:rPr>
                <w:sz w:val="22"/>
              </w:rPr>
              <w:t>Vytváření rámce pro výzkum a</w:t>
            </w:r>
            <w:r w:rsidR="005A1247">
              <w:rPr>
                <w:sz w:val="22"/>
              </w:rPr>
              <w:t> </w:t>
            </w:r>
            <w:r w:rsidRPr="00F37AD7">
              <w:rPr>
                <w:sz w:val="22"/>
              </w:rPr>
              <w:t>vývoj v</w:t>
            </w:r>
            <w:r w:rsidR="005A1247">
              <w:rPr>
                <w:sz w:val="22"/>
              </w:rPr>
              <w:t> </w:t>
            </w:r>
            <w:r w:rsidRPr="00F37AD7">
              <w:rPr>
                <w:sz w:val="22"/>
              </w:rPr>
              <w:t xml:space="preserve">oblasti elektromobility </w:t>
            </w:r>
            <w:r w:rsidR="00A74829">
              <w:rPr>
                <w:sz w:val="22"/>
              </w:rPr>
              <w:t>(kap. 2.4.4.)</w:t>
            </w:r>
          </w:p>
          <w:p w14:paraId="5F9DCBC2" w14:textId="37E11FCD" w:rsidR="001530C0" w:rsidRPr="00206400" w:rsidRDefault="001530C0" w:rsidP="005A1247">
            <w:pPr>
              <w:pStyle w:val="Normln10"/>
              <w:spacing w:line="240" w:lineRule="auto"/>
              <w:rPr>
                <w:sz w:val="22"/>
              </w:rPr>
            </w:pPr>
            <w:r w:rsidRPr="00F37AD7">
              <w:rPr>
                <w:sz w:val="22"/>
              </w:rPr>
              <w:t>Vytváření rámce pro výzkum a</w:t>
            </w:r>
            <w:r w:rsidR="005A1247">
              <w:rPr>
                <w:sz w:val="22"/>
              </w:rPr>
              <w:t> </w:t>
            </w:r>
            <w:r w:rsidRPr="00F37AD7">
              <w:rPr>
                <w:sz w:val="22"/>
              </w:rPr>
              <w:t>vývoj v</w:t>
            </w:r>
            <w:r w:rsidR="005A1247">
              <w:rPr>
                <w:sz w:val="22"/>
              </w:rPr>
              <w:t> </w:t>
            </w:r>
            <w:r w:rsidRPr="00F37AD7">
              <w:rPr>
                <w:sz w:val="22"/>
              </w:rPr>
              <w:t>oblasti vodíkové elektromobility</w:t>
            </w:r>
            <w:r w:rsidR="00A74829">
              <w:rPr>
                <w:sz w:val="22"/>
              </w:rPr>
              <w:t xml:space="preserve"> (kap. 4.3.5.)</w:t>
            </w:r>
          </w:p>
        </w:tc>
      </w:tr>
      <w:tr w:rsidR="00222E5B" w:rsidRPr="00D5678F" w14:paraId="20368327"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3D0D26D6" w14:textId="77777777" w:rsidR="001530C0" w:rsidRPr="00206400" w:rsidRDefault="001530C0" w:rsidP="009A3B7E">
            <w:pPr>
              <w:pStyle w:val="Normln10"/>
              <w:rPr>
                <w:sz w:val="22"/>
              </w:rPr>
            </w:pPr>
            <w:r w:rsidRPr="00206400">
              <w:rPr>
                <w:sz w:val="22"/>
              </w:rPr>
              <w:t>Cíl opatření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3C97A234" w14:textId="1C3BC8D3" w:rsidR="001530C0" w:rsidRPr="00206400" w:rsidRDefault="001530C0" w:rsidP="005A1247">
            <w:pPr>
              <w:pStyle w:val="Normln10"/>
              <w:spacing w:line="240" w:lineRule="auto"/>
              <w:rPr>
                <w:sz w:val="22"/>
              </w:rPr>
            </w:pPr>
            <w:r w:rsidRPr="00206400">
              <w:rPr>
                <w:sz w:val="22"/>
              </w:rPr>
              <w:t>Cílem opatření je poskytnout relevantní, nezkreslené informace o</w:t>
            </w:r>
            <w:r w:rsidR="005A1247">
              <w:rPr>
                <w:sz w:val="22"/>
              </w:rPr>
              <w:t> </w:t>
            </w:r>
            <w:r w:rsidRPr="00206400">
              <w:rPr>
                <w:sz w:val="22"/>
              </w:rPr>
              <w:t>problematice čisté mobility, informování veřejnosti (odborné i</w:t>
            </w:r>
            <w:r w:rsidR="005A1247">
              <w:rPr>
                <w:sz w:val="22"/>
              </w:rPr>
              <w:t> </w:t>
            </w:r>
            <w:r w:rsidRPr="00206400">
              <w:rPr>
                <w:sz w:val="22"/>
              </w:rPr>
              <w:t>laické) o</w:t>
            </w:r>
            <w:r w:rsidR="005A1247">
              <w:rPr>
                <w:sz w:val="22"/>
              </w:rPr>
              <w:t> </w:t>
            </w:r>
            <w:r w:rsidRPr="00206400">
              <w:rPr>
                <w:sz w:val="22"/>
              </w:rPr>
              <w:t>strategii státu, případně krajů/obcí v</w:t>
            </w:r>
            <w:r w:rsidR="005A1247">
              <w:rPr>
                <w:sz w:val="22"/>
              </w:rPr>
              <w:t> </w:t>
            </w:r>
            <w:r w:rsidRPr="00206400">
              <w:rPr>
                <w:sz w:val="22"/>
              </w:rPr>
              <w:t>oblasti rozvoje čisté mobility, odbourávání nedůvěry ve využití alternativních pohonů a</w:t>
            </w:r>
            <w:r w:rsidR="005A1247">
              <w:rPr>
                <w:sz w:val="22"/>
              </w:rPr>
              <w:t> </w:t>
            </w:r>
            <w:r w:rsidRPr="00206400">
              <w:rPr>
                <w:sz w:val="22"/>
              </w:rPr>
              <w:t>podporu komerčního nasazení vozidel na elektrický pohon u</w:t>
            </w:r>
            <w:r w:rsidR="005A1247">
              <w:rPr>
                <w:sz w:val="22"/>
              </w:rPr>
              <w:t> </w:t>
            </w:r>
            <w:r w:rsidRPr="00206400">
              <w:rPr>
                <w:sz w:val="22"/>
              </w:rPr>
              <w:t>firemních zákazníků i</w:t>
            </w:r>
            <w:r w:rsidR="005A1247">
              <w:rPr>
                <w:sz w:val="22"/>
              </w:rPr>
              <w:t> </w:t>
            </w:r>
            <w:r w:rsidRPr="00206400">
              <w:rPr>
                <w:sz w:val="22"/>
              </w:rPr>
              <w:t>širší veřejnosti.</w:t>
            </w:r>
          </w:p>
        </w:tc>
      </w:tr>
      <w:tr w:rsidR="00222E5B" w:rsidRPr="00D5678F" w14:paraId="04F74938"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65235F9" w14:textId="77777777" w:rsidR="001530C0" w:rsidRPr="00206400" w:rsidRDefault="001530C0" w:rsidP="009A3B7E">
            <w:pPr>
              <w:pStyle w:val="Normln10"/>
              <w:rPr>
                <w:sz w:val="22"/>
              </w:rPr>
            </w:pPr>
            <w:r w:rsidRPr="00206400">
              <w:rPr>
                <w:sz w:val="22"/>
              </w:rPr>
              <w:t>Vazba na další opatření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AED843E" w14:textId="17876C47" w:rsidR="001530C0" w:rsidRPr="00206400" w:rsidRDefault="001530C0" w:rsidP="005A1247">
            <w:pPr>
              <w:pStyle w:val="Normln10"/>
              <w:spacing w:line="240" w:lineRule="auto"/>
              <w:rPr>
                <w:sz w:val="22"/>
              </w:rPr>
            </w:pPr>
            <w:r w:rsidRPr="00206400">
              <w:rPr>
                <w:sz w:val="22"/>
              </w:rPr>
              <w:t>Podpora rozvoje vozidel s</w:t>
            </w:r>
            <w:r w:rsidR="005A1247">
              <w:rPr>
                <w:sz w:val="22"/>
              </w:rPr>
              <w:t> </w:t>
            </w:r>
            <w:r w:rsidRPr="00206400">
              <w:rPr>
                <w:sz w:val="22"/>
              </w:rPr>
              <w:t>alternativním pohonem.</w:t>
            </w:r>
          </w:p>
        </w:tc>
      </w:tr>
      <w:tr w:rsidR="00222E5B" w:rsidRPr="00D5678F" w14:paraId="7BB1C63A"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1DC0A537" w14:textId="77777777" w:rsidR="001530C0" w:rsidRPr="00206400" w:rsidRDefault="001530C0" w:rsidP="009A3B7E">
            <w:pPr>
              <w:pStyle w:val="Normln10"/>
              <w:rPr>
                <w:sz w:val="22"/>
              </w:rPr>
            </w:pPr>
            <w:r w:rsidRPr="00206400">
              <w:rPr>
                <w:sz w:val="22"/>
              </w:rPr>
              <w:t>Rozpočtový dopad / financování</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028EE77B" w14:textId="77777777" w:rsidR="001530C0" w:rsidRDefault="001530C0" w:rsidP="009A3B7E">
            <w:pPr>
              <w:pStyle w:val="Normln10"/>
              <w:spacing w:line="240" w:lineRule="auto"/>
              <w:rPr>
                <w:sz w:val="22"/>
              </w:rPr>
            </w:pPr>
            <w:r w:rsidRPr="00206400">
              <w:rPr>
                <w:sz w:val="22"/>
              </w:rPr>
              <w:t xml:space="preserve">V řádu </w:t>
            </w:r>
            <w:r>
              <w:rPr>
                <w:sz w:val="22"/>
              </w:rPr>
              <w:t xml:space="preserve">miliónů </w:t>
            </w:r>
            <w:r w:rsidRPr="00206400">
              <w:rPr>
                <w:sz w:val="22"/>
              </w:rPr>
              <w:t>Kč.</w:t>
            </w:r>
          </w:p>
          <w:p w14:paraId="3F530B83" w14:textId="75122721" w:rsidR="001530C0" w:rsidRDefault="001530C0" w:rsidP="009A3B7E">
            <w:pPr>
              <w:pStyle w:val="Normln10"/>
              <w:spacing w:line="240" w:lineRule="auto"/>
              <w:rPr>
                <w:sz w:val="22"/>
              </w:rPr>
            </w:pPr>
            <w:r>
              <w:rPr>
                <w:sz w:val="22"/>
              </w:rPr>
              <w:t>Podpora z</w:t>
            </w:r>
            <w:r w:rsidR="005A1247">
              <w:rPr>
                <w:sz w:val="22"/>
              </w:rPr>
              <w:t> </w:t>
            </w:r>
            <w:r>
              <w:rPr>
                <w:sz w:val="22"/>
              </w:rPr>
              <w:t>NPŽP</w:t>
            </w:r>
          </w:p>
          <w:p w14:paraId="6FED7269" w14:textId="014C63B2" w:rsidR="00357F9D" w:rsidRPr="00206400" w:rsidRDefault="00357F9D" w:rsidP="009A3B7E">
            <w:pPr>
              <w:pStyle w:val="Normln10"/>
              <w:spacing w:line="240" w:lineRule="auto"/>
              <w:rPr>
                <w:sz w:val="22"/>
              </w:rPr>
            </w:pPr>
            <w:r>
              <w:rPr>
                <w:sz w:val="22"/>
              </w:rPr>
              <w:t>EHP a</w:t>
            </w:r>
            <w:r w:rsidR="005A1247">
              <w:rPr>
                <w:sz w:val="22"/>
              </w:rPr>
              <w:t> </w:t>
            </w:r>
            <w:r>
              <w:rPr>
                <w:sz w:val="22"/>
              </w:rPr>
              <w:t>Norské fondy</w:t>
            </w:r>
          </w:p>
          <w:p w14:paraId="034B247A" w14:textId="17A27267" w:rsidR="001530C0" w:rsidRDefault="001530C0" w:rsidP="009A3B7E">
            <w:pPr>
              <w:pStyle w:val="Normln10"/>
              <w:spacing w:line="240" w:lineRule="auto"/>
              <w:rPr>
                <w:sz w:val="22"/>
              </w:rPr>
            </w:pPr>
            <w:r w:rsidRPr="00206400">
              <w:rPr>
                <w:sz w:val="22"/>
              </w:rPr>
              <w:t>Podpora spojená s</w:t>
            </w:r>
            <w:r w:rsidR="005A1247">
              <w:rPr>
                <w:sz w:val="22"/>
              </w:rPr>
              <w:t> </w:t>
            </w:r>
            <w:r w:rsidRPr="00206400">
              <w:rPr>
                <w:sz w:val="22"/>
              </w:rPr>
              <w:t>akcí Evropský týden mobility</w:t>
            </w:r>
          </w:p>
          <w:p w14:paraId="74C31962" w14:textId="2B264A81" w:rsidR="001530C0" w:rsidRPr="00206400" w:rsidRDefault="001530C0" w:rsidP="005A1247">
            <w:pPr>
              <w:pStyle w:val="Normln10"/>
              <w:spacing w:line="240" w:lineRule="auto"/>
              <w:rPr>
                <w:sz w:val="22"/>
              </w:rPr>
            </w:pPr>
            <w:r>
              <w:rPr>
                <w:sz w:val="22"/>
              </w:rPr>
              <w:t>Možné využití prostředků z</w:t>
            </w:r>
            <w:r w:rsidR="005A1247">
              <w:rPr>
                <w:sz w:val="22"/>
              </w:rPr>
              <w:t> </w:t>
            </w:r>
            <w:r>
              <w:rPr>
                <w:sz w:val="22"/>
              </w:rPr>
              <w:t xml:space="preserve">Technické pomoci </w:t>
            </w:r>
            <w:r w:rsidR="00042582">
              <w:rPr>
                <w:sz w:val="22"/>
              </w:rPr>
              <w:t>OP TAK</w:t>
            </w:r>
            <w:r>
              <w:rPr>
                <w:sz w:val="22"/>
              </w:rPr>
              <w:t>/OPD</w:t>
            </w:r>
          </w:p>
        </w:tc>
      </w:tr>
      <w:tr w:rsidR="00222E5B" w:rsidRPr="00D5678F" w14:paraId="6B953DBE"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E0E9920" w14:textId="77777777" w:rsidR="001530C0" w:rsidRPr="00206400" w:rsidRDefault="001530C0" w:rsidP="009A3B7E">
            <w:pPr>
              <w:pStyle w:val="Normln10"/>
              <w:rPr>
                <w:sz w:val="22"/>
              </w:rPr>
            </w:pPr>
            <w:r w:rsidRPr="00206400">
              <w:rPr>
                <w:sz w:val="22"/>
              </w:rPr>
              <w:t>Odpovědnost</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1155CC8" w14:textId="77777777" w:rsidR="001530C0" w:rsidRPr="00206400" w:rsidRDefault="001530C0" w:rsidP="009A3B7E">
            <w:pPr>
              <w:pStyle w:val="Normln10"/>
              <w:spacing w:line="240" w:lineRule="auto"/>
              <w:rPr>
                <w:sz w:val="22"/>
              </w:rPr>
            </w:pPr>
            <w:r w:rsidRPr="00206400">
              <w:rPr>
                <w:sz w:val="22"/>
              </w:rPr>
              <w:t>MŽP</w:t>
            </w:r>
          </w:p>
        </w:tc>
      </w:tr>
      <w:tr w:rsidR="00222E5B" w:rsidRPr="00D5678F" w14:paraId="5E9C8A0D" w14:textId="77777777" w:rsidTr="00D005FA">
        <w:trPr>
          <w:cantSplit/>
          <w:jc w:val="center"/>
        </w:trPr>
        <w:tc>
          <w:tcPr>
            <w:tcW w:w="1981"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76EA11A" w14:textId="77777777" w:rsidR="001530C0" w:rsidRPr="00206400" w:rsidRDefault="001530C0" w:rsidP="009A3B7E">
            <w:pPr>
              <w:pStyle w:val="Normln10"/>
              <w:rPr>
                <w:sz w:val="22"/>
              </w:rPr>
            </w:pPr>
            <w:r w:rsidRPr="00206400">
              <w:rPr>
                <w:sz w:val="22"/>
              </w:rPr>
              <w:t>Spolupráce</w:t>
            </w:r>
          </w:p>
        </w:tc>
        <w:tc>
          <w:tcPr>
            <w:tcW w:w="7360"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A273EAF" w14:textId="77777777" w:rsidR="001530C0" w:rsidRPr="00206400" w:rsidRDefault="001530C0" w:rsidP="009A3B7E">
            <w:pPr>
              <w:pStyle w:val="Normln10"/>
              <w:spacing w:line="240" w:lineRule="auto"/>
              <w:rPr>
                <w:sz w:val="22"/>
              </w:rPr>
            </w:pPr>
            <w:r w:rsidRPr="00206400">
              <w:rPr>
                <w:sz w:val="22"/>
              </w:rPr>
              <w:t>MD, MPO</w:t>
            </w:r>
          </w:p>
        </w:tc>
      </w:tr>
      <w:tr w:rsidR="00222E5B" w:rsidRPr="00D5678F" w14:paraId="4D58D11A" w14:textId="77777777" w:rsidTr="00D005FA">
        <w:trPr>
          <w:cantSplit/>
          <w:jc w:val="center"/>
        </w:trPr>
        <w:tc>
          <w:tcPr>
            <w:tcW w:w="1981"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366903B1" w14:textId="77777777" w:rsidR="001530C0" w:rsidRPr="00206400" w:rsidRDefault="001530C0" w:rsidP="009A3B7E">
            <w:pPr>
              <w:pStyle w:val="Normln10"/>
              <w:rPr>
                <w:sz w:val="22"/>
              </w:rPr>
            </w:pPr>
            <w:r w:rsidRPr="00206400">
              <w:rPr>
                <w:sz w:val="22"/>
              </w:rPr>
              <w:t>Termín</w:t>
            </w:r>
          </w:p>
        </w:tc>
        <w:tc>
          <w:tcPr>
            <w:tcW w:w="7360"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75BF7783" w14:textId="77777777" w:rsidR="001530C0" w:rsidRPr="00206400" w:rsidRDefault="001530C0" w:rsidP="009A3B7E">
            <w:pPr>
              <w:pStyle w:val="Normln10"/>
              <w:spacing w:line="240" w:lineRule="auto"/>
              <w:rPr>
                <w:sz w:val="22"/>
              </w:rPr>
            </w:pPr>
            <w:r w:rsidRPr="00206400">
              <w:rPr>
                <w:sz w:val="22"/>
              </w:rPr>
              <w:t>2020-2024</w:t>
            </w:r>
          </w:p>
        </w:tc>
      </w:tr>
    </w:tbl>
    <w:p w14:paraId="635ABDAA" w14:textId="77777777" w:rsidR="001530C0" w:rsidRDefault="001530C0" w:rsidP="009A3B7E">
      <w:pPr>
        <w:jc w:val="both"/>
      </w:pPr>
    </w:p>
    <w:p w14:paraId="2B2B2030" w14:textId="77777777" w:rsidR="001530C0" w:rsidRDefault="001530C0" w:rsidP="009A3B7E">
      <w:pPr>
        <w:spacing w:before="0" w:after="0"/>
        <w:jc w:val="both"/>
      </w:pPr>
      <w:r>
        <w:br w:type="page"/>
      </w:r>
    </w:p>
    <w:p w14:paraId="307EADD3" w14:textId="13F33C85" w:rsidR="001530C0" w:rsidRDefault="001530C0" w:rsidP="009A3B7E">
      <w:pPr>
        <w:pStyle w:val="Nadpis3"/>
        <w:jc w:val="both"/>
      </w:pPr>
      <w:bookmarkStart w:id="122" w:name="_Toc21589185"/>
      <w:r>
        <w:lastRenderedPageBreak/>
        <w:t>S2</w:t>
      </w:r>
      <w:r w:rsidR="00413546">
        <w:t>4</w:t>
      </w:r>
      <w:r>
        <w:t xml:space="preserve"> </w:t>
      </w:r>
      <w:r w:rsidRPr="00FD5A00">
        <w:t>Aktivní podpora výzkumu a</w:t>
      </w:r>
      <w:r w:rsidR="005A1247">
        <w:t> </w:t>
      </w:r>
      <w:r w:rsidRPr="00FD5A00">
        <w:t>vývoje v</w:t>
      </w:r>
      <w:r w:rsidR="005A1247">
        <w:t> </w:t>
      </w:r>
      <w:r w:rsidRPr="00FD5A00">
        <w:t>oblasti elektromobility a</w:t>
      </w:r>
      <w:r w:rsidR="005A1247">
        <w:t> </w:t>
      </w:r>
      <w:r w:rsidRPr="00FD5A00">
        <w:t>dalších alternativních paliv</w:t>
      </w:r>
      <w:bookmarkEnd w:id="122"/>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1530C0" w:rsidRPr="003A7A2B" w14:paraId="400F82E7" w14:textId="77777777" w:rsidTr="00D005FA">
        <w:tc>
          <w:tcPr>
            <w:tcW w:w="9341" w:type="dxa"/>
            <w:gridSpan w:val="2"/>
            <w:tcBorders>
              <w:top w:val="single" w:sz="12" w:space="0" w:color="auto"/>
              <w:left w:val="single" w:sz="12" w:space="0" w:color="auto"/>
              <w:bottom w:val="single" w:sz="12" w:space="0" w:color="auto"/>
              <w:right w:val="single" w:sz="12" w:space="0" w:color="auto"/>
            </w:tcBorders>
            <w:shd w:val="clear" w:color="auto" w:fill="548DD4"/>
          </w:tcPr>
          <w:p w14:paraId="06DF5012" w14:textId="0D8CAAE3" w:rsidR="001530C0" w:rsidRPr="003A7A2B" w:rsidRDefault="001530C0" w:rsidP="005A1247">
            <w:pPr>
              <w:spacing w:before="60" w:after="60"/>
              <w:jc w:val="both"/>
              <w:rPr>
                <w:rFonts w:cs="Arial"/>
                <w:b/>
                <w:color w:val="FFFFFF" w:themeColor="background1"/>
              </w:rPr>
            </w:pPr>
            <w:r>
              <w:rPr>
                <w:rFonts w:cs="Arial"/>
                <w:b/>
                <w:color w:val="FFFFFF" w:themeColor="background1"/>
              </w:rPr>
              <w:t>S2</w:t>
            </w:r>
            <w:r w:rsidR="00413546">
              <w:rPr>
                <w:rFonts w:cs="Arial"/>
                <w:b/>
                <w:color w:val="FFFFFF" w:themeColor="background1"/>
              </w:rPr>
              <w:t>4</w:t>
            </w:r>
            <w:r w:rsidRPr="003A7A2B">
              <w:rPr>
                <w:rFonts w:cs="Arial"/>
                <w:b/>
                <w:color w:val="FFFFFF" w:themeColor="background1"/>
              </w:rPr>
              <w:t xml:space="preserve"> Aktivní podpora výzkumu a</w:t>
            </w:r>
            <w:r w:rsidR="005A1247">
              <w:rPr>
                <w:rFonts w:cs="Arial"/>
                <w:b/>
                <w:color w:val="FFFFFF" w:themeColor="background1"/>
              </w:rPr>
              <w:t> </w:t>
            </w:r>
            <w:r w:rsidRPr="003A7A2B">
              <w:rPr>
                <w:rFonts w:cs="Arial"/>
                <w:b/>
                <w:color w:val="FFFFFF" w:themeColor="background1"/>
              </w:rPr>
              <w:t>vývoje v</w:t>
            </w:r>
            <w:r w:rsidR="005A1247">
              <w:rPr>
                <w:rFonts w:cs="Arial"/>
                <w:b/>
                <w:color w:val="FFFFFF" w:themeColor="background1"/>
              </w:rPr>
              <w:t> </w:t>
            </w:r>
            <w:r w:rsidRPr="003A7A2B">
              <w:rPr>
                <w:rFonts w:cs="Arial"/>
                <w:b/>
                <w:color w:val="FFFFFF" w:themeColor="background1"/>
              </w:rPr>
              <w:t xml:space="preserve">oblasti </w:t>
            </w:r>
            <w:r w:rsidR="000D31C9">
              <w:rPr>
                <w:rFonts w:cs="Arial"/>
                <w:b/>
                <w:color w:val="FFFFFF" w:themeColor="background1"/>
              </w:rPr>
              <w:t xml:space="preserve">elektromoblity </w:t>
            </w:r>
            <w:r w:rsidR="009B55B6">
              <w:rPr>
                <w:rFonts w:cs="Arial"/>
                <w:b/>
                <w:color w:val="FFFFFF" w:themeColor="background1"/>
              </w:rPr>
              <w:t>a</w:t>
            </w:r>
            <w:r w:rsidR="005A1247">
              <w:rPr>
                <w:rFonts w:cs="Arial"/>
                <w:b/>
                <w:color w:val="FFFFFF" w:themeColor="background1"/>
              </w:rPr>
              <w:t> </w:t>
            </w:r>
            <w:r w:rsidR="009B55B6">
              <w:rPr>
                <w:rFonts w:cs="Arial"/>
                <w:b/>
                <w:color w:val="FFFFFF" w:themeColor="background1"/>
              </w:rPr>
              <w:t xml:space="preserve">dalších </w:t>
            </w:r>
            <w:r>
              <w:rPr>
                <w:rFonts w:cs="Arial"/>
                <w:b/>
                <w:color w:val="FFFFFF" w:themeColor="background1"/>
              </w:rPr>
              <w:t>a</w:t>
            </w:r>
            <w:r w:rsidRPr="003A7A2B">
              <w:rPr>
                <w:rFonts w:cs="Arial"/>
                <w:b/>
                <w:color w:val="FFFFFF" w:themeColor="background1"/>
              </w:rPr>
              <w:t>lternativních paliv</w:t>
            </w:r>
          </w:p>
        </w:tc>
      </w:tr>
      <w:tr w:rsidR="000D31C9" w:rsidRPr="003A7A2B" w14:paraId="3BFFF76E" w14:textId="77777777" w:rsidTr="00D005FA">
        <w:tc>
          <w:tcPr>
            <w:tcW w:w="1984" w:type="dxa"/>
            <w:tcBorders>
              <w:top w:val="single" w:sz="12" w:space="0" w:color="auto"/>
              <w:left w:val="single" w:sz="12" w:space="0" w:color="auto"/>
              <w:right w:val="single" w:sz="12" w:space="0" w:color="auto"/>
            </w:tcBorders>
          </w:tcPr>
          <w:p w14:paraId="2E1DB2E2"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Návaznost na strategický cíl</w:t>
            </w:r>
          </w:p>
        </w:tc>
        <w:tc>
          <w:tcPr>
            <w:tcW w:w="7357" w:type="dxa"/>
            <w:tcBorders>
              <w:top w:val="single" w:sz="12" w:space="0" w:color="auto"/>
              <w:left w:val="single" w:sz="12" w:space="0" w:color="auto"/>
              <w:right w:val="single" w:sz="12" w:space="0" w:color="auto"/>
            </w:tcBorders>
          </w:tcPr>
          <w:p w14:paraId="44644F35" w14:textId="3583F588" w:rsidR="001530C0" w:rsidRPr="00F37AD7" w:rsidRDefault="001530C0" w:rsidP="00B502A0">
            <w:pPr>
              <w:pStyle w:val="Normln10"/>
              <w:spacing w:before="20" w:after="20" w:line="240" w:lineRule="auto"/>
              <w:rPr>
                <w:rFonts w:cs="Arial"/>
                <w:sz w:val="22"/>
                <w:szCs w:val="22"/>
              </w:rPr>
            </w:pPr>
            <w:r w:rsidRPr="00F37AD7">
              <w:rPr>
                <w:rFonts w:cs="Arial"/>
                <w:sz w:val="22"/>
                <w:szCs w:val="22"/>
              </w:rPr>
              <w:t>Vytváření rámce pro výzkum a</w:t>
            </w:r>
            <w:r w:rsidR="005A1247">
              <w:rPr>
                <w:rFonts w:cs="Arial"/>
                <w:sz w:val="22"/>
                <w:szCs w:val="22"/>
              </w:rPr>
              <w:t> </w:t>
            </w:r>
            <w:r w:rsidRPr="00F37AD7">
              <w:rPr>
                <w:rFonts w:cs="Arial"/>
                <w:sz w:val="22"/>
                <w:szCs w:val="22"/>
              </w:rPr>
              <w:t>vývoj v</w:t>
            </w:r>
            <w:r w:rsidR="005A1247">
              <w:rPr>
                <w:rFonts w:cs="Arial"/>
                <w:sz w:val="22"/>
                <w:szCs w:val="22"/>
              </w:rPr>
              <w:t> </w:t>
            </w:r>
            <w:r w:rsidRPr="00F37AD7">
              <w:rPr>
                <w:rFonts w:cs="Arial"/>
                <w:sz w:val="22"/>
                <w:szCs w:val="22"/>
              </w:rPr>
              <w:t xml:space="preserve">oblasti elektromobility </w:t>
            </w:r>
            <w:r w:rsidR="00A74829">
              <w:rPr>
                <w:rFonts w:cs="Arial"/>
                <w:sz w:val="22"/>
                <w:szCs w:val="22"/>
              </w:rPr>
              <w:t>(kap. 2.4.4.)</w:t>
            </w:r>
          </w:p>
          <w:p w14:paraId="573F8C8E" w14:textId="54D59706" w:rsidR="001530C0" w:rsidRPr="003A7A2B" w:rsidRDefault="001530C0" w:rsidP="005A1247">
            <w:pPr>
              <w:pStyle w:val="Normln10"/>
              <w:spacing w:before="20" w:after="20" w:line="240" w:lineRule="auto"/>
              <w:rPr>
                <w:rFonts w:cs="Arial"/>
                <w:sz w:val="22"/>
                <w:szCs w:val="22"/>
              </w:rPr>
            </w:pPr>
            <w:r w:rsidRPr="00F37AD7">
              <w:rPr>
                <w:rFonts w:cs="Arial"/>
                <w:sz w:val="22"/>
                <w:szCs w:val="22"/>
              </w:rPr>
              <w:t>Vytváření rámce pro výzkum a</w:t>
            </w:r>
            <w:r w:rsidR="005A1247">
              <w:rPr>
                <w:rFonts w:cs="Arial"/>
                <w:sz w:val="22"/>
                <w:szCs w:val="22"/>
              </w:rPr>
              <w:t> </w:t>
            </w:r>
            <w:r w:rsidRPr="00F37AD7">
              <w:rPr>
                <w:rFonts w:cs="Arial"/>
                <w:sz w:val="22"/>
                <w:szCs w:val="22"/>
              </w:rPr>
              <w:t>vývoj v</w:t>
            </w:r>
            <w:r w:rsidR="005A1247">
              <w:rPr>
                <w:rFonts w:cs="Arial"/>
                <w:sz w:val="22"/>
                <w:szCs w:val="22"/>
              </w:rPr>
              <w:t> </w:t>
            </w:r>
            <w:r w:rsidRPr="00F37AD7">
              <w:rPr>
                <w:rFonts w:cs="Arial"/>
                <w:sz w:val="22"/>
                <w:szCs w:val="22"/>
              </w:rPr>
              <w:t>oblasti vodíkové elektromobility</w:t>
            </w:r>
            <w:r w:rsidR="00A74829">
              <w:rPr>
                <w:rFonts w:cs="Arial"/>
                <w:sz w:val="22"/>
                <w:szCs w:val="22"/>
              </w:rPr>
              <w:t xml:space="preserve"> (kap. 4.3.5.)</w:t>
            </w:r>
          </w:p>
        </w:tc>
      </w:tr>
      <w:tr w:rsidR="000D31C9" w:rsidRPr="003A7A2B" w14:paraId="75284681" w14:textId="77777777" w:rsidTr="00D005FA">
        <w:tc>
          <w:tcPr>
            <w:tcW w:w="1984" w:type="dxa"/>
            <w:tcBorders>
              <w:top w:val="single" w:sz="4" w:space="0" w:color="auto"/>
              <w:left w:val="single" w:sz="12" w:space="0" w:color="auto"/>
              <w:right w:val="single" w:sz="12" w:space="0" w:color="auto"/>
            </w:tcBorders>
          </w:tcPr>
          <w:p w14:paraId="65C41A9D"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Cíl opatření</w:t>
            </w:r>
          </w:p>
        </w:tc>
        <w:tc>
          <w:tcPr>
            <w:tcW w:w="7357" w:type="dxa"/>
            <w:tcBorders>
              <w:top w:val="single" w:sz="4" w:space="0" w:color="auto"/>
              <w:left w:val="single" w:sz="12" w:space="0" w:color="auto"/>
              <w:right w:val="single" w:sz="12" w:space="0" w:color="auto"/>
            </w:tcBorders>
          </w:tcPr>
          <w:p w14:paraId="2F3DE934" w14:textId="40A77D57" w:rsidR="001530C0" w:rsidRPr="003A7A2B" w:rsidRDefault="001530C0" w:rsidP="005A1247">
            <w:pPr>
              <w:pStyle w:val="Normln10"/>
              <w:spacing w:before="20" w:after="20" w:line="240" w:lineRule="auto"/>
              <w:rPr>
                <w:rFonts w:cs="Arial"/>
                <w:sz w:val="22"/>
                <w:szCs w:val="22"/>
              </w:rPr>
            </w:pPr>
            <w:r w:rsidRPr="003A7A2B">
              <w:rPr>
                <w:rFonts w:cs="Arial"/>
                <w:sz w:val="22"/>
                <w:szCs w:val="22"/>
              </w:rPr>
              <w:t>Prioritizace výzkumných témat zaměřených na oblast čisté mobility</w:t>
            </w:r>
            <w:r>
              <w:rPr>
                <w:rFonts w:cs="Arial"/>
                <w:sz w:val="22"/>
                <w:szCs w:val="22"/>
              </w:rPr>
              <w:t xml:space="preserve"> a</w:t>
            </w:r>
            <w:r w:rsidR="005A1247">
              <w:rPr>
                <w:rFonts w:cs="Arial"/>
                <w:sz w:val="22"/>
                <w:szCs w:val="22"/>
              </w:rPr>
              <w:t> </w:t>
            </w:r>
            <w:r w:rsidRPr="003A7A2B">
              <w:rPr>
                <w:rFonts w:cs="Arial"/>
                <w:sz w:val="22"/>
                <w:szCs w:val="22"/>
              </w:rPr>
              <w:t>alternativních paliv v</w:t>
            </w:r>
            <w:r w:rsidR="005A1247">
              <w:rPr>
                <w:rFonts w:cs="Arial"/>
                <w:sz w:val="22"/>
                <w:szCs w:val="22"/>
              </w:rPr>
              <w:t> </w:t>
            </w:r>
            <w:r>
              <w:rPr>
                <w:rFonts w:cs="Arial"/>
                <w:sz w:val="22"/>
                <w:szCs w:val="22"/>
              </w:rPr>
              <w:t>programech podpory výzkumu a</w:t>
            </w:r>
            <w:r w:rsidR="005A1247">
              <w:rPr>
                <w:rFonts w:cs="Arial"/>
                <w:sz w:val="22"/>
                <w:szCs w:val="22"/>
              </w:rPr>
              <w:t> </w:t>
            </w:r>
            <w:r>
              <w:rPr>
                <w:rFonts w:cs="Arial"/>
                <w:sz w:val="22"/>
                <w:szCs w:val="22"/>
              </w:rPr>
              <w:t>vývoje a</w:t>
            </w:r>
            <w:r w:rsidR="005A1247">
              <w:rPr>
                <w:rFonts w:cs="Arial"/>
                <w:sz w:val="22"/>
                <w:szCs w:val="22"/>
              </w:rPr>
              <w:t> </w:t>
            </w:r>
            <w:r>
              <w:rPr>
                <w:rFonts w:cs="Arial"/>
                <w:sz w:val="22"/>
                <w:szCs w:val="22"/>
              </w:rPr>
              <w:t xml:space="preserve">jejich výzvách </w:t>
            </w:r>
          </w:p>
        </w:tc>
      </w:tr>
      <w:tr w:rsidR="000D31C9" w:rsidRPr="003A7A2B" w14:paraId="65D633A0" w14:textId="77777777" w:rsidTr="00D005FA">
        <w:tc>
          <w:tcPr>
            <w:tcW w:w="1984" w:type="dxa"/>
            <w:tcBorders>
              <w:left w:val="single" w:sz="12" w:space="0" w:color="auto"/>
              <w:right w:val="single" w:sz="12" w:space="0" w:color="auto"/>
            </w:tcBorders>
          </w:tcPr>
          <w:p w14:paraId="2525C22B"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Popis opatření</w:t>
            </w:r>
          </w:p>
        </w:tc>
        <w:tc>
          <w:tcPr>
            <w:tcW w:w="7357" w:type="dxa"/>
            <w:tcBorders>
              <w:left w:val="single" w:sz="12" w:space="0" w:color="auto"/>
              <w:right w:val="single" w:sz="12" w:space="0" w:color="auto"/>
            </w:tcBorders>
          </w:tcPr>
          <w:p w14:paraId="3496B67A" w14:textId="6334595F" w:rsidR="001530C0" w:rsidRPr="003447F9" w:rsidRDefault="001530C0" w:rsidP="00B502A0">
            <w:pPr>
              <w:spacing w:before="20" w:after="20"/>
              <w:jc w:val="both"/>
              <w:rPr>
                <w:rFonts w:cs="Arial"/>
                <w:sz w:val="21"/>
                <w:szCs w:val="21"/>
              </w:rPr>
            </w:pPr>
            <w:r w:rsidRPr="003447F9">
              <w:rPr>
                <w:rFonts w:cs="Arial"/>
                <w:sz w:val="21"/>
                <w:szCs w:val="21"/>
              </w:rPr>
              <w:t>Systematická forma podpory výzkumu, vývoje a</w:t>
            </w:r>
            <w:r w:rsidR="005A1247">
              <w:rPr>
                <w:rFonts w:cs="Arial"/>
                <w:sz w:val="21"/>
                <w:szCs w:val="21"/>
              </w:rPr>
              <w:t> </w:t>
            </w:r>
            <w:r w:rsidRPr="003447F9">
              <w:rPr>
                <w:rFonts w:cs="Arial"/>
                <w:sz w:val="21"/>
                <w:szCs w:val="21"/>
              </w:rPr>
              <w:t>inovací je předpokladem pro zavádění nových oblastí v</w:t>
            </w:r>
            <w:r w:rsidR="005A1247">
              <w:rPr>
                <w:rFonts w:cs="Arial"/>
                <w:sz w:val="21"/>
                <w:szCs w:val="21"/>
              </w:rPr>
              <w:t> </w:t>
            </w:r>
            <w:r w:rsidRPr="003447F9">
              <w:rPr>
                <w:rFonts w:cs="Arial"/>
                <w:sz w:val="21"/>
                <w:szCs w:val="21"/>
              </w:rPr>
              <w:t>mobilitě – nízkoemisní a</w:t>
            </w:r>
            <w:r w:rsidR="005A1247">
              <w:rPr>
                <w:rFonts w:cs="Arial"/>
                <w:sz w:val="21"/>
                <w:szCs w:val="21"/>
              </w:rPr>
              <w:t> </w:t>
            </w:r>
            <w:r w:rsidRPr="003447F9">
              <w:rPr>
                <w:rFonts w:cs="Arial"/>
                <w:sz w:val="21"/>
                <w:szCs w:val="21"/>
              </w:rPr>
              <w:t>bezemisní mobilita, účinnost, sdílení, konektivita, autonomn</w:t>
            </w:r>
            <w:r w:rsidR="00534284" w:rsidRPr="003447F9">
              <w:rPr>
                <w:rFonts w:cs="Arial"/>
                <w:sz w:val="21"/>
                <w:szCs w:val="21"/>
              </w:rPr>
              <w:t>í mobilita</w:t>
            </w:r>
            <w:r w:rsidRPr="003447F9">
              <w:rPr>
                <w:rFonts w:cs="Arial"/>
                <w:sz w:val="21"/>
                <w:szCs w:val="21"/>
              </w:rPr>
              <w:t>. V</w:t>
            </w:r>
            <w:r w:rsidR="005A1247">
              <w:rPr>
                <w:rFonts w:cs="Arial"/>
                <w:sz w:val="21"/>
                <w:szCs w:val="21"/>
              </w:rPr>
              <w:t> </w:t>
            </w:r>
            <w:r w:rsidRPr="003447F9">
              <w:rPr>
                <w:rFonts w:cs="Arial"/>
                <w:sz w:val="21"/>
                <w:szCs w:val="21"/>
              </w:rPr>
              <w:t>rámci výzev rezortních programů VaVaI (např. TREND, Doprava 2020+, Prostředí pro život, NP ŽP - Ekoinovace) a</w:t>
            </w:r>
            <w:r w:rsidR="005A1247">
              <w:rPr>
                <w:rFonts w:cs="Arial"/>
                <w:sz w:val="21"/>
                <w:szCs w:val="21"/>
              </w:rPr>
              <w:t> </w:t>
            </w:r>
            <w:r w:rsidR="00534284" w:rsidRPr="003447F9">
              <w:rPr>
                <w:rFonts w:cs="Arial"/>
                <w:sz w:val="21"/>
                <w:szCs w:val="21"/>
              </w:rPr>
              <w:t xml:space="preserve">dalších </w:t>
            </w:r>
            <w:r w:rsidRPr="003447F9">
              <w:rPr>
                <w:rFonts w:cs="Arial"/>
                <w:sz w:val="21"/>
                <w:szCs w:val="21"/>
              </w:rPr>
              <w:t xml:space="preserve">programů TA ČR </w:t>
            </w:r>
            <w:r w:rsidR="00534284" w:rsidRPr="003447F9">
              <w:rPr>
                <w:rFonts w:cs="Arial"/>
                <w:sz w:val="21"/>
                <w:szCs w:val="21"/>
              </w:rPr>
              <w:t xml:space="preserve">(např. THÉTA) </w:t>
            </w:r>
            <w:r w:rsidRPr="003447F9">
              <w:rPr>
                <w:rFonts w:cs="Arial"/>
                <w:sz w:val="21"/>
                <w:szCs w:val="21"/>
              </w:rPr>
              <w:t>je třeba prosazovat oblast čisté mobility/alternativních paliv jako prioritu.</w:t>
            </w:r>
          </w:p>
          <w:p w14:paraId="14E32B68" w14:textId="311250FB" w:rsidR="001530C0" w:rsidRPr="003447F9" w:rsidRDefault="001530C0" w:rsidP="00B502A0">
            <w:pPr>
              <w:spacing w:before="20" w:after="20"/>
              <w:jc w:val="both"/>
              <w:rPr>
                <w:rFonts w:cs="Arial"/>
                <w:sz w:val="21"/>
                <w:szCs w:val="21"/>
              </w:rPr>
            </w:pPr>
            <w:r w:rsidRPr="003447F9">
              <w:rPr>
                <w:rFonts w:cs="Arial"/>
                <w:sz w:val="21"/>
                <w:szCs w:val="21"/>
              </w:rPr>
              <w:t>Podpora inovací v</w:t>
            </w:r>
            <w:r w:rsidR="005A1247">
              <w:rPr>
                <w:rFonts w:cs="Arial"/>
                <w:sz w:val="21"/>
                <w:szCs w:val="21"/>
              </w:rPr>
              <w:t> </w:t>
            </w:r>
            <w:r w:rsidRPr="003447F9">
              <w:rPr>
                <w:rFonts w:cs="Arial"/>
                <w:sz w:val="21"/>
                <w:szCs w:val="21"/>
              </w:rPr>
              <w:t>oblasti čisté mobility a</w:t>
            </w:r>
            <w:r w:rsidR="005A1247">
              <w:rPr>
                <w:rFonts w:cs="Arial"/>
                <w:sz w:val="21"/>
                <w:szCs w:val="21"/>
              </w:rPr>
              <w:t> </w:t>
            </w:r>
            <w:r w:rsidRPr="003447F9">
              <w:rPr>
                <w:rFonts w:cs="Arial"/>
                <w:sz w:val="21"/>
                <w:szCs w:val="21"/>
              </w:rPr>
              <w:t>alternativních paliv je rovněž součástí současných operačních programů (např. OP PIK, OP Doprava), je potřebné zajistit větší míru podpory v</w:t>
            </w:r>
            <w:r w:rsidR="005A1247">
              <w:rPr>
                <w:rFonts w:cs="Arial"/>
                <w:sz w:val="21"/>
                <w:szCs w:val="21"/>
              </w:rPr>
              <w:t> </w:t>
            </w:r>
            <w:r w:rsidRPr="003447F9">
              <w:rPr>
                <w:rFonts w:cs="Arial"/>
                <w:sz w:val="21"/>
                <w:szCs w:val="21"/>
              </w:rPr>
              <w:t>programech programovacího období 2021-2027. Vzhledem k</w:t>
            </w:r>
            <w:r w:rsidR="005A1247">
              <w:rPr>
                <w:rFonts w:cs="Arial"/>
                <w:sz w:val="21"/>
                <w:szCs w:val="21"/>
              </w:rPr>
              <w:t> </w:t>
            </w:r>
            <w:r w:rsidRPr="003447F9">
              <w:rPr>
                <w:rFonts w:cs="Arial"/>
                <w:sz w:val="21"/>
                <w:szCs w:val="21"/>
              </w:rPr>
              <w:t xml:space="preserve">významu Národní RIS3 strategie (zacílení finančních prostředků na VaVaI, </w:t>
            </w:r>
            <w:r w:rsidR="003651AC">
              <w:rPr>
                <w:rFonts w:cs="Arial"/>
                <w:sz w:val="21"/>
                <w:szCs w:val="21"/>
              </w:rPr>
              <w:t>předběžná</w:t>
            </w:r>
            <w:r w:rsidRPr="003447F9">
              <w:rPr>
                <w:rFonts w:cs="Arial"/>
                <w:sz w:val="21"/>
                <w:szCs w:val="21"/>
              </w:rPr>
              <w:t xml:space="preserve"> podmínka pro uskutečňování intervencí kohezní politiky Evropské unie v</w:t>
            </w:r>
            <w:r w:rsidR="005A1247">
              <w:rPr>
                <w:rFonts w:cs="Arial"/>
                <w:sz w:val="21"/>
                <w:szCs w:val="21"/>
              </w:rPr>
              <w:t> </w:t>
            </w:r>
            <w:r w:rsidRPr="003447F9">
              <w:rPr>
                <w:rFonts w:cs="Arial"/>
                <w:sz w:val="21"/>
                <w:szCs w:val="21"/>
              </w:rPr>
              <w:t>oblasti VaVaI v</w:t>
            </w:r>
            <w:r w:rsidR="005A1247">
              <w:rPr>
                <w:rFonts w:cs="Arial"/>
                <w:sz w:val="21"/>
                <w:szCs w:val="21"/>
              </w:rPr>
              <w:t> </w:t>
            </w:r>
            <w:r w:rsidRPr="003447F9">
              <w:rPr>
                <w:rFonts w:cs="Arial"/>
                <w:sz w:val="21"/>
                <w:szCs w:val="21"/>
              </w:rPr>
              <w:t>programovém období 2014-2020, základní podmínka pro programové období 2021-2027) by měla být oblast čisté mobility a</w:t>
            </w:r>
            <w:r w:rsidR="005A1247">
              <w:rPr>
                <w:rFonts w:cs="Arial"/>
                <w:sz w:val="21"/>
                <w:szCs w:val="21"/>
              </w:rPr>
              <w:t> </w:t>
            </w:r>
            <w:r w:rsidRPr="003447F9">
              <w:rPr>
                <w:rFonts w:cs="Arial"/>
                <w:sz w:val="21"/>
                <w:szCs w:val="21"/>
              </w:rPr>
              <w:t>alternativních paliv zahrnuta do národních domén specializace/vertikálních cílů.</w:t>
            </w:r>
          </w:p>
          <w:p w14:paraId="6A04FA63" w14:textId="54CDD443" w:rsidR="001530C0" w:rsidRPr="003447F9" w:rsidRDefault="001530C0" w:rsidP="00B502A0">
            <w:pPr>
              <w:spacing w:before="20" w:after="20"/>
              <w:jc w:val="both"/>
              <w:rPr>
                <w:rFonts w:cs="Arial"/>
                <w:sz w:val="21"/>
                <w:szCs w:val="21"/>
              </w:rPr>
            </w:pPr>
            <w:r w:rsidRPr="003447F9">
              <w:rPr>
                <w:rFonts w:cs="Arial"/>
                <w:sz w:val="21"/>
                <w:szCs w:val="21"/>
              </w:rPr>
              <w:t xml:space="preserve">Je potřebné posilovat </w:t>
            </w:r>
            <w:r w:rsidR="00534284" w:rsidRPr="003447F9">
              <w:rPr>
                <w:rFonts w:cs="Arial"/>
                <w:sz w:val="21"/>
                <w:szCs w:val="21"/>
              </w:rPr>
              <w:t>mezinárodní spolupráci ve výzkumu, vývoji a</w:t>
            </w:r>
            <w:r w:rsidR="005A1247">
              <w:rPr>
                <w:rFonts w:cs="Arial"/>
                <w:sz w:val="21"/>
                <w:szCs w:val="21"/>
              </w:rPr>
              <w:t> </w:t>
            </w:r>
            <w:r w:rsidR="00534284" w:rsidRPr="003447F9">
              <w:rPr>
                <w:rFonts w:cs="Arial"/>
                <w:sz w:val="21"/>
                <w:szCs w:val="21"/>
              </w:rPr>
              <w:t>inovacích a</w:t>
            </w:r>
            <w:r w:rsidR="005A1247">
              <w:rPr>
                <w:rFonts w:cs="Arial"/>
                <w:sz w:val="21"/>
                <w:szCs w:val="21"/>
              </w:rPr>
              <w:t> </w:t>
            </w:r>
            <w:r w:rsidR="00534284" w:rsidRPr="003447F9">
              <w:rPr>
                <w:rFonts w:cs="Arial"/>
                <w:sz w:val="21"/>
                <w:szCs w:val="21"/>
              </w:rPr>
              <w:t xml:space="preserve">podporovat </w:t>
            </w:r>
            <w:r w:rsidRPr="003447F9">
              <w:rPr>
                <w:rFonts w:cs="Arial"/>
                <w:sz w:val="21"/>
                <w:szCs w:val="21"/>
              </w:rPr>
              <w:t>účast subjektů z</w:t>
            </w:r>
            <w:r w:rsidR="005A1247">
              <w:rPr>
                <w:rFonts w:cs="Arial"/>
                <w:sz w:val="21"/>
                <w:szCs w:val="21"/>
              </w:rPr>
              <w:t> </w:t>
            </w:r>
            <w:r w:rsidRPr="003447F9">
              <w:rPr>
                <w:rFonts w:cs="Arial"/>
                <w:sz w:val="21"/>
                <w:szCs w:val="21"/>
              </w:rPr>
              <w:t>ČR v</w:t>
            </w:r>
            <w:r w:rsidR="005A1247">
              <w:rPr>
                <w:rFonts w:cs="Arial"/>
                <w:sz w:val="21"/>
                <w:szCs w:val="21"/>
              </w:rPr>
              <w:t> </w:t>
            </w:r>
            <w:r w:rsidR="00534284" w:rsidRPr="003447F9">
              <w:rPr>
                <w:rFonts w:cs="Arial"/>
                <w:sz w:val="21"/>
                <w:szCs w:val="21"/>
              </w:rPr>
              <w:t xml:space="preserve">rámcových programech EU pro </w:t>
            </w:r>
            <w:r w:rsidRPr="003447F9">
              <w:rPr>
                <w:rFonts w:cs="Arial"/>
                <w:sz w:val="21"/>
                <w:szCs w:val="21"/>
              </w:rPr>
              <w:t>výzkum, vývoj a</w:t>
            </w:r>
            <w:r w:rsidR="005A1247">
              <w:rPr>
                <w:rFonts w:cs="Arial"/>
                <w:sz w:val="21"/>
                <w:szCs w:val="21"/>
              </w:rPr>
              <w:t> </w:t>
            </w:r>
            <w:r w:rsidRPr="003447F9">
              <w:rPr>
                <w:rFonts w:cs="Arial"/>
                <w:sz w:val="21"/>
                <w:szCs w:val="21"/>
              </w:rPr>
              <w:t>inovac</w:t>
            </w:r>
            <w:r w:rsidR="00534284" w:rsidRPr="003447F9">
              <w:rPr>
                <w:rFonts w:cs="Arial"/>
                <w:sz w:val="21"/>
                <w:szCs w:val="21"/>
              </w:rPr>
              <w:t>e</w:t>
            </w:r>
            <w:r w:rsidRPr="003447F9">
              <w:rPr>
                <w:rFonts w:cs="Arial"/>
                <w:sz w:val="21"/>
                <w:szCs w:val="21"/>
              </w:rPr>
              <w:t xml:space="preserve"> - Horizon 2020 a</w:t>
            </w:r>
            <w:r w:rsidR="005A1247">
              <w:rPr>
                <w:rFonts w:cs="Arial"/>
                <w:sz w:val="21"/>
                <w:szCs w:val="21"/>
              </w:rPr>
              <w:t> </w:t>
            </w:r>
            <w:r w:rsidRPr="003447F9">
              <w:rPr>
                <w:rFonts w:cs="Arial"/>
                <w:sz w:val="21"/>
                <w:szCs w:val="21"/>
              </w:rPr>
              <w:t>připravovaný Horizon Europe.</w:t>
            </w:r>
          </w:p>
          <w:p w14:paraId="5C069E5A" w14:textId="77777777" w:rsidR="001530C0" w:rsidRPr="003447F9" w:rsidRDefault="001530C0" w:rsidP="00B502A0">
            <w:pPr>
              <w:spacing w:before="20" w:after="20"/>
              <w:jc w:val="both"/>
              <w:rPr>
                <w:rFonts w:cs="Arial"/>
                <w:sz w:val="21"/>
                <w:szCs w:val="21"/>
              </w:rPr>
            </w:pPr>
            <w:r w:rsidRPr="003447F9">
              <w:rPr>
                <w:rFonts w:cs="Arial"/>
                <w:sz w:val="21"/>
                <w:szCs w:val="21"/>
              </w:rPr>
              <w:t xml:space="preserve">Pozornost by měla být věnována rovněž dalším zdrojům financování komplexních projektů, jako je </w:t>
            </w:r>
            <w:r w:rsidR="0087397C" w:rsidRPr="003447F9">
              <w:rPr>
                <w:rFonts w:cs="Arial"/>
                <w:sz w:val="21"/>
                <w:szCs w:val="21"/>
              </w:rPr>
              <w:t xml:space="preserve">např. </w:t>
            </w:r>
            <w:r w:rsidRPr="003447F9">
              <w:rPr>
                <w:rFonts w:cs="Arial"/>
                <w:sz w:val="21"/>
                <w:szCs w:val="21"/>
              </w:rPr>
              <w:t>Inovační fond.</w:t>
            </w:r>
          </w:p>
          <w:p w14:paraId="04F5BC3D" w14:textId="5649D370" w:rsidR="001530C0" w:rsidRPr="003447F9" w:rsidRDefault="001530C0" w:rsidP="00B502A0">
            <w:pPr>
              <w:spacing w:before="20" w:after="20"/>
              <w:jc w:val="both"/>
              <w:rPr>
                <w:rFonts w:cs="Arial"/>
                <w:sz w:val="21"/>
                <w:szCs w:val="21"/>
              </w:rPr>
            </w:pPr>
            <w:r w:rsidRPr="003447F9">
              <w:rPr>
                <w:rFonts w:cs="Arial"/>
                <w:sz w:val="21"/>
                <w:szCs w:val="21"/>
              </w:rPr>
              <w:t>Priority výzkumu a</w:t>
            </w:r>
            <w:r w:rsidR="005A1247">
              <w:rPr>
                <w:rFonts w:cs="Arial"/>
                <w:sz w:val="21"/>
                <w:szCs w:val="21"/>
              </w:rPr>
              <w:t> </w:t>
            </w:r>
            <w:r w:rsidRPr="003447F9">
              <w:rPr>
                <w:rFonts w:cs="Arial"/>
                <w:sz w:val="21"/>
                <w:szCs w:val="21"/>
              </w:rPr>
              <w:t>vývoje se budou i</w:t>
            </w:r>
            <w:r w:rsidR="005A1247">
              <w:rPr>
                <w:rFonts w:cs="Arial"/>
                <w:sz w:val="21"/>
                <w:szCs w:val="21"/>
              </w:rPr>
              <w:t> </w:t>
            </w:r>
            <w:r w:rsidRPr="003447F9">
              <w:rPr>
                <w:rFonts w:cs="Arial"/>
                <w:sz w:val="21"/>
                <w:szCs w:val="21"/>
              </w:rPr>
              <w:t>dle potřeb a</w:t>
            </w:r>
            <w:r w:rsidR="005A1247">
              <w:rPr>
                <w:rFonts w:cs="Arial"/>
                <w:sz w:val="21"/>
                <w:szCs w:val="21"/>
              </w:rPr>
              <w:t> </w:t>
            </w:r>
            <w:r w:rsidRPr="003447F9">
              <w:rPr>
                <w:rFonts w:cs="Arial"/>
                <w:sz w:val="21"/>
                <w:szCs w:val="21"/>
              </w:rPr>
              <w:t>trendů postupně upravovat. Mezi důležitá témata VaV patří např.:</w:t>
            </w:r>
          </w:p>
          <w:p w14:paraId="624325F5" w14:textId="0A8BBC40" w:rsidR="001530C0" w:rsidRPr="003447F9" w:rsidRDefault="001530C0" w:rsidP="00B502A0">
            <w:pPr>
              <w:spacing w:before="20" w:after="20"/>
              <w:jc w:val="both"/>
              <w:rPr>
                <w:rFonts w:cs="Arial"/>
                <w:b/>
                <w:bCs/>
                <w:sz w:val="21"/>
                <w:szCs w:val="21"/>
              </w:rPr>
            </w:pPr>
            <w:r w:rsidRPr="003447F9">
              <w:rPr>
                <w:rFonts w:cs="Arial"/>
                <w:b/>
                <w:bCs/>
                <w:sz w:val="21"/>
                <w:szCs w:val="21"/>
              </w:rPr>
              <w:t>Metan – CNG a</w:t>
            </w:r>
            <w:r w:rsidR="005A1247">
              <w:rPr>
                <w:rFonts w:cs="Arial"/>
                <w:b/>
                <w:bCs/>
                <w:sz w:val="21"/>
                <w:szCs w:val="21"/>
              </w:rPr>
              <w:t> </w:t>
            </w:r>
            <w:r w:rsidRPr="003447F9">
              <w:rPr>
                <w:rFonts w:cs="Arial"/>
                <w:b/>
                <w:bCs/>
                <w:sz w:val="21"/>
                <w:szCs w:val="21"/>
              </w:rPr>
              <w:t>LNG</w:t>
            </w:r>
          </w:p>
          <w:p w14:paraId="451411E1" w14:textId="7ADBD1E1" w:rsidR="001530C0" w:rsidRPr="003447F9" w:rsidRDefault="001530C0" w:rsidP="00B502A0">
            <w:pPr>
              <w:pStyle w:val="Bullet1"/>
              <w:spacing w:before="0" w:after="0"/>
              <w:jc w:val="both"/>
              <w:rPr>
                <w:sz w:val="21"/>
                <w:szCs w:val="21"/>
              </w:rPr>
            </w:pPr>
            <w:r w:rsidRPr="003447F9">
              <w:rPr>
                <w:sz w:val="21"/>
                <w:szCs w:val="21"/>
              </w:rPr>
              <w:t>Palivo – technologie čištění a</w:t>
            </w:r>
            <w:r w:rsidR="005A1247">
              <w:rPr>
                <w:sz w:val="21"/>
                <w:szCs w:val="21"/>
              </w:rPr>
              <w:t> </w:t>
            </w:r>
            <w:r w:rsidRPr="003447F9">
              <w:rPr>
                <w:sz w:val="21"/>
                <w:szCs w:val="21"/>
              </w:rPr>
              <w:t>sušení bioplynu na kvalitu zemního plynu a</w:t>
            </w:r>
            <w:r w:rsidR="005A1247">
              <w:rPr>
                <w:sz w:val="21"/>
                <w:szCs w:val="21"/>
              </w:rPr>
              <w:t> </w:t>
            </w:r>
            <w:r w:rsidRPr="003447F9">
              <w:rPr>
                <w:sz w:val="21"/>
                <w:szCs w:val="21"/>
              </w:rPr>
              <w:t>technologie metanizace produktů z</w:t>
            </w:r>
            <w:r w:rsidR="005A1247">
              <w:rPr>
                <w:sz w:val="21"/>
                <w:szCs w:val="21"/>
              </w:rPr>
              <w:t> </w:t>
            </w:r>
            <w:r w:rsidRPr="003447F9">
              <w:rPr>
                <w:sz w:val="21"/>
                <w:szCs w:val="21"/>
              </w:rPr>
              <w:t>biomasy nebo z</w:t>
            </w:r>
            <w:r w:rsidR="005A1247">
              <w:rPr>
                <w:sz w:val="21"/>
                <w:szCs w:val="21"/>
              </w:rPr>
              <w:t> </w:t>
            </w:r>
            <w:r w:rsidRPr="003447F9">
              <w:rPr>
                <w:sz w:val="21"/>
                <w:szCs w:val="21"/>
              </w:rPr>
              <w:t>obnovitelných zdrojů elektrické energie pro dopravní účely</w:t>
            </w:r>
          </w:p>
          <w:p w14:paraId="2DFEB177" w14:textId="2467D56D" w:rsidR="001530C0" w:rsidRPr="003447F9" w:rsidRDefault="001530C0" w:rsidP="00B502A0">
            <w:pPr>
              <w:pStyle w:val="Bullet1"/>
              <w:spacing w:before="0" w:after="0"/>
              <w:jc w:val="both"/>
              <w:rPr>
                <w:sz w:val="21"/>
                <w:szCs w:val="21"/>
              </w:rPr>
            </w:pPr>
            <w:r w:rsidRPr="003447F9">
              <w:rPr>
                <w:sz w:val="21"/>
                <w:szCs w:val="21"/>
              </w:rPr>
              <w:t>CNG vs. LNG v</w:t>
            </w:r>
            <w:r w:rsidR="005A1247">
              <w:rPr>
                <w:sz w:val="21"/>
                <w:szCs w:val="21"/>
              </w:rPr>
              <w:t> </w:t>
            </w:r>
            <w:r w:rsidRPr="003447F9">
              <w:rPr>
                <w:sz w:val="21"/>
                <w:szCs w:val="21"/>
              </w:rPr>
              <w:t>dopravě – rozvoj konceptů infrastruktury i</w:t>
            </w:r>
            <w:r w:rsidR="005A1247">
              <w:rPr>
                <w:sz w:val="21"/>
                <w:szCs w:val="21"/>
              </w:rPr>
              <w:t> </w:t>
            </w:r>
            <w:r w:rsidRPr="003447F9">
              <w:rPr>
                <w:sz w:val="21"/>
                <w:szCs w:val="21"/>
              </w:rPr>
              <w:t>vozidel z</w:t>
            </w:r>
            <w:r w:rsidR="005A1247">
              <w:rPr>
                <w:sz w:val="21"/>
                <w:szCs w:val="21"/>
              </w:rPr>
              <w:t> </w:t>
            </w:r>
            <w:r w:rsidRPr="003447F9">
              <w:rPr>
                <w:sz w:val="21"/>
                <w:szCs w:val="21"/>
              </w:rPr>
              <w:t>hlediska vozidlového úložiště paliva i</w:t>
            </w:r>
            <w:r w:rsidR="005A1247">
              <w:rPr>
                <w:sz w:val="21"/>
                <w:szCs w:val="21"/>
              </w:rPr>
              <w:t> </w:t>
            </w:r>
            <w:r w:rsidRPr="003447F9">
              <w:rPr>
                <w:sz w:val="21"/>
                <w:szCs w:val="21"/>
              </w:rPr>
              <w:t>pohonné jednotky</w:t>
            </w:r>
          </w:p>
          <w:p w14:paraId="1EEAFC12" w14:textId="77777777" w:rsidR="001530C0" w:rsidRPr="003447F9" w:rsidRDefault="001530C0" w:rsidP="00B502A0">
            <w:pPr>
              <w:pStyle w:val="Bullet1"/>
              <w:spacing w:before="0" w:after="0"/>
              <w:jc w:val="both"/>
              <w:rPr>
                <w:sz w:val="21"/>
                <w:szCs w:val="21"/>
              </w:rPr>
            </w:pPr>
            <w:r w:rsidRPr="003447F9">
              <w:rPr>
                <w:sz w:val="21"/>
                <w:szCs w:val="21"/>
              </w:rPr>
              <w:t>Zvyšování účinnosti pohonných jednotek na CNG</w:t>
            </w:r>
          </w:p>
          <w:p w14:paraId="37D51036" w14:textId="3B782FDB" w:rsidR="001530C0" w:rsidRPr="003447F9" w:rsidRDefault="001530C0" w:rsidP="00B502A0">
            <w:pPr>
              <w:spacing w:before="20" w:after="20"/>
              <w:jc w:val="both"/>
              <w:rPr>
                <w:rFonts w:cs="Arial"/>
                <w:b/>
                <w:bCs/>
                <w:sz w:val="21"/>
                <w:szCs w:val="21"/>
              </w:rPr>
            </w:pPr>
            <w:r w:rsidRPr="003447F9">
              <w:rPr>
                <w:rFonts w:cs="Arial"/>
                <w:b/>
                <w:bCs/>
                <w:sz w:val="21"/>
                <w:szCs w:val="21"/>
              </w:rPr>
              <w:t>Bateriová elektromobilita v</w:t>
            </w:r>
            <w:r w:rsidR="005A1247">
              <w:rPr>
                <w:rFonts w:cs="Arial"/>
                <w:b/>
                <w:bCs/>
                <w:sz w:val="21"/>
                <w:szCs w:val="21"/>
              </w:rPr>
              <w:t> </w:t>
            </w:r>
            <w:r w:rsidRPr="003447F9">
              <w:rPr>
                <w:rFonts w:cs="Arial"/>
                <w:b/>
                <w:bCs/>
                <w:sz w:val="21"/>
                <w:szCs w:val="21"/>
              </w:rPr>
              <w:t>kombinaci s</w:t>
            </w:r>
            <w:r w:rsidR="005A1247">
              <w:rPr>
                <w:rFonts w:cs="Arial"/>
                <w:b/>
                <w:bCs/>
                <w:sz w:val="21"/>
                <w:szCs w:val="21"/>
              </w:rPr>
              <w:t> </w:t>
            </w:r>
            <w:r w:rsidRPr="003447F9">
              <w:rPr>
                <w:rFonts w:cs="Arial"/>
                <w:b/>
                <w:bCs/>
                <w:sz w:val="21"/>
                <w:szCs w:val="21"/>
              </w:rPr>
              <w:t>dalšími zdroji energie (spalovací motory nebo závislá trakce)</w:t>
            </w:r>
          </w:p>
          <w:p w14:paraId="03DBC103" w14:textId="77777777" w:rsidR="001530C0" w:rsidRPr="003447F9" w:rsidRDefault="001530C0" w:rsidP="00B502A0">
            <w:pPr>
              <w:pStyle w:val="Bullet1"/>
              <w:spacing w:before="0" w:after="0"/>
              <w:jc w:val="both"/>
              <w:rPr>
                <w:sz w:val="21"/>
                <w:szCs w:val="21"/>
              </w:rPr>
            </w:pPr>
            <w:r w:rsidRPr="003447F9">
              <w:rPr>
                <w:sz w:val="21"/>
                <w:szCs w:val="21"/>
              </w:rPr>
              <w:t xml:space="preserve">Nové typy baterií pro elektromobilitu (kapacita, životnost, rychlost </w:t>
            </w:r>
            <w:r w:rsidR="00F14B46" w:rsidRPr="003447F9">
              <w:rPr>
                <w:sz w:val="21"/>
                <w:szCs w:val="21"/>
              </w:rPr>
              <w:t>do</w:t>
            </w:r>
            <w:r w:rsidRPr="003447F9">
              <w:rPr>
                <w:sz w:val="21"/>
                <w:szCs w:val="21"/>
              </w:rPr>
              <w:t>bíjení)</w:t>
            </w:r>
          </w:p>
          <w:p w14:paraId="208837F4" w14:textId="0320E529" w:rsidR="001530C0" w:rsidRPr="003447F9" w:rsidRDefault="001530C0" w:rsidP="00B502A0">
            <w:pPr>
              <w:pStyle w:val="Bullet1"/>
              <w:spacing w:before="0" w:after="0"/>
              <w:jc w:val="both"/>
              <w:rPr>
                <w:sz w:val="21"/>
                <w:szCs w:val="21"/>
              </w:rPr>
            </w:pPr>
            <w:r w:rsidRPr="003447F9">
              <w:rPr>
                <w:sz w:val="21"/>
                <w:szCs w:val="21"/>
              </w:rPr>
              <w:t>Nové architektury elektrifikovaných vozidel pro vyšší účinnost, dojezd, bezpečnost provozu i</w:t>
            </w:r>
            <w:r w:rsidR="005A1247">
              <w:rPr>
                <w:sz w:val="21"/>
                <w:szCs w:val="21"/>
              </w:rPr>
              <w:t> </w:t>
            </w:r>
            <w:r w:rsidRPr="003447F9">
              <w:rPr>
                <w:sz w:val="21"/>
                <w:szCs w:val="21"/>
              </w:rPr>
              <w:t>zapojení do systémů Mobility as a</w:t>
            </w:r>
            <w:r w:rsidR="005A1247">
              <w:rPr>
                <w:sz w:val="21"/>
                <w:szCs w:val="21"/>
              </w:rPr>
              <w:t> </w:t>
            </w:r>
            <w:r w:rsidRPr="003447F9">
              <w:rPr>
                <w:sz w:val="21"/>
                <w:szCs w:val="21"/>
              </w:rPr>
              <w:t>Service (MaaS) nebo Delivery as a</w:t>
            </w:r>
            <w:r w:rsidR="005A1247">
              <w:rPr>
                <w:sz w:val="21"/>
                <w:szCs w:val="21"/>
              </w:rPr>
              <w:t> </w:t>
            </w:r>
            <w:r w:rsidRPr="003447F9">
              <w:rPr>
                <w:sz w:val="21"/>
                <w:szCs w:val="21"/>
              </w:rPr>
              <w:t>Service (DaaS)</w:t>
            </w:r>
          </w:p>
          <w:p w14:paraId="24D75765" w14:textId="14D61ED4" w:rsidR="001530C0" w:rsidRPr="003447F9" w:rsidRDefault="001530C0" w:rsidP="00B502A0">
            <w:pPr>
              <w:pStyle w:val="Bullet1"/>
              <w:spacing w:before="0" w:after="0"/>
              <w:jc w:val="both"/>
              <w:rPr>
                <w:sz w:val="21"/>
                <w:szCs w:val="21"/>
              </w:rPr>
            </w:pPr>
            <w:r w:rsidRPr="003447F9">
              <w:rPr>
                <w:sz w:val="21"/>
                <w:szCs w:val="21"/>
              </w:rPr>
              <w:t>Integrace rychlých a</w:t>
            </w:r>
            <w:r w:rsidR="005A1247">
              <w:rPr>
                <w:sz w:val="21"/>
                <w:szCs w:val="21"/>
              </w:rPr>
              <w:t> </w:t>
            </w:r>
            <w:r w:rsidRPr="003447F9">
              <w:rPr>
                <w:sz w:val="21"/>
                <w:szCs w:val="21"/>
              </w:rPr>
              <w:t>ultrarychlých stanic do distribučních a</w:t>
            </w:r>
            <w:r w:rsidR="005A1247">
              <w:rPr>
                <w:sz w:val="21"/>
                <w:szCs w:val="21"/>
              </w:rPr>
              <w:t> </w:t>
            </w:r>
            <w:r w:rsidRPr="003447F9">
              <w:rPr>
                <w:sz w:val="21"/>
                <w:szCs w:val="21"/>
              </w:rPr>
              <w:t>informačních sítí</w:t>
            </w:r>
          </w:p>
          <w:p w14:paraId="744089AA" w14:textId="69A233AE" w:rsidR="001530C0" w:rsidRPr="003447F9" w:rsidRDefault="001530C0" w:rsidP="00B502A0">
            <w:pPr>
              <w:pStyle w:val="Bullet1"/>
              <w:spacing w:before="0" w:after="0"/>
              <w:jc w:val="both"/>
              <w:rPr>
                <w:sz w:val="21"/>
                <w:szCs w:val="21"/>
              </w:rPr>
            </w:pPr>
            <w:r w:rsidRPr="003447F9">
              <w:rPr>
                <w:sz w:val="21"/>
                <w:szCs w:val="21"/>
              </w:rPr>
              <w:t>Koncepty V2H (vehicle-to-home) a</w:t>
            </w:r>
            <w:r w:rsidR="005A1247">
              <w:rPr>
                <w:sz w:val="21"/>
                <w:szCs w:val="21"/>
              </w:rPr>
              <w:t> </w:t>
            </w:r>
            <w:r w:rsidRPr="003447F9">
              <w:rPr>
                <w:sz w:val="21"/>
                <w:szCs w:val="21"/>
              </w:rPr>
              <w:t>V2G (vehicle-to-grid)</w:t>
            </w:r>
          </w:p>
          <w:p w14:paraId="6AEE4600" w14:textId="7FF9BF02" w:rsidR="001530C0" w:rsidRPr="003447F9" w:rsidRDefault="001530C0" w:rsidP="00B502A0">
            <w:pPr>
              <w:pStyle w:val="Bullet1"/>
              <w:spacing w:before="0" w:after="0"/>
              <w:jc w:val="both"/>
              <w:rPr>
                <w:sz w:val="21"/>
                <w:szCs w:val="21"/>
              </w:rPr>
            </w:pPr>
            <w:r w:rsidRPr="003447F9">
              <w:rPr>
                <w:sz w:val="21"/>
                <w:szCs w:val="21"/>
              </w:rPr>
              <w:lastRenderedPageBreak/>
              <w:t>Nové systémy prediktivního řízení elektrifikovaných vozidel pro zvýšení energetické účinnosti i</w:t>
            </w:r>
            <w:r w:rsidR="005A1247">
              <w:rPr>
                <w:sz w:val="21"/>
                <w:szCs w:val="21"/>
              </w:rPr>
              <w:t> </w:t>
            </w:r>
            <w:r w:rsidRPr="003447F9">
              <w:rPr>
                <w:sz w:val="21"/>
                <w:szCs w:val="21"/>
              </w:rPr>
              <w:t>dojezdu</w:t>
            </w:r>
          </w:p>
          <w:p w14:paraId="520068F5" w14:textId="442DE8D0" w:rsidR="001530C0" w:rsidRPr="003447F9" w:rsidRDefault="001530C0" w:rsidP="00B502A0">
            <w:pPr>
              <w:pStyle w:val="Bullet1"/>
              <w:spacing w:before="0" w:after="0"/>
              <w:jc w:val="both"/>
              <w:rPr>
                <w:sz w:val="21"/>
                <w:szCs w:val="21"/>
              </w:rPr>
            </w:pPr>
            <w:r w:rsidRPr="003447F9">
              <w:rPr>
                <w:sz w:val="21"/>
                <w:szCs w:val="21"/>
              </w:rPr>
              <w:t>Rozvoj bateriové elektromobility a</w:t>
            </w:r>
            <w:r w:rsidR="005A1247">
              <w:rPr>
                <w:sz w:val="21"/>
                <w:szCs w:val="21"/>
              </w:rPr>
              <w:t> </w:t>
            </w:r>
            <w:r w:rsidRPr="003447F9">
              <w:rPr>
                <w:sz w:val="21"/>
                <w:szCs w:val="21"/>
              </w:rPr>
              <w:t>hybridních řešení pro hromadnou dopravu</w:t>
            </w:r>
          </w:p>
          <w:p w14:paraId="74C75BB0" w14:textId="09B1FCFF" w:rsidR="001530C0" w:rsidRPr="003447F9" w:rsidRDefault="001530C0" w:rsidP="00B502A0">
            <w:pPr>
              <w:pStyle w:val="Bullet1"/>
              <w:spacing w:before="0" w:after="0"/>
              <w:jc w:val="both"/>
              <w:rPr>
                <w:sz w:val="21"/>
                <w:szCs w:val="21"/>
              </w:rPr>
            </w:pPr>
            <w:r w:rsidRPr="003447F9">
              <w:rPr>
                <w:sz w:val="21"/>
                <w:szCs w:val="21"/>
              </w:rPr>
              <w:t>Projekty synergické s</w:t>
            </w:r>
            <w:r w:rsidR="005A1247">
              <w:rPr>
                <w:sz w:val="21"/>
                <w:szCs w:val="21"/>
              </w:rPr>
              <w:t> </w:t>
            </w:r>
            <w:r w:rsidRPr="003447F9">
              <w:rPr>
                <w:sz w:val="21"/>
                <w:szCs w:val="21"/>
              </w:rPr>
              <w:t>rozvojem autonomního řízení vozidel</w:t>
            </w:r>
          </w:p>
          <w:p w14:paraId="1F15633B" w14:textId="4AF30F4F" w:rsidR="001530C0" w:rsidRPr="003447F9" w:rsidRDefault="00A95AE7" w:rsidP="00B502A0">
            <w:pPr>
              <w:spacing w:before="0" w:after="0"/>
              <w:jc w:val="both"/>
              <w:rPr>
                <w:rFonts w:cs="Arial"/>
                <w:b/>
                <w:bCs/>
                <w:sz w:val="21"/>
                <w:szCs w:val="21"/>
              </w:rPr>
            </w:pPr>
            <w:r w:rsidRPr="003447F9">
              <w:rPr>
                <w:rFonts w:cs="Arial"/>
                <w:b/>
                <w:bCs/>
                <w:sz w:val="21"/>
                <w:szCs w:val="21"/>
              </w:rPr>
              <w:t>M</w:t>
            </w:r>
            <w:r w:rsidR="001530C0" w:rsidRPr="003447F9">
              <w:rPr>
                <w:rFonts w:cs="Arial"/>
                <w:b/>
                <w:bCs/>
                <w:sz w:val="21"/>
                <w:szCs w:val="21"/>
              </w:rPr>
              <w:t>obilita na bázi vodíku a</w:t>
            </w:r>
            <w:r w:rsidR="005A1247">
              <w:rPr>
                <w:rFonts w:cs="Arial"/>
                <w:b/>
                <w:bCs/>
                <w:sz w:val="21"/>
                <w:szCs w:val="21"/>
              </w:rPr>
              <w:t> </w:t>
            </w:r>
            <w:r w:rsidR="001530C0" w:rsidRPr="003447F9">
              <w:rPr>
                <w:rFonts w:cs="Arial"/>
                <w:b/>
                <w:bCs/>
                <w:sz w:val="21"/>
                <w:szCs w:val="21"/>
              </w:rPr>
              <w:t>elektromobilita s</w:t>
            </w:r>
            <w:r w:rsidR="005A1247">
              <w:rPr>
                <w:rFonts w:cs="Arial"/>
                <w:b/>
                <w:bCs/>
                <w:sz w:val="21"/>
                <w:szCs w:val="21"/>
              </w:rPr>
              <w:t> </w:t>
            </w:r>
            <w:r w:rsidR="001530C0" w:rsidRPr="003447F9">
              <w:rPr>
                <w:rFonts w:cs="Arial"/>
                <w:b/>
                <w:bCs/>
                <w:sz w:val="21"/>
                <w:szCs w:val="21"/>
              </w:rPr>
              <w:t>palivovými články</w:t>
            </w:r>
          </w:p>
          <w:p w14:paraId="128C7E51" w14:textId="77777777" w:rsidR="001530C0" w:rsidRPr="003447F9" w:rsidRDefault="001530C0" w:rsidP="00B502A0">
            <w:pPr>
              <w:spacing w:before="20" w:after="20"/>
              <w:jc w:val="both"/>
              <w:rPr>
                <w:rFonts w:cs="Arial"/>
                <w:sz w:val="21"/>
                <w:szCs w:val="21"/>
              </w:rPr>
            </w:pPr>
            <w:r w:rsidRPr="003447F9">
              <w:rPr>
                <w:rFonts w:cs="Arial"/>
                <w:sz w:val="21"/>
                <w:szCs w:val="21"/>
              </w:rPr>
              <w:t>a)</w:t>
            </w:r>
            <w:r w:rsidRPr="003447F9">
              <w:rPr>
                <w:rFonts w:cs="Arial"/>
                <w:sz w:val="21"/>
                <w:szCs w:val="21"/>
              </w:rPr>
              <w:tab/>
              <w:t>Podpora aplikovaného výzkumu</w:t>
            </w:r>
          </w:p>
          <w:p w14:paraId="32D69F86" w14:textId="1BB9FEF0" w:rsidR="001530C0" w:rsidRPr="003447F9" w:rsidRDefault="001530C0" w:rsidP="00B502A0">
            <w:pPr>
              <w:pStyle w:val="Bullet1"/>
              <w:spacing w:before="20" w:after="20"/>
              <w:jc w:val="both"/>
              <w:rPr>
                <w:sz w:val="21"/>
                <w:szCs w:val="21"/>
              </w:rPr>
            </w:pPr>
            <w:r w:rsidRPr="003447F9">
              <w:rPr>
                <w:sz w:val="21"/>
                <w:szCs w:val="21"/>
              </w:rPr>
              <w:t>udržitelné technologie výroby vodíku pro dopravní účely (např. z</w:t>
            </w:r>
            <w:r w:rsidR="005A1247">
              <w:rPr>
                <w:sz w:val="21"/>
                <w:szCs w:val="21"/>
              </w:rPr>
              <w:t> </w:t>
            </w:r>
            <w:r w:rsidRPr="003447F9">
              <w:rPr>
                <w:sz w:val="21"/>
                <w:szCs w:val="21"/>
              </w:rPr>
              <w:t>obnovitelných zdrojů) včetně využití netradičních zdrojů vodíku (zpracování alternativních paliv-odpadů s</w:t>
            </w:r>
            <w:r w:rsidR="005A1247">
              <w:rPr>
                <w:sz w:val="21"/>
                <w:szCs w:val="21"/>
              </w:rPr>
              <w:t> </w:t>
            </w:r>
            <w:r w:rsidRPr="003447F9">
              <w:rPr>
                <w:sz w:val="21"/>
                <w:szCs w:val="21"/>
              </w:rPr>
              <w:t>využitím plazmy, pyrolýzy apod.)</w:t>
            </w:r>
          </w:p>
          <w:p w14:paraId="6EB2B710" w14:textId="0495C23E" w:rsidR="001530C0" w:rsidRPr="003447F9" w:rsidRDefault="001530C0" w:rsidP="00B502A0">
            <w:pPr>
              <w:pStyle w:val="Bullet1"/>
              <w:spacing w:before="20" w:after="20"/>
              <w:jc w:val="both"/>
              <w:rPr>
                <w:sz w:val="21"/>
                <w:szCs w:val="21"/>
              </w:rPr>
            </w:pPr>
            <w:r w:rsidRPr="003447F9">
              <w:rPr>
                <w:sz w:val="21"/>
                <w:szCs w:val="21"/>
              </w:rPr>
              <w:t>pokročilé systémy pro kompresi a</w:t>
            </w:r>
            <w:r w:rsidR="005A1247">
              <w:rPr>
                <w:sz w:val="21"/>
                <w:szCs w:val="21"/>
              </w:rPr>
              <w:t> </w:t>
            </w:r>
            <w:r w:rsidRPr="003447F9">
              <w:rPr>
                <w:sz w:val="21"/>
                <w:szCs w:val="21"/>
              </w:rPr>
              <w:t>skladování vodíku a</w:t>
            </w:r>
            <w:r w:rsidR="005A1247">
              <w:rPr>
                <w:sz w:val="21"/>
                <w:szCs w:val="21"/>
              </w:rPr>
              <w:t> </w:t>
            </w:r>
            <w:r w:rsidRPr="003447F9">
              <w:rPr>
                <w:sz w:val="21"/>
                <w:szCs w:val="21"/>
              </w:rPr>
              <w:t xml:space="preserve">efektivní způsoby zásobování vodíkem (centralizované vs. decentrální řešení), vývoj možnosti náhrady části fosilního paliva vodíkem ve spalovacím motoru </w:t>
            </w:r>
          </w:p>
          <w:p w14:paraId="5925C36B" w14:textId="77777777" w:rsidR="001530C0" w:rsidRPr="003447F9" w:rsidRDefault="001530C0" w:rsidP="00B502A0">
            <w:pPr>
              <w:pStyle w:val="Bullet1"/>
              <w:spacing w:before="20" w:after="20"/>
              <w:jc w:val="both"/>
              <w:rPr>
                <w:sz w:val="21"/>
                <w:szCs w:val="21"/>
              </w:rPr>
            </w:pPr>
            <w:r w:rsidRPr="003447F9">
              <w:rPr>
                <w:sz w:val="21"/>
                <w:szCs w:val="21"/>
              </w:rPr>
              <w:t>zdokonalené palivové články pro vozidla</w:t>
            </w:r>
          </w:p>
          <w:p w14:paraId="18C6BB36" w14:textId="2D35B236" w:rsidR="001530C0" w:rsidRPr="003447F9" w:rsidRDefault="001530C0" w:rsidP="00B502A0">
            <w:pPr>
              <w:spacing w:before="20" w:after="20"/>
              <w:jc w:val="both"/>
              <w:rPr>
                <w:rFonts w:cs="Arial"/>
                <w:sz w:val="21"/>
                <w:szCs w:val="21"/>
              </w:rPr>
            </w:pPr>
            <w:r w:rsidRPr="003447F9">
              <w:rPr>
                <w:rFonts w:cs="Arial"/>
                <w:sz w:val="21"/>
                <w:szCs w:val="21"/>
              </w:rPr>
              <w:t>b)</w:t>
            </w:r>
            <w:r w:rsidRPr="003447F9">
              <w:rPr>
                <w:rFonts w:cs="Arial"/>
                <w:sz w:val="21"/>
                <w:szCs w:val="21"/>
              </w:rPr>
              <w:tab/>
              <w:t>Podpora pilotních a</w:t>
            </w:r>
            <w:r w:rsidR="005A1247">
              <w:rPr>
                <w:rFonts w:cs="Arial"/>
                <w:sz w:val="21"/>
                <w:szCs w:val="21"/>
              </w:rPr>
              <w:t> </w:t>
            </w:r>
            <w:r w:rsidRPr="003447F9">
              <w:rPr>
                <w:rFonts w:cs="Arial"/>
                <w:sz w:val="21"/>
                <w:szCs w:val="21"/>
              </w:rPr>
              <w:t>demonstračních projektů – komplexní projekty využití vodíku v</w:t>
            </w:r>
            <w:r w:rsidR="005A1247">
              <w:rPr>
                <w:rFonts w:cs="Arial"/>
                <w:sz w:val="21"/>
                <w:szCs w:val="21"/>
              </w:rPr>
              <w:t> </w:t>
            </w:r>
            <w:r w:rsidRPr="003447F9">
              <w:rPr>
                <w:rFonts w:cs="Arial"/>
                <w:sz w:val="21"/>
                <w:szCs w:val="21"/>
              </w:rPr>
              <w:t>praktickém měřítku (především vodíkové regiony)</w:t>
            </w:r>
          </w:p>
          <w:p w14:paraId="1B08CA35" w14:textId="77777777" w:rsidR="001530C0" w:rsidRPr="003447F9" w:rsidRDefault="001530C0" w:rsidP="00B502A0">
            <w:pPr>
              <w:spacing w:before="0" w:after="0"/>
              <w:jc w:val="both"/>
              <w:rPr>
                <w:rFonts w:cs="Arial"/>
                <w:sz w:val="21"/>
                <w:szCs w:val="21"/>
              </w:rPr>
            </w:pPr>
          </w:p>
          <w:p w14:paraId="3B420096" w14:textId="77777777" w:rsidR="001530C0" w:rsidRPr="003447F9" w:rsidRDefault="001530C0" w:rsidP="00B502A0">
            <w:pPr>
              <w:spacing w:before="0" w:after="0"/>
              <w:jc w:val="both"/>
              <w:rPr>
                <w:rFonts w:cs="Arial"/>
                <w:b/>
                <w:bCs/>
                <w:sz w:val="21"/>
                <w:szCs w:val="21"/>
              </w:rPr>
            </w:pPr>
            <w:r w:rsidRPr="003447F9">
              <w:rPr>
                <w:rFonts w:cs="Arial"/>
                <w:b/>
                <w:bCs/>
                <w:sz w:val="21"/>
                <w:szCs w:val="21"/>
              </w:rPr>
              <w:t>Průřezová témata</w:t>
            </w:r>
          </w:p>
          <w:p w14:paraId="6E1D5035" w14:textId="7A446086" w:rsidR="001530C0" w:rsidRPr="003447F9" w:rsidRDefault="001530C0" w:rsidP="00B502A0">
            <w:pPr>
              <w:pStyle w:val="Bullet1"/>
              <w:spacing w:before="20" w:after="20"/>
              <w:jc w:val="both"/>
              <w:rPr>
                <w:sz w:val="21"/>
                <w:szCs w:val="21"/>
              </w:rPr>
            </w:pPr>
            <w:r w:rsidRPr="003447F9">
              <w:rPr>
                <w:sz w:val="21"/>
                <w:szCs w:val="21"/>
              </w:rPr>
              <w:t>Analýzy životního cyklu (Life Cycle Analysis) technologických směrů v</w:t>
            </w:r>
            <w:r w:rsidR="005A1247">
              <w:rPr>
                <w:sz w:val="21"/>
                <w:szCs w:val="21"/>
              </w:rPr>
              <w:t> </w:t>
            </w:r>
            <w:r w:rsidRPr="003447F9">
              <w:rPr>
                <w:sz w:val="21"/>
                <w:szCs w:val="21"/>
              </w:rPr>
              <w:t>čisté mobilitě</w:t>
            </w:r>
          </w:p>
          <w:p w14:paraId="759AF9A9" w14:textId="4E607623" w:rsidR="001530C0" w:rsidRPr="003447F9" w:rsidRDefault="001530C0" w:rsidP="00B502A0">
            <w:pPr>
              <w:pStyle w:val="Bullet1"/>
              <w:spacing w:before="20" w:after="20"/>
              <w:jc w:val="both"/>
              <w:rPr>
                <w:sz w:val="21"/>
                <w:szCs w:val="21"/>
              </w:rPr>
            </w:pPr>
            <w:r w:rsidRPr="003447F9">
              <w:rPr>
                <w:sz w:val="21"/>
                <w:szCs w:val="21"/>
              </w:rPr>
              <w:t>Využití konektivity vozidel ke sběru provozních dat a</w:t>
            </w:r>
            <w:r w:rsidR="005A1247">
              <w:rPr>
                <w:sz w:val="21"/>
                <w:szCs w:val="21"/>
              </w:rPr>
              <w:t> </w:t>
            </w:r>
            <w:r w:rsidRPr="003447F9">
              <w:rPr>
                <w:sz w:val="21"/>
                <w:szCs w:val="21"/>
              </w:rPr>
              <w:t>návrhům optimálního řízení vozidla po optimalizované trase mezi daným cílem a</w:t>
            </w:r>
            <w:r w:rsidR="005A1247">
              <w:rPr>
                <w:sz w:val="21"/>
                <w:szCs w:val="21"/>
              </w:rPr>
              <w:t> </w:t>
            </w:r>
            <w:r w:rsidRPr="003447F9">
              <w:rPr>
                <w:sz w:val="21"/>
                <w:szCs w:val="21"/>
              </w:rPr>
              <w:t>výchozím stanovištěm</w:t>
            </w:r>
          </w:p>
          <w:p w14:paraId="5568C4B3" w14:textId="6BA6912D" w:rsidR="001530C0" w:rsidRPr="003447F9" w:rsidRDefault="001530C0" w:rsidP="00B502A0">
            <w:pPr>
              <w:pStyle w:val="Bullet1"/>
              <w:spacing w:before="20" w:after="20"/>
              <w:jc w:val="both"/>
              <w:rPr>
                <w:sz w:val="21"/>
                <w:szCs w:val="21"/>
              </w:rPr>
            </w:pPr>
            <w:r w:rsidRPr="003447F9">
              <w:rPr>
                <w:sz w:val="21"/>
                <w:szCs w:val="21"/>
              </w:rPr>
              <w:t>Vývoj business modelů pro přechod od podpor k</w:t>
            </w:r>
            <w:r w:rsidR="005A1247">
              <w:rPr>
                <w:sz w:val="21"/>
                <w:szCs w:val="21"/>
              </w:rPr>
              <w:t> </w:t>
            </w:r>
            <w:r w:rsidRPr="003447F9">
              <w:rPr>
                <w:sz w:val="21"/>
                <w:szCs w:val="21"/>
              </w:rPr>
              <w:t>ekonomické životaschopnosti</w:t>
            </w:r>
          </w:p>
          <w:p w14:paraId="2F4EEE0E" w14:textId="7A0F5307" w:rsidR="001530C0" w:rsidRPr="003447F9" w:rsidRDefault="001530C0" w:rsidP="00B502A0">
            <w:pPr>
              <w:pStyle w:val="Bullet1"/>
              <w:spacing w:before="20" w:after="20"/>
              <w:jc w:val="both"/>
              <w:rPr>
                <w:sz w:val="21"/>
                <w:szCs w:val="21"/>
              </w:rPr>
            </w:pPr>
            <w:r w:rsidRPr="003447F9">
              <w:rPr>
                <w:sz w:val="21"/>
                <w:szCs w:val="21"/>
              </w:rPr>
              <w:t>Postupy X</w:t>
            </w:r>
            <w:r w:rsidR="005A1247">
              <w:rPr>
                <w:sz w:val="21"/>
                <w:szCs w:val="21"/>
              </w:rPr>
              <w:t> </w:t>
            </w:r>
            <w:r w:rsidRPr="003447F9">
              <w:rPr>
                <w:sz w:val="21"/>
                <w:szCs w:val="21"/>
              </w:rPr>
              <w:t>4.0 pro konceptuální návrh, konstrukční optimalizaci, provozní optimalizaci (dobíjení, doplňování zásob paliva, maximalizace účinnosti a</w:t>
            </w:r>
            <w:r w:rsidR="005A1247">
              <w:rPr>
                <w:sz w:val="21"/>
                <w:szCs w:val="21"/>
              </w:rPr>
              <w:t> </w:t>
            </w:r>
            <w:r w:rsidRPr="003447F9">
              <w:rPr>
                <w:sz w:val="21"/>
                <w:szCs w:val="21"/>
              </w:rPr>
              <w:t>dojezdu), preventivní i</w:t>
            </w:r>
            <w:r w:rsidR="005A1247">
              <w:rPr>
                <w:sz w:val="21"/>
                <w:szCs w:val="21"/>
              </w:rPr>
              <w:t> </w:t>
            </w:r>
            <w:r w:rsidRPr="003447F9">
              <w:rPr>
                <w:sz w:val="21"/>
                <w:szCs w:val="21"/>
              </w:rPr>
              <w:t>údržbu a</w:t>
            </w:r>
            <w:r w:rsidR="005A1247">
              <w:rPr>
                <w:sz w:val="21"/>
                <w:szCs w:val="21"/>
              </w:rPr>
              <w:t> </w:t>
            </w:r>
            <w:r w:rsidRPr="003447F9">
              <w:rPr>
                <w:sz w:val="21"/>
                <w:szCs w:val="21"/>
              </w:rPr>
              <w:t>recyklaci vozidel s</w:t>
            </w:r>
            <w:r w:rsidR="005A1247">
              <w:rPr>
                <w:sz w:val="21"/>
                <w:szCs w:val="21"/>
              </w:rPr>
              <w:t> </w:t>
            </w:r>
            <w:r w:rsidRPr="003447F9">
              <w:rPr>
                <w:sz w:val="21"/>
                <w:szCs w:val="21"/>
              </w:rPr>
              <w:t>bateriemi nebo palivovými články za účelem snížení TCO a</w:t>
            </w:r>
            <w:r w:rsidR="005A1247">
              <w:rPr>
                <w:sz w:val="21"/>
                <w:szCs w:val="21"/>
              </w:rPr>
              <w:t> </w:t>
            </w:r>
            <w:r w:rsidRPr="003447F9">
              <w:rPr>
                <w:sz w:val="21"/>
                <w:szCs w:val="21"/>
              </w:rPr>
              <w:t>maximalizaci uživatelského komfortu</w:t>
            </w:r>
          </w:p>
          <w:p w14:paraId="020F5F90" w14:textId="19B108D2" w:rsidR="001530C0" w:rsidRPr="003447F9" w:rsidRDefault="001530C0" w:rsidP="00B502A0">
            <w:pPr>
              <w:pStyle w:val="Bullet1"/>
              <w:spacing w:before="20" w:after="20"/>
              <w:jc w:val="both"/>
              <w:rPr>
                <w:sz w:val="21"/>
                <w:szCs w:val="21"/>
              </w:rPr>
            </w:pPr>
            <w:r w:rsidRPr="003447F9">
              <w:rPr>
                <w:sz w:val="21"/>
                <w:szCs w:val="21"/>
              </w:rPr>
              <w:t>Projekty synergické s</w:t>
            </w:r>
            <w:r w:rsidR="005A1247">
              <w:rPr>
                <w:sz w:val="21"/>
                <w:szCs w:val="21"/>
              </w:rPr>
              <w:t> </w:t>
            </w:r>
            <w:r w:rsidRPr="003447F9">
              <w:rPr>
                <w:sz w:val="21"/>
                <w:szCs w:val="21"/>
              </w:rPr>
              <w:t>rozvojem inteligentních sítí (smart grids)</w:t>
            </w:r>
          </w:p>
          <w:p w14:paraId="22D1CDF0" w14:textId="1645E970" w:rsidR="001530C0" w:rsidRPr="003A7A2B" w:rsidRDefault="001530C0" w:rsidP="005A1247">
            <w:pPr>
              <w:pStyle w:val="Bullet1"/>
              <w:spacing w:before="20" w:after="20"/>
              <w:jc w:val="both"/>
            </w:pPr>
            <w:r w:rsidRPr="003447F9">
              <w:rPr>
                <w:sz w:val="21"/>
                <w:szCs w:val="21"/>
              </w:rPr>
              <w:t>Podpůrný výzkum pro přípravu legislativy a</w:t>
            </w:r>
            <w:r w:rsidR="005A1247">
              <w:rPr>
                <w:sz w:val="21"/>
                <w:szCs w:val="21"/>
              </w:rPr>
              <w:t> </w:t>
            </w:r>
            <w:r w:rsidRPr="003447F9">
              <w:rPr>
                <w:sz w:val="21"/>
                <w:szCs w:val="21"/>
              </w:rPr>
              <w:t>technické normalizace – např. příprava podkladů pro hasičský záchranný sbor, úprava stavebních předpisů pro parkování, servis a</w:t>
            </w:r>
            <w:r w:rsidR="005A1247">
              <w:rPr>
                <w:sz w:val="21"/>
                <w:szCs w:val="21"/>
              </w:rPr>
              <w:t> </w:t>
            </w:r>
            <w:r w:rsidRPr="003447F9">
              <w:rPr>
                <w:sz w:val="21"/>
                <w:szCs w:val="21"/>
              </w:rPr>
              <w:t>STK</w:t>
            </w:r>
          </w:p>
        </w:tc>
      </w:tr>
      <w:tr w:rsidR="000D31C9" w:rsidRPr="003A7A2B" w14:paraId="7946758A" w14:textId="77777777" w:rsidTr="00D005FA">
        <w:tc>
          <w:tcPr>
            <w:tcW w:w="1984" w:type="dxa"/>
            <w:tcBorders>
              <w:left w:val="single" w:sz="12" w:space="0" w:color="auto"/>
              <w:right w:val="single" w:sz="12" w:space="0" w:color="auto"/>
            </w:tcBorders>
          </w:tcPr>
          <w:p w14:paraId="65875DE2"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lastRenderedPageBreak/>
              <w:t>Rozpočtový dopad / financování</w:t>
            </w:r>
          </w:p>
        </w:tc>
        <w:tc>
          <w:tcPr>
            <w:tcW w:w="7357" w:type="dxa"/>
            <w:tcBorders>
              <w:left w:val="single" w:sz="12" w:space="0" w:color="auto"/>
              <w:right w:val="single" w:sz="12" w:space="0" w:color="auto"/>
            </w:tcBorders>
          </w:tcPr>
          <w:p w14:paraId="1529A25D" w14:textId="1DF8D91C" w:rsidR="001530C0" w:rsidRPr="003A7A2B" w:rsidRDefault="001530C0" w:rsidP="005A1247">
            <w:pPr>
              <w:pStyle w:val="Normln10"/>
              <w:spacing w:before="20" w:after="20" w:line="240" w:lineRule="auto"/>
              <w:rPr>
                <w:rFonts w:cs="Arial"/>
                <w:sz w:val="22"/>
                <w:szCs w:val="22"/>
              </w:rPr>
            </w:pPr>
            <w:r w:rsidRPr="00E24F3C">
              <w:rPr>
                <w:rFonts w:cs="Arial"/>
                <w:sz w:val="22"/>
                <w:szCs w:val="22"/>
              </w:rPr>
              <w:t>Alokace určená pro konkrétní veřejné soutěže ve výzkumu, vývoji a</w:t>
            </w:r>
            <w:r w:rsidR="005A1247">
              <w:rPr>
                <w:rFonts w:cs="Arial"/>
                <w:sz w:val="22"/>
                <w:szCs w:val="22"/>
              </w:rPr>
              <w:t> </w:t>
            </w:r>
            <w:r w:rsidRPr="00E24F3C">
              <w:rPr>
                <w:rFonts w:cs="Arial"/>
                <w:sz w:val="22"/>
                <w:szCs w:val="22"/>
              </w:rPr>
              <w:t xml:space="preserve">inovacích vyhlašované poskytovateli </w:t>
            </w:r>
            <w:r>
              <w:rPr>
                <w:rFonts w:cs="Arial"/>
                <w:sz w:val="22"/>
                <w:szCs w:val="22"/>
              </w:rPr>
              <w:t>veřejné podpory</w:t>
            </w:r>
            <w:r w:rsidRPr="00E24F3C">
              <w:rPr>
                <w:rFonts w:cs="Arial"/>
                <w:sz w:val="22"/>
                <w:szCs w:val="22"/>
              </w:rPr>
              <w:t xml:space="preserve"> v</w:t>
            </w:r>
            <w:r w:rsidR="005A1247">
              <w:rPr>
                <w:rFonts w:cs="Arial"/>
                <w:sz w:val="22"/>
                <w:szCs w:val="22"/>
              </w:rPr>
              <w:t> </w:t>
            </w:r>
            <w:r w:rsidRPr="00E24F3C">
              <w:rPr>
                <w:rFonts w:cs="Arial"/>
                <w:sz w:val="22"/>
                <w:szCs w:val="22"/>
              </w:rPr>
              <w:t>rámci jejich programů</w:t>
            </w:r>
          </w:p>
        </w:tc>
      </w:tr>
      <w:tr w:rsidR="000D31C9" w:rsidRPr="003A7A2B" w14:paraId="54F1A0E5" w14:textId="77777777" w:rsidTr="00D005FA">
        <w:tc>
          <w:tcPr>
            <w:tcW w:w="1984" w:type="dxa"/>
            <w:tcBorders>
              <w:left w:val="single" w:sz="12" w:space="0" w:color="auto"/>
              <w:right w:val="single" w:sz="12" w:space="0" w:color="auto"/>
            </w:tcBorders>
          </w:tcPr>
          <w:p w14:paraId="1F183256"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Odpovědnost</w:t>
            </w:r>
          </w:p>
        </w:tc>
        <w:tc>
          <w:tcPr>
            <w:tcW w:w="7357" w:type="dxa"/>
            <w:tcBorders>
              <w:left w:val="single" w:sz="12" w:space="0" w:color="auto"/>
              <w:right w:val="single" w:sz="12" w:space="0" w:color="auto"/>
            </w:tcBorders>
          </w:tcPr>
          <w:p w14:paraId="7E4FC2D0" w14:textId="5F688E0C" w:rsidR="001530C0" w:rsidRPr="003A7A2B" w:rsidRDefault="001530C0" w:rsidP="00B502A0">
            <w:pPr>
              <w:pStyle w:val="Normln10"/>
              <w:spacing w:before="20" w:after="20" w:line="240" w:lineRule="auto"/>
              <w:rPr>
                <w:rFonts w:cs="Arial"/>
                <w:sz w:val="22"/>
                <w:szCs w:val="22"/>
              </w:rPr>
            </w:pPr>
            <w:r w:rsidRPr="003A7A2B">
              <w:rPr>
                <w:rFonts w:cs="Arial"/>
                <w:sz w:val="22"/>
                <w:szCs w:val="22"/>
              </w:rPr>
              <w:t>MPO,</w:t>
            </w:r>
            <w:r>
              <w:rPr>
                <w:rFonts w:cs="Arial"/>
                <w:sz w:val="22"/>
                <w:szCs w:val="22"/>
              </w:rPr>
              <w:t xml:space="preserve"> MD, MŽP, MŠMT</w:t>
            </w:r>
          </w:p>
        </w:tc>
      </w:tr>
      <w:tr w:rsidR="000D31C9" w:rsidRPr="003A7A2B" w14:paraId="1F1F0F08" w14:textId="77777777" w:rsidTr="00D005FA">
        <w:tc>
          <w:tcPr>
            <w:tcW w:w="1984" w:type="dxa"/>
            <w:tcBorders>
              <w:top w:val="single" w:sz="4" w:space="0" w:color="auto"/>
              <w:left w:val="single" w:sz="12" w:space="0" w:color="auto"/>
              <w:bottom w:val="single" w:sz="4" w:space="0" w:color="auto"/>
              <w:right w:val="single" w:sz="12" w:space="0" w:color="auto"/>
            </w:tcBorders>
          </w:tcPr>
          <w:p w14:paraId="54B64A6E"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Spolupráce</w:t>
            </w:r>
          </w:p>
        </w:tc>
        <w:tc>
          <w:tcPr>
            <w:tcW w:w="7357" w:type="dxa"/>
            <w:tcBorders>
              <w:top w:val="single" w:sz="4" w:space="0" w:color="auto"/>
              <w:left w:val="single" w:sz="12" w:space="0" w:color="auto"/>
              <w:bottom w:val="single" w:sz="4" w:space="0" w:color="auto"/>
              <w:right w:val="single" w:sz="12" w:space="0" w:color="auto"/>
            </w:tcBorders>
          </w:tcPr>
          <w:p w14:paraId="7052449C" w14:textId="4E8A7B7C" w:rsidR="001530C0" w:rsidRPr="003A7A2B" w:rsidRDefault="003563E6" w:rsidP="00B502A0">
            <w:pPr>
              <w:pStyle w:val="Normln10"/>
              <w:spacing w:before="20" w:after="20" w:line="240" w:lineRule="auto"/>
              <w:rPr>
                <w:rFonts w:cs="Arial"/>
                <w:sz w:val="22"/>
                <w:szCs w:val="22"/>
              </w:rPr>
            </w:pPr>
            <w:r w:rsidRPr="003A7A2B">
              <w:rPr>
                <w:rFonts w:cs="Arial"/>
                <w:sz w:val="22"/>
                <w:szCs w:val="22"/>
              </w:rPr>
              <w:t>TA</w:t>
            </w:r>
            <w:r>
              <w:rPr>
                <w:rFonts w:cs="Arial"/>
                <w:sz w:val="22"/>
                <w:szCs w:val="22"/>
              </w:rPr>
              <w:t xml:space="preserve"> </w:t>
            </w:r>
            <w:r w:rsidRPr="003A7A2B">
              <w:rPr>
                <w:rFonts w:cs="Arial"/>
                <w:sz w:val="22"/>
                <w:szCs w:val="22"/>
              </w:rPr>
              <w:t>ČR</w:t>
            </w:r>
            <w:r>
              <w:rPr>
                <w:rFonts w:cs="Arial"/>
                <w:sz w:val="22"/>
                <w:szCs w:val="22"/>
              </w:rPr>
              <w:t xml:space="preserve">, </w:t>
            </w:r>
            <w:r w:rsidR="001530C0">
              <w:rPr>
                <w:rFonts w:cs="Arial"/>
                <w:sz w:val="22"/>
                <w:szCs w:val="22"/>
              </w:rPr>
              <w:t>API, ÚV</w:t>
            </w:r>
            <w:r w:rsidR="00534284">
              <w:rPr>
                <w:rFonts w:cs="Arial"/>
                <w:sz w:val="22"/>
                <w:szCs w:val="22"/>
              </w:rPr>
              <w:t xml:space="preserve"> (RVVI)</w:t>
            </w:r>
          </w:p>
        </w:tc>
      </w:tr>
      <w:tr w:rsidR="000D31C9" w:rsidRPr="003A7A2B" w14:paraId="14652AFF" w14:textId="77777777" w:rsidTr="00D005FA">
        <w:tc>
          <w:tcPr>
            <w:tcW w:w="1984" w:type="dxa"/>
            <w:tcBorders>
              <w:top w:val="single" w:sz="4" w:space="0" w:color="auto"/>
              <w:left w:val="single" w:sz="12" w:space="0" w:color="auto"/>
              <w:bottom w:val="single" w:sz="12" w:space="0" w:color="auto"/>
              <w:right w:val="single" w:sz="12" w:space="0" w:color="auto"/>
            </w:tcBorders>
          </w:tcPr>
          <w:p w14:paraId="05907137" w14:textId="77777777" w:rsidR="001530C0" w:rsidRPr="003A7A2B" w:rsidRDefault="001530C0" w:rsidP="00B502A0">
            <w:pPr>
              <w:pStyle w:val="Normln10"/>
              <w:spacing w:before="20" w:line="240" w:lineRule="auto"/>
              <w:rPr>
                <w:rFonts w:cs="Arial"/>
                <w:sz w:val="22"/>
                <w:szCs w:val="22"/>
              </w:rPr>
            </w:pPr>
            <w:r w:rsidRPr="003A7A2B">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tcPr>
          <w:p w14:paraId="1153ED27" w14:textId="77777777" w:rsidR="001530C0" w:rsidRDefault="001530C0" w:rsidP="00B502A0">
            <w:pPr>
              <w:pStyle w:val="Normln10"/>
              <w:spacing w:before="20" w:after="20" w:line="240" w:lineRule="auto"/>
              <w:rPr>
                <w:rFonts w:cs="Arial"/>
                <w:sz w:val="22"/>
                <w:szCs w:val="22"/>
              </w:rPr>
            </w:pPr>
            <w:r>
              <w:rPr>
                <w:rFonts w:cs="Arial"/>
                <w:sz w:val="22"/>
                <w:szCs w:val="22"/>
              </w:rPr>
              <w:t>Aktualizovaná Národní RIS3 strategie – do konce r. 2020</w:t>
            </w:r>
          </w:p>
          <w:p w14:paraId="5BBD9E0C" w14:textId="1C25C9BA" w:rsidR="001530C0" w:rsidRPr="003A7A2B" w:rsidRDefault="001530C0" w:rsidP="005A1247">
            <w:pPr>
              <w:pStyle w:val="Normln10"/>
              <w:spacing w:before="20" w:after="20" w:line="240" w:lineRule="auto"/>
              <w:rPr>
                <w:rFonts w:cs="Arial"/>
                <w:sz w:val="22"/>
                <w:szCs w:val="22"/>
              </w:rPr>
            </w:pPr>
            <w:r>
              <w:rPr>
                <w:rFonts w:cs="Arial"/>
                <w:sz w:val="22"/>
                <w:szCs w:val="22"/>
              </w:rPr>
              <w:t>Vypisování výzev v</w:t>
            </w:r>
            <w:r w:rsidR="005A1247">
              <w:rPr>
                <w:rFonts w:cs="Arial"/>
                <w:sz w:val="22"/>
                <w:szCs w:val="22"/>
              </w:rPr>
              <w:t> </w:t>
            </w:r>
            <w:r>
              <w:rPr>
                <w:rFonts w:cs="Arial"/>
                <w:sz w:val="22"/>
                <w:szCs w:val="22"/>
              </w:rPr>
              <w:t>programech VaVaI - průběžně</w:t>
            </w:r>
          </w:p>
        </w:tc>
      </w:tr>
    </w:tbl>
    <w:p w14:paraId="082F3D0D" w14:textId="77777777" w:rsidR="001530C0" w:rsidRDefault="001530C0" w:rsidP="009A3B7E">
      <w:pPr>
        <w:spacing w:before="0" w:after="0"/>
        <w:jc w:val="both"/>
      </w:pPr>
      <w:r>
        <w:br w:type="page"/>
      </w:r>
    </w:p>
    <w:p w14:paraId="7BD1C1C4" w14:textId="587B06F8" w:rsidR="00413546" w:rsidRDefault="001530C0" w:rsidP="00413546">
      <w:pPr>
        <w:pStyle w:val="Nadpis3"/>
        <w:jc w:val="both"/>
      </w:pPr>
      <w:bookmarkStart w:id="123" w:name="_Toc21589186"/>
      <w:r>
        <w:lastRenderedPageBreak/>
        <w:t>S2</w:t>
      </w:r>
      <w:r w:rsidR="00413546">
        <w:t>5</w:t>
      </w:r>
      <w:r>
        <w:t xml:space="preserve"> </w:t>
      </w:r>
      <w:r w:rsidR="00413546" w:rsidRPr="00655A08">
        <w:t>Vytvoření příznivého podnikatelského prostředí v</w:t>
      </w:r>
      <w:r w:rsidR="005A1247">
        <w:t> </w:t>
      </w:r>
      <w:r w:rsidR="00413546" w:rsidRPr="00655A08">
        <w:t>oblasti výroby baterií v</w:t>
      </w:r>
      <w:r w:rsidR="005A1247">
        <w:t> </w:t>
      </w:r>
      <w:r w:rsidR="00413546" w:rsidRPr="00655A08">
        <w:t>České republice</w:t>
      </w:r>
    </w:p>
    <w:tbl>
      <w:tblPr>
        <w:tblpPr w:leftFromText="142" w:rightFromText="142" w:vertAnchor="text" w:horzAnchor="margin" w:tblpY="28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499"/>
      </w:tblGrid>
      <w:tr w:rsidR="00413546" w:rsidRPr="003A7A2B" w14:paraId="52A397BD" w14:textId="77777777" w:rsidTr="005A1247">
        <w:tc>
          <w:tcPr>
            <w:tcW w:w="9483" w:type="dxa"/>
            <w:gridSpan w:val="2"/>
            <w:tcBorders>
              <w:top w:val="single" w:sz="12" w:space="0" w:color="auto"/>
              <w:left w:val="single" w:sz="12" w:space="0" w:color="auto"/>
              <w:bottom w:val="single" w:sz="12" w:space="0" w:color="auto"/>
              <w:right w:val="single" w:sz="12" w:space="0" w:color="auto"/>
            </w:tcBorders>
            <w:shd w:val="clear" w:color="auto" w:fill="548DD4"/>
          </w:tcPr>
          <w:p w14:paraId="3903676D" w14:textId="1862C789" w:rsidR="00413546" w:rsidRPr="003A7A2B" w:rsidRDefault="00413546" w:rsidP="005A1247">
            <w:pPr>
              <w:spacing w:before="60" w:after="60"/>
              <w:jc w:val="both"/>
              <w:rPr>
                <w:rFonts w:cs="Arial"/>
                <w:b/>
                <w:color w:val="FFFFFF" w:themeColor="background1"/>
              </w:rPr>
            </w:pPr>
            <w:r>
              <w:rPr>
                <w:rFonts w:cs="Arial"/>
                <w:b/>
                <w:color w:val="FFFFFF" w:themeColor="background1"/>
              </w:rPr>
              <w:t>S25 Vytvoření příznivého podnikatelského prostředí v</w:t>
            </w:r>
            <w:r w:rsidR="005A1247">
              <w:rPr>
                <w:rFonts w:cs="Arial"/>
                <w:b/>
                <w:color w:val="FFFFFF" w:themeColor="background1"/>
              </w:rPr>
              <w:t> </w:t>
            </w:r>
            <w:r>
              <w:rPr>
                <w:rFonts w:cs="Arial"/>
                <w:b/>
                <w:color w:val="FFFFFF" w:themeColor="background1"/>
              </w:rPr>
              <w:t>oblasti výroby baterií v</w:t>
            </w:r>
            <w:r w:rsidR="005A1247">
              <w:rPr>
                <w:rFonts w:cs="Arial"/>
                <w:b/>
                <w:color w:val="FFFFFF" w:themeColor="background1"/>
              </w:rPr>
              <w:t> </w:t>
            </w:r>
            <w:r>
              <w:rPr>
                <w:rFonts w:cs="Arial"/>
                <w:b/>
                <w:color w:val="FFFFFF" w:themeColor="background1"/>
              </w:rPr>
              <w:t>České republice</w:t>
            </w:r>
          </w:p>
        </w:tc>
      </w:tr>
      <w:tr w:rsidR="00413546" w:rsidRPr="003A7A2B" w14:paraId="579B787D" w14:textId="77777777" w:rsidTr="005A1247">
        <w:tc>
          <w:tcPr>
            <w:tcW w:w="1984" w:type="dxa"/>
            <w:tcBorders>
              <w:top w:val="single" w:sz="12" w:space="0" w:color="auto"/>
              <w:left w:val="single" w:sz="12" w:space="0" w:color="auto"/>
              <w:right w:val="single" w:sz="12" w:space="0" w:color="auto"/>
            </w:tcBorders>
          </w:tcPr>
          <w:p w14:paraId="69011103" w14:textId="77777777" w:rsidR="00413546" w:rsidRPr="003A7A2B" w:rsidRDefault="00413546" w:rsidP="005A1247">
            <w:pPr>
              <w:pStyle w:val="Normln10"/>
              <w:rPr>
                <w:rFonts w:cs="Arial"/>
                <w:sz w:val="22"/>
                <w:szCs w:val="22"/>
              </w:rPr>
            </w:pPr>
            <w:r w:rsidRPr="003A7A2B">
              <w:rPr>
                <w:rFonts w:cs="Arial"/>
                <w:sz w:val="22"/>
                <w:szCs w:val="22"/>
              </w:rPr>
              <w:t>Návaznost na strategický cíl</w:t>
            </w:r>
          </w:p>
        </w:tc>
        <w:tc>
          <w:tcPr>
            <w:tcW w:w="7499" w:type="dxa"/>
            <w:tcBorders>
              <w:top w:val="single" w:sz="12" w:space="0" w:color="auto"/>
              <w:left w:val="single" w:sz="12" w:space="0" w:color="auto"/>
              <w:right w:val="single" w:sz="12" w:space="0" w:color="auto"/>
            </w:tcBorders>
          </w:tcPr>
          <w:p w14:paraId="68F69ABF" w14:textId="1F7C1978" w:rsidR="00413546" w:rsidRPr="003A7A2B" w:rsidRDefault="00413546" w:rsidP="005A1247">
            <w:pPr>
              <w:pStyle w:val="Normln10"/>
              <w:spacing w:before="60" w:line="240" w:lineRule="auto"/>
              <w:rPr>
                <w:rFonts w:cs="Arial"/>
                <w:sz w:val="22"/>
                <w:szCs w:val="22"/>
              </w:rPr>
            </w:pPr>
            <w:r w:rsidRPr="00FA7208">
              <w:rPr>
                <w:rFonts w:cs="Arial"/>
                <w:sz w:val="22"/>
                <w:szCs w:val="22"/>
              </w:rPr>
              <w:t>Vytváření rámce pro výzkum a</w:t>
            </w:r>
            <w:r w:rsidR="005A1247">
              <w:rPr>
                <w:rFonts w:cs="Arial"/>
                <w:sz w:val="22"/>
                <w:szCs w:val="22"/>
              </w:rPr>
              <w:t> </w:t>
            </w:r>
            <w:r w:rsidRPr="00FA7208">
              <w:rPr>
                <w:rFonts w:cs="Arial"/>
                <w:sz w:val="22"/>
                <w:szCs w:val="22"/>
              </w:rPr>
              <w:t>vývoj v</w:t>
            </w:r>
            <w:r w:rsidR="005A1247">
              <w:rPr>
                <w:rFonts w:cs="Arial"/>
                <w:sz w:val="22"/>
                <w:szCs w:val="22"/>
              </w:rPr>
              <w:t> </w:t>
            </w:r>
            <w:r w:rsidRPr="00FA7208">
              <w:rPr>
                <w:rFonts w:cs="Arial"/>
                <w:sz w:val="22"/>
                <w:szCs w:val="22"/>
              </w:rPr>
              <w:t>oblasti elektromobility</w:t>
            </w:r>
            <w:r>
              <w:rPr>
                <w:rFonts w:cs="Arial"/>
                <w:sz w:val="22"/>
                <w:szCs w:val="22"/>
              </w:rPr>
              <w:t xml:space="preserve"> (kap. 2.4.4.)</w:t>
            </w:r>
          </w:p>
        </w:tc>
      </w:tr>
      <w:tr w:rsidR="00413546" w:rsidRPr="003A7A2B" w14:paraId="588D17A0" w14:textId="77777777" w:rsidTr="005A1247">
        <w:tc>
          <w:tcPr>
            <w:tcW w:w="1984" w:type="dxa"/>
            <w:tcBorders>
              <w:top w:val="single" w:sz="4" w:space="0" w:color="auto"/>
              <w:left w:val="single" w:sz="12" w:space="0" w:color="auto"/>
              <w:right w:val="single" w:sz="12" w:space="0" w:color="auto"/>
            </w:tcBorders>
          </w:tcPr>
          <w:p w14:paraId="026A2ADB" w14:textId="77777777" w:rsidR="00413546" w:rsidRPr="003A7A2B" w:rsidRDefault="00413546" w:rsidP="005A1247">
            <w:pPr>
              <w:pStyle w:val="Normln10"/>
              <w:rPr>
                <w:rFonts w:cs="Arial"/>
                <w:sz w:val="22"/>
                <w:szCs w:val="22"/>
              </w:rPr>
            </w:pPr>
            <w:r w:rsidRPr="003A7A2B">
              <w:rPr>
                <w:rFonts w:cs="Arial"/>
                <w:sz w:val="22"/>
                <w:szCs w:val="22"/>
              </w:rPr>
              <w:t>Cíl opatření</w:t>
            </w:r>
          </w:p>
        </w:tc>
        <w:tc>
          <w:tcPr>
            <w:tcW w:w="7499" w:type="dxa"/>
            <w:tcBorders>
              <w:top w:val="single" w:sz="4" w:space="0" w:color="auto"/>
              <w:left w:val="single" w:sz="12" w:space="0" w:color="auto"/>
              <w:right w:val="single" w:sz="12" w:space="0" w:color="auto"/>
            </w:tcBorders>
          </w:tcPr>
          <w:p w14:paraId="3DFAC610" w14:textId="77777777" w:rsidR="00413546" w:rsidRPr="003A7A2B" w:rsidRDefault="00413546" w:rsidP="005A1247">
            <w:pPr>
              <w:pStyle w:val="Normln10"/>
              <w:spacing w:before="60" w:line="240" w:lineRule="auto"/>
              <w:rPr>
                <w:rFonts w:cs="Arial"/>
                <w:sz w:val="22"/>
                <w:szCs w:val="22"/>
              </w:rPr>
            </w:pPr>
            <w:r>
              <w:rPr>
                <w:rFonts w:cs="Arial"/>
                <w:sz w:val="22"/>
                <w:szCs w:val="22"/>
              </w:rPr>
              <w:t xml:space="preserve">Vytvořit adekvátní evropsky srovnatelné podmínky pro společnosti aktivní ve strategických hodnototvorných řetězcích </w:t>
            </w:r>
          </w:p>
        </w:tc>
      </w:tr>
      <w:tr w:rsidR="00413546" w:rsidRPr="003A7A2B" w14:paraId="29908762" w14:textId="77777777" w:rsidTr="005A1247">
        <w:tc>
          <w:tcPr>
            <w:tcW w:w="1984" w:type="dxa"/>
            <w:tcBorders>
              <w:top w:val="single" w:sz="4" w:space="0" w:color="auto"/>
              <w:left w:val="single" w:sz="12" w:space="0" w:color="auto"/>
              <w:right w:val="single" w:sz="12" w:space="0" w:color="auto"/>
            </w:tcBorders>
          </w:tcPr>
          <w:p w14:paraId="37D02E5E" w14:textId="77777777" w:rsidR="00413546" w:rsidRDefault="00413546" w:rsidP="005A1247">
            <w:pPr>
              <w:pStyle w:val="Normln10"/>
              <w:rPr>
                <w:rFonts w:cs="Arial"/>
                <w:sz w:val="22"/>
                <w:szCs w:val="22"/>
              </w:rPr>
            </w:pPr>
            <w:r>
              <w:rPr>
                <w:rFonts w:cs="Arial"/>
                <w:sz w:val="22"/>
                <w:szCs w:val="22"/>
              </w:rPr>
              <w:t>Popis opatření</w:t>
            </w:r>
          </w:p>
        </w:tc>
        <w:tc>
          <w:tcPr>
            <w:tcW w:w="7499" w:type="dxa"/>
            <w:tcBorders>
              <w:top w:val="single" w:sz="4" w:space="0" w:color="auto"/>
              <w:left w:val="single" w:sz="12" w:space="0" w:color="auto"/>
              <w:right w:val="single" w:sz="12" w:space="0" w:color="auto"/>
            </w:tcBorders>
          </w:tcPr>
          <w:p w14:paraId="488F8C70" w14:textId="7150A90D" w:rsidR="00413546" w:rsidRPr="003A0EB7" w:rsidRDefault="00413546" w:rsidP="005A1247">
            <w:pPr>
              <w:pStyle w:val="Normln10"/>
              <w:spacing w:before="60" w:line="240" w:lineRule="auto"/>
              <w:rPr>
                <w:rFonts w:cs="Arial"/>
                <w:sz w:val="22"/>
                <w:szCs w:val="22"/>
              </w:rPr>
            </w:pPr>
            <w:r w:rsidRPr="003A0EB7">
              <w:rPr>
                <w:rFonts w:cs="Arial"/>
                <w:sz w:val="22"/>
                <w:szCs w:val="22"/>
              </w:rPr>
              <w:t>Vzhledem k</w:t>
            </w:r>
            <w:r w:rsidR="005A1247">
              <w:rPr>
                <w:rFonts w:cs="Arial"/>
                <w:sz w:val="22"/>
                <w:szCs w:val="22"/>
              </w:rPr>
              <w:t> </w:t>
            </w:r>
            <w:r w:rsidRPr="003A0EB7">
              <w:rPr>
                <w:rFonts w:cs="Arial"/>
                <w:sz w:val="22"/>
                <w:szCs w:val="22"/>
              </w:rPr>
              <w:t>očekávanému rozvoji bateriového trhu a</w:t>
            </w:r>
            <w:r w:rsidR="005A1247">
              <w:rPr>
                <w:rFonts w:cs="Arial"/>
                <w:sz w:val="22"/>
                <w:szCs w:val="22"/>
              </w:rPr>
              <w:t> </w:t>
            </w:r>
            <w:r w:rsidRPr="003A0EB7">
              <w:rPr>
                <w:rFonts w:cs="Arial"/>
                <w:sz w:val="22"/>
                <w:szCs w:val="22"/>
              </w:rPr>
              <w:t>s</w:t>
            </w:r>
            <w:r>
              <w:rPr>
                <w:rFonts w:cs="Arial"/>
                <w:sz w:val="22"/>
                <w:szCs w:val="22"/>
              </w:rPr>
              <w:t> </w:t>
            </w:r>
            <w:r w:rsidRPr="003A0EB7">
              <w:rPr>
                <w:rFonts w:cs="Arial"/>
                <w:sz w:val="22"/>
                <w:szCs w:val="22"/>
              </w:rPr>
              <w:t>ním úzce propojené elektromobility v</w:t>
            </w:r>
            <w:r w:rsidR="005A1247">
              <w:rPr>
                <w:rFonts w:cs="Arial"/>
                <w:sz w:val="22"/>
                <w:szCs w:val="22"/>
              </w:rPr>
              <w:t> </w:t>
            </w:r>
            <w:r w:rsidRPr="003A0EB7">
              <w:rPr>
                <w:rFonts w:cs="Arial"/>
                <w:sz w:val="22"/>
                <w:szCs w:val="22"/>
              </w:rPr>
              <w:t>ČR a</w:t>
            </w:r>
            <w:r w:rsidR="005A1247">
              <w:rPr>
                <w:rFonts w:cs="Arial"/>
                <w:sz w:val="22"/>
                <w:szCs w:val="22"/>
              </w:rPr>
              <w:t> </w:t>
            </w:r>
            <w:r w:rsidRPr="003A0EB7">
              <w:rPr>
                <w:rFonts w:cs="Arial"/>
                <w:sz w:val="22"/>
                <w:szCs w:val="22"/>
              </w:rPr>
              <w:t>Evropě, a</w:t>
            </w:r>
            <w:r w:rsidR="005A1247">
              <w:rPr>
                <w:rFonts w:cs="Arial"/>
                <w:sz w:val="22"/>
                <w:szCs w:val="22"/>
              </w:rPr>
              <w:t> </w:t>
            </w:r>
            <w:r w:rsidRPr="003A0EB7">
              <w:rPr>
                <w:rFonts w:cs="Arial"/>
                <w:sz w:val="22"/>
                <w:szCs w:val="22"/>
              </w:rPr>
              <w:t>vytyčení strategického cíle EU stát se co nejvíce nezávislou entitou na dovozu baterií, lze očekávat potřebu zajištění jejich adekvátní dostupnosti pocházející z</w:t>
            </w:r>
            <w:r w:rsidR="005A1247">
              <w:rPr>
                <w:rFonts w:cs="Arial"/>
                <w:sz w:val="22"/>
                <w:szCs w:val="22"/>
              </w:rPr>
              <w:t> </w:t>
            </w:r>
            <w:r w:rsidRPr="003A0EB7">
              <w:rPr>
                <w:rFonts w:cs="Arial"/>
                <w:sz w:val="22"/>
                <w:szCs w:val="22"/>
              </w:rPr>
              <w:t>evropské produkce. S</w:t>
            </w:r>
            <w:r w:rsidR="005A1247">
              <w:rPr>
                <w:rFonts w:cs="Arial"/>
                <w:sz w:val="22"/>
                <w:szCs w:val="22"/>
              </w:rPr>
              <w:t> </w:t>
            </w:r>
            <w:r w:rsidRPr="003A0EB7">
              <w:rPr>
                <w:rFonts w:cs="Arial"/>
                <w:sz w:val="22"/>
                <w:szCs w:val="22"/>
              </w:rPr>
              <w:t>tím souvisí i</w:t>
            </w:r>
            <w:r w:rsidR="005A1247">
              <w:rPr>
                <w:rFonts w:cs="Arial"/>
                <w:sz w:val="22"/>
                <w:szCs w:val="22"/>
              </w:rPr>
              <w:t> </w:t>
            </w:r>
            <w:r w:rsidRPr="003A0EB7">
              <w:rPr>
                <w:rFonts w:cs="Arial"/>
                <w:sz w:val="22"/>
                <w:szCs w:val="22"/>
              </w:rPr>
              <w:t>rozšíření jejich výroby a</w:t>
            </w:r>
            <w:r w:rsidR="005A1247">
              <w:rPr>
                <w:rFonts w:cs="Arial"/>
                <w:sz w:val="22"/>
                <w:szCs w:val="22"/>
              </w:rPr>
              <w:t> </w:t>
            </w:r>
            <w:r w:rsidRPr="003A0EB7">
              <w:rPr>
                <w:rFonts w:cs="Arial"/>
                <w:sz w:val="22"/>
                <w:szCs w:val="22"/>
              </w:rPr>
              <w:t>vytvoření konkurenceschopného a</w:t>
            </w:r>
            <w:r w:rsidR="005A1247">
              <w:rPr>
                <w:rFonts w:cs="Arial"/>
                <w:sz w:val="22"/>
                <w:szCs w:val="22"/>
              </w:rPr>
              <w:t> </w:t>
            </w:r>
            <w:r w:rsidRPr="003A0EB7">
              <w:rPr>
                <w:rFonts w:cs="Arial"/>
                <w:sz w:val="22"/>
                <w:szCs w:val="22"/>
              </w:rPr>
              <w:t>udržitelného bateriového ekosystému v</w:t>
            </w:r>
            <w:r w:rsidR="005A1247">
              <w:rPr>
                <w:rFonts w:cs="Arial"/>
                <w:sz w:val="22"/>
                <w:szCs w:val="22"/>
              </w:rPr>
              <w:t> </w:t>
            </w:r>
            <w:r w:rsidRPr="003A0EB7">
              <w:rPr>
                <w:rFonts w:cs="Arial"/>
                <w:sz w:val="22"/>
                <w:szCs w:val="22"/>
              </w:rPr>
              <w:t>ČR nebo přeshraničně. V</w:t>
            </w:r>
            <w:r w:rsidR="005A1247">
              <w:rPr>
                <w:rFonts w:cs="Arial"/>
                <w:sz w:val="22"/>
                <w:szCs w:val="22"/>
              </w:rPr>
              <w:t> </w:t>
            </w:r>
            <w:r w:rsidRPr="003A0EB7">
              <w:rPr>
                <w:rFonts w:cs="Arial"/>
                <w:sz w:val="22"/>
                <w:szCs w:val="22"/>
              </w:rPr>
              <w:t>současné době chybí dostatečné financování a</w:t>
            </w:r>
            <w:r w:rsidR="005A1247">
              <w:rPr>
                <w:rFonts w:cs="Arial"/>
                <w:sz w:val="22"/>
                <w:szCs w:val="22"/>
              </w:rPr>
              <w:t> </w:t>
            </w:r>
            <w:r w:rsidRPr="003A0EB7">
              <w:rPr>
                <w:rFonts w:cs="Arial"/>
                <w:sz w:val="22"/>
                <w:szCs w:val="22"/>
              </w:rPr>
              <w:t>dostatečné kapacity ve výrobě. Elektromobilita přináší množství příležitostí v</w:t>
            </w:r>
            <w:r w:rsidR="005A1247">
              <w:rPr>
                <w:rFonts w:cs="Arial"/>
                <w:sz w:val="22"/>
                <w:szCs w:val="22"/>
              </w:rPr>
              <w:t> </w:t>
            </w:r>
            <w:r w:rsidRPr="003A0EB7">
              <w:rPr>
                <w:rFonts w:cs="Arial"/>
                <w:sz w:val="22"/>
                <w:szCs w:val="22"/>
              </w:rPr>
              <w:t>řetězci výroby baterií od zajištění surovin, jejich zpracování, výroby článků, sestavování bateriových modulů, second life baterií až po jejich efektivní recyklaci a</w:t>
            </w:r>
            <w:r w:rsidR="005A1247">
              <w:rPr>
                <w:rFonts w:cs="Arial"/>
                <w:sz w:val="22"/>
                <w:szCs w:val="22"/>
              </w:rPr>
              <w:t> </w:t>
            </w:r>
            <w:r w:rsidRPr="003A0EB7">
              <w:rPr>
                <w:rFonts w:cs="Arial"/>
                <w:sz w:val="22"/>
                <w:szCs w:val="22"/>
              </w:rPr>
              <w:t xml:space="preserve">ekologickou likvidaci odpadu. </w:t>
            </w:r>
          </w:p>
          <w:p w14:paraId="460B78AF" w14:textId="0F35B9B3" w:rsidR="00413546" w:rsidRDefault="00413546" w:rsidP="005A1247">
            <w:pPr>
              <w:pStyle w:val="Normln10"/>
              <w:spacing w:before="60" w:line="240" w:lineRule="auto"/>
              <w:rPr>
                <w:rFonts w:cs="Arial"/>
                <w:sz w:val="22"/>
                <w:szCs w:val="22"/>
              </w:rPr>
            </w:pPr>
            <w:r w:rsidRPr="003A0EB7">
              <w:rPr>
                <w:rFonts w:cs="Arial"/>
                <w:sz w:val="22"/>
                <w:szCs w:val="22"/>
              </w:rPr>
              <w:t xml:space="preserve">Úkolem je vytvořit podmínky </w:t>
            </w:r>
            <w:r>
              <w:rPr>
                <w:rFonts w:cs="Arial"/>
                <w:sz w:val="22"/>
                <w:szCs w:val="22"/>
              </w:rPr>
              <w:t xml:space="preserve">či národní program </w:t>
            </w:r>
            <w:r w:rsidRPr="003A0EB7">
              <w:rPr>
                <w:rFonts w:cs="Arial"/>
                <w:sz w:val="22"/>
                <w:szCs w:val="22"/>
              </w:rPr>
              <w:t>pro subjekty, které mají zájem o</w:t>
            </w:r>
            <w:r w:rsidR="005A1247">
              <w:rPr>
                <w:rFonts w:cs="Arial"/>
                <w:sz w:val="22"/>
                <w:szCs w:val="22"/>
              </w:rPr>
              <w:t> </w:t>
            </w:r>
            <w:r w:rsidRPr="003A0EB7">
              <w:rPr>
                <w:rFonts w:cs="Arial"/>
                <w:sz w:val="22"/>
                <w:szCs w:val="22"/>
              </w:rPr>
              <w:t>rozšíření svých aktivit v</w:t>
            </w:r>
            <w:r w:rsidR="005A1247">
              <w:rPr>
                <w:rFonts w:cs="Arial"/>
                <w:sz w:val="22"/>
                <w:szCs w:val="22"/>
              </w:rPr>
              <w:t> </w:t>
            </w:r>
            <w:r w:rsidRPr="003A0EB7">
              <w:rPr>
                <w:rFonts w:cs="Arial"/>
                <w:sz w:val="22"/>
                <w:szCs w:val="22"/>
              </w:rPr>
              <w:t xml:space="preserve">rámci strategických hodnotových řetězců </w:t>
            </w:r>
            <w:r>
              <w:rPr>
                <w:rFonts w:cs="Arial"/>
                <w:sz w:val="22"/>
                <w:szCs w:val="22"/>
              </w:rPr>
              <w:t xml:space="preserve">(IPCEI) </w:t>
            </w:r>
            <w:r w:rsidRPr="003A0EB7">
              <w:rPr>
                <w:rFonts w:cs="Arial"/>
                <w:sz w:val="22"/>
                <w:szCs w:val="22"/>
              </w:rPr>
              <w:t>a</w:t>
            </w:r>
            <w:r w:rsidR="005A1247">
              <w:rPr>
                <w:rFonts w:cs="Arial"/>
                <w:sz w:val="22"/>
                <w:szCs w:val="22"/>
              </w:rPr>
              <w:t> </w:t>
            </w:r>
            <w:r w:rsidRPr="003A0EB7">
              <w:rPr>
                <w:rFonts w:cs="Arial"/>
                <w:sz w:val="22"/>
                <w:szCs w:val="22"/>
              </w:rPr>
              <w:t>napomoci jim v</w:t>
            </w:r>
            <w:r w:rsidR="005A1247">
              <w:rPr>
                <w:rFonts w:cs="Arial"/>
                <w:sz w:val="22"/>
                <w:szCs w:val="22"/>
              </w:rPr>
              <w:t> </w:t>
            </w:r>
            <w:r w:rsidRPr="003A0EB7">
              <w:rPr>
                <w:rFonts w:cs="Arial"/>
                <w:sz w:val="22"/>
                <w:szCs w:val="22"/>
              </w:rPr>
              <w:t>procesu integrace do evropských mezinárodních projektů, stimulovat jejich konkurenceschopnost a</w:t>
            </w:r>
            <w:r w:rsidR="005A1247">
              <w:rPr>
                <w:rFonts w:cs="Arial"/>
                <w:sz w:val="22"/>
                <w:szCs w:val="22"/>
              </w:rPr>
              <w:t> </w:t>
            </w:r>
            <w:r w:rsidRPr="003A0EB7">
              <w:rPr>
                <w:rFonts w:cs="Arial"/>
                <w:sz w:val="22"/>
                <w:szCs w:val="22"/>
              </w:rPr>
              <w:t>akcelerovat vytváření lokálních i</w:t>
            </w:r>
            <w:r w:rsidR="005A1247">
              <w:rPr>
                <w:rFonts w:cs="Arial"/>
                <w:sz w:val="22"/>
                <w:szCs w:val="22"/>
              </w:rPr>
              <w:t> </w:t>
            </w:r>
            <w:r w:rsidRPr="003A0EB7">
              <w:rPr>
                <w:rFonts w:cs="Arial"/>
                <w:sz w:val="22"/>
                <w:szCs w:val="22"/>
              </w:rPr>
              <w:t>nadnárodních konsorcií, která budou společnými postupy prosazovat účinné naplňování stanovených norem EU a</w:t>
            </w:r>
            <w:r w:rsidR="005A1247">
              <w:rPr>
                <w:rFonts w:cs="Arial"/>
                <w:sz w:val="22"/>
                <w:szCs w:val="22"/>
              </w:rPr>
              <w:t> </w:t>
            </w:r>
            <w:r w:rsidRPr="003A0EB7">
              <w:rPr>
                <w:rFonts w:cs="Arial"/>
                <w:sz w:val="22"/>
                <w:szCs w:val="22"/>
              </w:rPr>
              <w:t>budou moci dále rozvíjet oblast elektromobility s</w:t>
            </w:r>
            <w:r w:rsidR="005A1247">
              <w:rPr>
                <w:rFonts w:cs="Arial"/>
                <w:sz w:val="22"/>
                <w:szCs w:val="22"/>
              </w:rPr>
              <w:t> </w:t>
            </w:r>
            <w:r w:rsidRPr="003A0EB7">
              <w:rPr>
                <w:rFonts w:cs="Arial"/>
                <w:sz w:val="22"/>
                <w:szCs w:val="22"/>
              </w:rPr>
              <w:t>přímou finanční podporou dotčených evropských institucí.</w:t>
            </w:r>
          </w:p>
          <w:p w14:paraId="41219CCD" w14:textId="1170B897" w:rsidR="00413546" w:rsidRPr="000448E5" w:rsidRDefault="00413546" w:rsidP="005A1247">
            <w:pPr>
              <w:pStyle w:val="Normln10"/>
              <w:spacing w:before="0" w:line="240" w:lineRule="auto"/>
              <w:rPr>
                <w:rFonts w:cs="Arial"/>
                <w:sz w:val="22"/>
                <w:szCs w:val="22"/>
              </w:rPr>
            </w:pPr>
            <w:r w:rsidRPr="000448E5">
              <w:rPr>
                <w:rFonts w:cs="Arial"/>
                <w:sz w:val="22"/>
                <w:szCs w:val="22"/>
              </w:rPr>
              <w:t>V oblasti baterií analyzovat možnosti existujících programů TREND, THETA a</w:t>
            </w:r>
            <w:r w:rsidR="005A1247">
              <w:rPr>
                <w:rFonts w:cs="Arial"/>
                <w:sz w:val="22"/>
                <w:szCs w:val="22"/>
              </w:rPr>
              <w:t> </w:t>
            </w:r>
            <w:r w:rsidRPr="000448E5">
              <w:rPr>
                <w:rFonts w:cs="Arial"/>
                <w:sz w:val="22"/>
                <w:szCs w:val="22"/>
              </w:rPr>
              <w:t>„Country for the Future“ a</w:t>
            </w:r>
            <w:r w:rsidR="005A1247">
              <w:rPr>
                <w:rFonts w:cs="Arial"/>
                <w:sz w:val="22"/>
                <w:szCs w:val="22"/>
              </w:rPr>
              <w:t> </w:t>
            </w:r>
            <w:r w:rsidRPr="000448E5">
              <w:rPr>
                <w:rFonts w:cs="Arial"/>
                <w:sz w:val="22"/>
                <w:szCs w:val="22"/>
              </w:rPr>
              <w:t>připravovaného operačního programu zaměřeného na konkurenceschopnost.</w:t>
            </w:r>
          </w:p>
          <w:p w14:paraId="41894C66" w14:textId="67B99F4C" w:rsidR="00413546" w:rsidRPr="000448E5" w:rsidRDefault="00413546" w:rsidP="005A1247">
            <w:pPr>
              <w:pStyle w:val="Normln10"/>
              <w:spacing w:before="0" w:line="240" w:lineRule="auto"/>
              <w:rPr>
                <w:rFonts w:cs="Arial"/>
                <w:sz w:val="22"/>
                <w:szCs w:val="22"/>
              </w:rPr>
            </w:pPr>
            <w:r w:rsidRPr="000448E5">
              <w:rPr>
                <w:rFonts w:cs="Arial"/>
                <w:sz w:val="22"/>
                <w:szCs w:val="22"/>
              </w:rPr>
              <w:t>V případě zájmu českých subjektů o</w:t>
            </w:r>
            <w:r w:rsidR="005A1247">
              <w:rPr>
                <w:rFonts w:cs="Arial"/>
                <w:sz w:val="22"/>
                <w:szCs w:val="22"/>
              </w:rPr>
              <w:t> </w:t>
            </w:r>
            <w:r w:rsidRPr="000448E5">
              <w:rPr>
                <w:rFonts w:cs="Arial"/>
                <w:sz w:val="22"/>
                <w:szCs w:val="22"/>
              </w:rPr>
              <w:t>podílení se na Významných projektech společného evropského zájmu (IPCEI) provést:</w:t>
            </w:r>
          </w:p>
          <w:p w14:paraId="4B44BC6C" w14:textId="2BCCC2E7" w:rsidR="00413546" w:rsidRPr="000448E5" w:rsidRDefault="00413546" w:rsidP="005A1247">
            <w:pPr>
              <w:pStyle w:val="Bullet1"/>
              <w:spacing w:before="0" w:after="0"/>
            </w:pPr>
            <w:r w:rsidRPr="000448E5">
              <w:t>analýzu možností podpory v</w:t>
            </w:r>
            <w:r w:rsidR="005A1247">
              <w:t> </w:t>
            </w:r>
            <w:r w:rsidRPr="000448E5">
              <w:t xml:space="preserve">souladu se stanovenými pravidly včetně fáze prvotní průmyslové implementace, </w:t>
            </w:r>
          </w:p>
          <w:p w14:paraId="26FD4D22" w14:textId="4FD3CFB0" w:rsidR="00413546" w:rsidRPr="000448E5" w:rsidRDefault="00413546" w:rsidP="005A1247">
            <w:pPr>
              <w:pStyle w:val="Bullet1"/>
              <w:spacing w:before="0" w:after="0"/>
            </w:pPr>
            <w:r w:rsidRPr="000448E5">
              <w:t>určení odpovědnosti za koordinaci a</w:t>
            </w:r>
            <w:r w:rsidR="005A1247">
              <w:t> </w:t>
            </w:r>
            <w:r w:rsidRPr="000448E5">
              <w:t>asistencí v</w:t>
            </w:r>
            <w:r w:rsidR="005A1247">
              <w:t> </w:t>
            </w:r>
            <w:r w:rsidRPr="000448E5">
              <w:t>průběhu notifikačního procesu připravovaného projektu,</w:t>
            </w:r>
          </w:p>
          <w:p w14:paraId="5E84D948" w14:textId="77777777" w:rsidR="00413546" w:rsidRPr="003A0EB7" w:rsidRDefault="00413546" w:rsidP="005A1247">
            <w:pPr>
              <w:pStyle w:val="Bullet1"/>
              <w:spacing w:before="0" w:after="0"/>
            </w:pPr>
            <w:r w:rsidRPr="000448E5">
              <w:t>rozpočtování národních finančních zdrojů pro podporu IPCEI</w:t>
            </w:r>
          </w:p>
        </w:tc>
      </w:tr>
      <w:tr w:rsidR="00413546" w:rsidRPr="003A7A2B" w14:paraId="2BEFF783" w14:textId="77777777" w:rsidTr="005A1247">
        <w:tc>
          <w:tcPr>
            <w:tcW w:w="1984" w:type="dxa"/>
            <w:tcBorders>
              <w:left w:val="single" w:sz="12" w:space="0" w:color="auto"/>
              <w:right w:val="single" w:sz="12" w:space="0" w:color="auto"/>
            </w:tcBorders>
          </w:tcPr>
          <w:p w14:paraId="28A6877B" w14:textId="77777777" w:rsidR="00413546" w:rsidRPr="003A7A2B" w:rsidRDefault="00413546" w:rsidP="005A1247">
            <w:pPr>
              <w:pStyle w:val="Normln10"/>
              <w:rPr>
                <w:rFonts w:cs="Arial"/>
                <w:sz w:val="22"/>
                <w:szCs w:val="22"/>
              </w:rPr>
            </w:pPr>
            <w:r w:rsidRPr="003A7A2B">
              <w:rPr>
                <w:rFonts w:cs="Arial"/>
                <w:sz w:val="22"/>
                <w:szCs w:val="22"/>
              </w:rPr>
              <w:t>Rozpočtový dopad / financování</w:t>
            </w:r>
          </w:p>
        </w:tc>
        <w:tc>
          <w:tcPr>
            <w:tcW w:w="7499" w:type="dxa"/>
            <w:tcBorders>
              <w:left w:val="single" w:sz="12" w:space="0" w:color="auto"/>
              <w:right w:val="single" w:sz="12" w:space="0" w:color="auto"/>
            </w:tcBorders>
            <w:vAlign w:val="center"/>
          </w:tcPr>
          <w:p w14:paraId="17A83B19" w14:textId="77777777" w:rsidR="00413546" w:rsidRPr="003A7A2B" w:rsidRDefault="00413546" w:rsidP="005A1247">
            <w:pPr>
              <w:pStyle w:val="Normln10"/>
              <w:spacing w:before="60" w:line="240" w:lineRule="auto"/>
              <w:jc w:val="left"/>
              <w:rPr>
                <w:rFonts w:cs="Arial"/>
                <w:sz w:val="22"/>
                <w:szCs w:val="22"/>
              </w:rPr>
            </w:pPr>
            <w:r w:rsidRPr="00E24F3C">
              <w:rPr>
                <w:rFonts w:cs="Arial"/>
                <w:sz w:val="22"/>
                <w:szCs w:val="22"/>
              </w:rPr>
              <w:t xml:space="preserve">Alokace </w:t>
            </w:r>
            <w:r>
              <w:rPr>
                <w:rFonts w:cs="Arial"/>
                <w:sz w:val="22"/>
                <w:szCs w:val="22"/>
              </w:rPr>
              <w:t>závisí na výši možného poskytnutí podpory</w:t>
            </w:r>
            <w:r w:rsidRPr="00E24F3C">
              <w:rPr>
                <w:rFonts w:cs="Arial"/>
                <w:sz w:val="22"/>
                <w:szCs w:val="22"/>
              </w:rPr>
              <w:t xml:space="preserve"> pro </w:t>
            </w:r>
            <w:r>
              <w:rPr>
                <w:rFonts w:cs="Arial"/>
                <w:sz w:val="22"/>
                <w:szCs w:val="22"/>
              </w:rPr>
              <w:t>investora</w:t>
            </w:r>
          </w:p>
        </w:tc>
      </w:tr>
      <w:tr w:rsidR="00413546" w:rsidRPr="003A7A2B" w14:paraId="7D4926CD" w14:textId="77777777" w:rsidTr="005A1247">
        <w:tc>
          <w:tcPr>
            <w:tcW w:w="1984" w:type="dxa"/>
            <w:tcBorders>
              <w:left w:val="single" w:sz="12" w:space="0" w:color="auto"/>
              <w:right w:val="single" w:sz="12" w:space="0" w:color="auto"/>
            </w:tcBorders>
          </w:tcPr>
          <w:p w14:paraId="2FF736BB" w14:textId="77777777" w:rsidR="00413546" w:rsidRPr="003A7A2B" w:rsidRDefault="00413546" w:rsidP="005A1247">
            <w:pPr>
              <w:pStyle w:val="Normln10"/>
              <w:rPr>
                <w:rFonts w:cs="Arial"/>
                <w:sz w:val="22"/>
                <w:szCs w:val="22"/>
              </w:rPr>
            </w:pPr>
            <w:r w:rsidRPr="003A7A2B">
              <w:rPr>
                <w:rFonts w:cs="Arial"/>
                <w:sz w:val="22"/>
                <w:szCs w:val="22"/>
              </w:rPr>
              <w:t>Odpovědnost</w:t>
            </w:r>
          </w:p>
        </w:tc>
        <w:tc>
          <w:tcPr>
            <w:tcW w:w="7499" w:type="dxa"/>
            <w:tcBorders>
              <w:left w:val="single" w:sz="12" w:space="0" w:color="auto"/>
              <w:right w:val="single" w:sz="12" w:space="0" w:color="auto"/>
            </w:tcBorders>
          </w:tcPr>
          <w:p w14:paraId="39FB6B1E" w14:textId="77777777" w:rsidR="00413546" w:rsidRPr="003A7A2B" w:rsidRDefault="00413546" w:rsidP="005A1247">
            <w:pPr>
              <w:pStyle w:val="Normln10"/>
              <w:spacing w:before="60" w:line="240" w:lineRule="auto"/>
              <w:rPr>
                <w:rFonts w:cs="Arial"/>
                <w:sz w:val="22"/>
                <w:szCs w:val="22"/>
              </w:rPr>
            </w:pPr>
            <w:r w:rsidRPr="003A7A2B">
              <w:rPr>
                <w:rFonts w:cs="Arial"/>
                <w:sz w:val="22"/>
                <w:szCs w:val="22"/>
              </w:rPr>
              <w:t>MPO</w:t>
            </w:r>
            <w:r>
              <w:rPr>
                <w:rFonts w:cs="Arial"/>
                <w:sz w:val="22"/>
                <w:szCs w:val="22"/>
              </w:rPr>
              <w:t>, TA ČR</w:t>
            </w:r>
          </w:p>
        </w:tc>
      </w:tr>
      <w:tr w:rsidR="00413546" w:rsidRPr="003A7A2B" w14:paraId="5F8F2C8A" w14:textId="77777777" w:rsidTr="005A1247">
        <w:tc>
          <w:tcPr>
            <w:tcW w:w="1984" w:type="dxa"/>
            <w:tcBorders>
              <w:top w:val="single" w:sz="4" w:space="0" w:color="auto"/>
              <w:left w:val="single" w:sz="12" w:space="0" w:color="auto"/>
              <w:bottom w:val="single" w:sz="12" w:space="0" w:color="auto"/>
              <w:right w:val="single" w:sz="12" w:space="0" w:color="auto"/>
            </w:tcBorders>
          </w:tcPr>
          <w:p w14:paraId="7A627C8E" w14:textId="77777777" w:rsidR="00413546" w:rsidRPr="003A7A2B" w:rsidRDefault="00413546" w:rsidP="005A1247">
            <w:pPr>
              <w:pStyle w:val="Normln10"/>
              <w:rPr>
                <w:rFonts w:cs="Arial"/>
                <w:sz w:val="22"/>
                <w:szCs w:val="22"/>
              </w:rPr>
            </w:pPr>
            <w:r w:rsidRPr="003A7A2B">
              <w:rPr>
                <w:rFonts w:cs="Arial"/>
                <w:sz w:val="22"/>
                <w:szCs w:val="22"/>
              </w:rPr>
              <w:t>Termín</w:t>
            </w:r>
          </w:p>
        </w:tc>
        <w:tc>
          <w:tcPr>
            <w:tcW w:w="7499" w:type="dxa"/>
            <w:tcBorders>
              <w:top w:val="single" w:sz="4" w:space="0" w:color="auto"/>
              <w:left w:val="single" w:sz="12" w:space="0" w:color="auto"/>
              <w:bottom w:val="single" w:sz="12" w:space="0" w:color="auto"/>
              <w:right w:val="single" w:sz="12" w:space="0" w:color="auto"/>
            </w:tcBorders>
          </w:tcPr>
          <w:p w14:paraId="2F515DFB" w14:textId="77777777" w:rsidR="00413546" w:rsidRPr="003A7A2B" w:rsidRDefault="00413546" w:rsidP="005A1247">
            <w:pPr>
              <w:pStyle w:val="Normln10"/>
              <w:spacing w:before="60" w:line="240" w:lineRule="auto"/>
              <w:rPr>
                <w:rFonts w:cs="Arial"/>
                <w:sz w:val="22"/>
                <w:szCs w:val="22"/>
              </w:rPr>
            </w:pPr>
            <w:r>
              <w:rPr>
                <w:rFonts w:cs="Arial"/>
                <w:sz w:val="22"/>
                <w:szCs w:val="22"/>
              </w:rPr>
              <w:t>2021</w:t>
            </w:r>
          </w:p>
        </w:tc>
      </w:tr>
    </w:tbl>
    <w:p w14:paraId="162E682B" w14:textId="4A6DEF8A" w:rsidR="00413546" w:rsidRDefault="00413546" w:rsidP="009A3B7E">
      <w:pPr>
        <w:pStyle w:val="Nadpis3"/>
        <w:jc w:val="both"/>
      </w:pPr>
      <w:r>
        <w:lastRenderedPageBreak/>
        <w:t xml:space="preserve">S26 </w:t>
      </w:r>
      <w:r w:rsidRPr="00AC562C">
        <w:t>Analýza perspektivy čisté mobility v</w:t>
      </w:r>
      <w:r w:rsidR="005A1247">
        <w:t> </w:t>
      </w:r>
      <w:r w:rsidRPr="00AC562C">
        <w:t>oblasti silniční nákladní dopravy</w:t>
      </w:r>
    </w:p>
    <w:bookmarkEnd w:id="123"/>
    <w:p w14:paraId="1745C8FB" w14:textId="6B58C6CA" w:rsidR="001530C0" w:rsidRDefault="001530C0" w:rsidP="00413546">
      <w:pPr>
        <w:pStyle w:val="Nadpis3"/>
        <w:numPr>
          <w:ilvl w:val="0"/>
          <w:numId w:val="0"/>
        </w:numPr>
        <w:ind w:left="284"/>
        <w:jc w:val="both"/>
      </w:pPr>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6647"/>
      </w:tblGrid>
      <w:tr w:rsidR="001530C0" w14:paraId="7AD58DFD" w14:textId="77777777" w:rsidTr="003447F9">
        <w:tc>
          <w:tcPr>
            <w:tcW w:w="934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6B3C13EE" w14:textId="5D2A9D3D" w:rsidR="001530C0" w:rsidRDefault="001530C0" w:rsidP="005A1247">
            <w:pPr>
              <w:jc w:val="both"/>
              <w:rPr>
                <w:rFonts w:cs="Arial"/>
                <w:b/>
                <w:color w:val="FFFFFF" w:themeColor="background1"/>
              </w:rPr>
            </w:pPr>
            <w:r>
              <w:rPr>
                <w:rFonts w:cs="Arial"/>
                <w:b/>
                <w:color w:val="FFFFFF" w:themeColor="background1"/>
              </w:rPr>
              <w:t>S2</w:t>
            </w:r>
            <w:r w:rsidR="00413546">
              <w:rPr>
                <w:rFonts w:cs="Arial"/>
                <w:b/>
                <w:color w:val="FFFFFF" w:themeColor="background1"/>
              </w:rPr>
              <w:t>6</w:t>
            </w:r>
            <w:r>
              <w:rPr>
                <w:rFonts w:cs="Arial"/>
                <w:b/>
                <w:color w:val="FFFFFF" w:themeColor="background1"/>
              </w:rPr>
              <w:t xml:space="preserve"> Analýza perspektivy čisté mobility v</w:t>
            </w:r>
            <w:r w:rsidR="005A1247">
              <w:rPr>
                <w:rFonts w:cs="Arial"/>
                <w:b/>
                <w:color w:val="FFFFFF" w:themeColor="background1"/>
              </w:rPr>
              <w:t> </w:t>
            </w:r>
            <w:r>
              <w:rPr>
                <w:rFonts w:cs="Arial"/>
                <w:b/>
                <w:color w:val="FFFFFF" w:themeColor="background1"/>
              </w:rPr>
              <w:t>oblasti silniční nákladní dopravy</w:t>
            </w:r>
          </w:p>
        </w:tc>
      </w:tr>
      <w:tr w:rsidR="00BE5DBC" w14:paraId="3ADA41CE" w14:textId="77777777" w:rsidTr="003447F9">
        <w:tc>
          <w:tcPr>
            <w:tcW w:w="2694" w:type="dxa"/>
            <w:tcBorders>
              <w:top w:val="single" w:sz="4" w:space="0" w:color="auto"/>
              <w:left w:val="single" w:sz="12" w:space="0" w:color="auto"/>
              <w:bottom w:val="single" w:sz="4" w:space="0" w:color="auto"/>
              <w:right w:val="single" w:sz="12" w:space="0" w:color="auto"/>
            </w:tcBorders>
          </w:tcPr>
          <w:p w14:paraId="6DB51EEA" w14:textId="77777777" w:rsidR="00BE5DBC" w:rsidRDefault="00BE5DBC" w:rsidP="009A3B7E">
            <w:pPr>
              <w:pStyle w:val="Normln10"/>
              <w:rPr>
                <w:rFonts w:cs="Arial"/>
                <w:sz w:val="22"/>
                <w:szCs w:val="22"/>
              </w:rPr>
            </w:pPr>
            <w:r>
              <w:rPr>
                <w:rFonts w:cs="Arial"/>
                <w:sz w:val="22"/>
                <w:szCs w:val="22"/>
              </w:rPr>
              <w:t>Návaznost na strategický cíl</w:t>
            </w:r>
          </w:p>
        </w:tc>
        <w:tc>
          <w:tcPr>
            <w:tcW w:w="6647" w:type="dxa"/>
            <w:tcBorders>
              <w:top w:val="single" w:sz="4" w:space="0" w:color="auto"/>
              <w:left w:val="single" w:sz="12" w:space="0" w:color="auto"/>
              <w:bottom w:val="single" w:sz="4" w:space="0" w:color="auto"/>
              <w:right w:val="single" w:sz="12" w:space="0" w:color="auto"/>
            </w:tcBorders>
          </w:tcPr>
          <w:p w14:paraId="586FE886" w14:textId="77777777" w:rsidR="00BE5DBC" w:rsidRDefault="00BE5DBC" w:rsidP="00BE5DBC">
            <w:pPr>
              <w:pStyle w:val="Normln10"/>
              <w:rPr>
                <w:rFonts w:cs="Arial"/>
                <w:sz w:val="22"/>
                <w:szCs w:val="22"/>
              </w:rPr>
            </w:pPr>
            <w:r>
              <w:rPr>
                <w:rFonts w:cs="Arial"/>
                <w:sz w:val="22"/>
                <w:szCs w:val="22"/>
              </w:rPr>
              <w:t>Rozvoj trhu elektrických vozidel</w:t>
            </w:r>
            <w:r w:rsidR="00A74829">
              <w:rPr>
                <w:rFonts w:cs="Arial"/>
                <w:sz w:val="22"/>
                <w:szCs w:val="22"/>
              </w:rPr>
              <w:t xml:space="preserve"> (kap. 2.4.1.)</w:t>
            </w:r>
          </w:p>
          <w:p w14:paraId="58383DB6" w14:textId="77777777" w:rsidR="00BE5DBC" w:rsidRDefault="00BE5DBC" w:rsidP="00BE5DBC">
            <w:pPr>
              <w:pStyle w:val="Normln10"/>
              <w:rPr>
                <w:rFonts w:cs="Arial"/>
                <w:sz w:val="22"/>
                <w:szCs w:val="22"/>
              </w:rPr>
            </w:pPr>
            <w:r>
              <w:rPr>
                <w:rFonts w:cs="Arial"/>
                <w:sz w:val="22"/>
                <w:szCs w:val="22"/>
              </w:rPr>
              <w:t>Rozvoj trhu vozidel na zemní plyn</w:t>
            </w:r>
            <w:r w:rsidR="00A74829">
              <w:rPr>
                <w:rFonts w:cs="Arial"/>
                <w:sz w:val="22"/>
                <w:szCs w:val="22"/>
              </w:rPr>
              <w:t xml:space="preserve"> (kap. 3.3.1.)</w:t>
            </w:r>
          </w:p>
          <w:p w14:paraId="00A45194" w14:textId="77777777" w:rsidR="00BE5DBC" w:rsidRDefault="00BE5DBC" w:rsidP="00BE5DBC">
            <w:pPr>
              <w:pStyle w:val="Normln10"/>
              <w:rPr>
                <w:rFonts w:cs="Arial"/>
                <w:sz w:val="22"/>
                <w:szCs w:val="22"/>
              </w:rPr>
            </w:pPr>
            <w:r>
              <w:rPr>
                <w:rFonts w:cs="Arial"/>
                <w:sz w:val="22"/>
                <w:szCs w:val="22"/>
              </w:rPr>
              <w:t>Rozvoj trhu vodíkových vozidel</w:t>
            </w:r>
            <w:r w:rsidR="00A74829">
              <w:rPr>
                <w:rFonts w:cs="Arial"/>
                <w:sz w:val="22"/>
                <w:szCs w:val="22"/>
              </w:rPr>
              <w:t xml:space="preserve"> (kap. 4.3.1.)</w:t>
            </w:r>
          </w:p>
        </w:tc>
      </w:tr>
      <w:tr w:rsidR="001530C0" w14:paraId="4CE6FD5D" w14:textId="77777777" w:rsidTr="003447F9">
        <w:tc>
          <w:tcPr>
            <w:tcW w:w="2694" w:type="dxa"/>
            <w:tcBorders>
              <w:top w:val="single" w:sz="4" w:space="0" w:color="auto"/>
              <w:left w:val="single" w:sz="12" w:space="0" w:color="auto"/>
              <w:bottom w:val="single" w:sz="4" w:space="0" w:color="auto"/>
              <w:right w:val="single" w:sz="12" w:space="0" w:color="auto"/>
            </w:tcBorders>
            <w:hideMark/>
          </w:tcPr>
          <w:p w14:paraId="621B47AA" w14:textId="77777777" w:rsidR="001530C0" w:rsidRDefault="001530C0" w:rsidP="009A3B7E">
            <w:pPr>
              <w:pStyle w:val="Normln10"/>
              <w:rPr>
                <w:rFonts w:cs="Arial"/>
                <w:sz w:val="22"/>
                <w:szCs w:val="22"/>
              </w:rPr>
            </w:pPr>
            <w:r>
              <w:rPr>
                <w:rFonts w:cs="Arial"/>
                <w:sz w:val="22"/>
                <w:szCs w:val="22"/>
              </w:rPr>
              <w:t>Cíl opatření</w:t>
            </w:r>
          </w:p>
        </w:tc>
        <w:tc>
          <w:tcPr>
            <w:tcW w:w="6647" w:type="dxa"/>
            <w:tcBorders>
              <w:top w:val="single" w:sz="4" w:space="0" w:color="auto"/>
              <w:left w:val="single" w:sz="12" w:space="0" w:color="auto"/>
              <w:bottom w:val="single" w:sz="4" w:space="0" w:color="auto"/>
              <w:right w:val="single" w:sz="12" w:space="0" w:color="auto"/>
            </w:tcBorders>
            <w:hideMark/>
          </w:tcPr>
          <w:p w14:paraId="4B99232B" w14:textId="74F9DE39" w:rsidR="001530C0" w:rsidRDefault="001530C0" w:rsidP="005A1247">
            <w:pPr>
              <w:pStyle w:val="Normln10"/>
              <w:spacing w:line="240" w:lineRule="auto"/>
              <w:rPr>
                <w:rFonts w:cs="Arial"/>
                <w:sz w:val="22"/>
                <w:szCs w:val="22"/>
              </w:rPr>
            </w:pPr>
            <w:r>
              <w:rPr>
                <w:rFonts w:cs="Arial"/>
                <w:sz w:val="22"/>
                <w:szCs w:val="22"/>
              </w:rPr>
              <w:t>Cílem opatření je analyzovat potenciál využití jednotlivých typů alternativních paliv v</w:t>
            </w:r>
            <w:r w:rsidR="005A1247">
              <w:rPr>
                <w:rFonts w:cs="Arial"/>
                <w:sz w:val="22"/>
                <w:szCs w:val="22"/>
              </w:rPr>
              <w:t> </w:t>
            </w:r>
            <w:r>
              <w:rPr>
                <w:rFonts w:cs="Arial"/>
                <w:sz w:val="22"/>
                <w:szCs w:val="22"/>
              </w:rPr>
              <w:t xml:space="preserve">oblasti nákladní dopravy. </w:t>
            </w:r>
          </w:p>
        </w:tc>
      </w:tr>
      <w:tr w:rsidR="001530C0" w14:paraId="7F992A1D" w14:textId="77777777" w:rsidTr="00944EFB">
        <w:trPr>
          <w:trHeight w:val="2319"/>
        </w:trPr>
        <w:tc>
          <w:tcPr>
            <w:tcW w:w="2694" w:type="dxa"/>
            <w:tcBorders>
              <w:top w:val="single" w:sz="4" w:space="0" w:color="auto"/>
              <w:left w:val="single" w:sz="12" w:space="0" w:color="auto"/>
              <w:bottom w:val="single" w:sz="4" w:space="0" w:color="auto"/>
              <w:right w:val="single" w:sz="12" w:space="0" w:color="auto"/>
            </w:tcBorders>
            <w:hideMark/>
          </w:tcPr>
          <w:p w14:paraId="5492C355" w14:textId="77777777" w:rsidR="001530C0" w:rsidRDefault="001530C0" w:rsidP="009A3B7E">
            <w:pPr>
              <w:pStyle w:val="Normln10"/>
              <w:rPr>
                <w:rFonts w:cs="Arial"/>
                <w:sz w:val="22"/>
                <w:szCs w:val="22"/>
              </w:rPr>
            </w:pPr>
            <w:r>
              <w:rPr>
                <w:rFonts w:cs="Arial"/>
                <w:sz w:val="22"/>
                <w:szCs w:val="22"/>
              </w:rPr>
              <w:t>Popis opatření</w:t>
            </w:r>
            <w:r>
              <w:rPr>
                <w:rFonts w:cs="Arial"/>
                <w:sz w:val="22"/>
                <w:szCs w:val="22"/>
              </w:rPr>
              <w:tab/>
            </w:r>
          </w:p>
        </w:tc>
        <w:tc>
          <w:tcPr>
            <w:tcW w:w="6647" w:type="dxa"/>
            <w:tcBorders>
              <w:top w:val="single" w:sz="4" w:space="0" w:color="auto"/>
              <w:left w:val="single" w:sz="12" w:space="0" w:color="auto"/>
              <w:bottom w:val="single" w:sz="4" w:space="0" w:color="auto"/>
              <w:right w:val="single" w:sz="12" w:space="0" w:color="auto"/>
            </w:tcBorders>
            <w:hideMark/>
          </w:tcPr>
          <w:p w14:paraId="1D5C78F6" w14:textId="6F369F26" w:rsidR="001530C0" w:rsidRDefault="001530C0" w:rsidP="005A1247">
            <w:pPr>
              <w:pStyle w:val="Normln10"/>
              <w:spacing w:line="240" w:lineRule="auto"/>
              <w:rPr>
                <w:rFonts w:cs="Arial"/>
                <w:sz w:val="22"/>
                <w:szCs w:val="22"/>
              </w:rPr>
            </w:pPr>
            <w:r>
              <w:rPr>
                <w:rFonts w:cs="Arial"/>
                <w:sz w:val="22"/>
                <w:szCs w:val="22"/>
              </w:rPr>
              <w:t>Studie, která by měla vzniknout v</w:t>
            </w:r>
            <w:r w:rsidR="005A1247">
              <w:rPr>
                <w:rFonts w:cs="Arial"/>
                <w:sz w:val="22"/>
                <w:szCs w:val="22"/>
              </w:rPr>
              <w:t> </w:t>
            </w:r>
            <w:r>
              <w:rPr>
                <w:rFonts w:cs="Arial"/>
                <w:sz w:val="22"/>
                <w:szCs w:val="22"/>
              </w:rPr>
              <w:t>rámci programu TA</w:t>
            </w:r>
            <w:r w:rsidR="00FA66DA">
              <w:rPr>
                <w:rFonts w:cs="Arial"/>
                <w:sz w:val="22"/>
                <w:szCs w:val="22"/>
              </w:rPr>
              <w:t xml:space="preserve"> </w:t>
            </w:r>
            <w:r>
              <w:rPr>
                <w:rFonts w:cs="Arial"/>
                <w:sz w:val="22"/>
                <w:szCs w:val="22"/>
              </w:rPr>
              <w:t>ČR, by měla obsahovat komplexní srovnání ekonomické efektivity jednotlivých technologických možností čisté mobility v</w:t>
            </w:r>
            <w:r w:rsidR="005A1247">
              <w:rPr>
                <w:rFonts w:cs="Arial"/>
                <w:sz w:val="22"/>
                <w:szCs w:val="22"/>
              </w:rPr>
              <w:t> </w:t>
            </w:r>
            <w:r>
              <w:rPr>
                <w:rFonts w:cs="Arial"/>
                <w:sz w:val="22"/>
                <w:szCs w:val="22"/>
              </w:rPr>
              <w:t xml:space="preserve">oblasti nákladní dopravy. Zaměřena by měla být </w:t>
            </w:r>
            <w:r w:rsidR="007C163C">
              <w:rPr>
                <w:rFonts w:cs="Arial"/>
                <w:sz w:val="22"/>
                <w:szCs w:val="22"/>
              </w:rPr>
              <w:t xml:space="preserve">mj. </w:t>
            </w:r>
            <w:r>
              <w:rPr>
                <w:rFonts w:cs="Arial"/>
                <w:sz w:val="22"/>
                <w:szCs w:val="22"/>
              </w:rPr>
              <w:t xml:space="preserve">na srovnání mezi </w:t>
            </w:r>
            <w:r w:rsidR="00133297">
              <w:rPr>
                <w:rFonts w:cs="Arial"/>
                <w:sz w:val="22"/>
                <w:szCs w:val="22"/>
              </w:rPr>
              <w:t>jednotlivými palivy v</w:t>
            </w:r>
            <w:r w:rsidR="005A1247">
              <w:rPr>
                <w:rFonts w:cs="Arial"/>
                <w:sz w:val="22"/>
                <w:szCs w:val="22"/>
              </w:rPr>
              <w:t> </w:t>
            </w:r>
            <w:r w:rsidR="00133297">
              <w:rPr>
                <w:rFonts w:cs="Arial"/>
                <w:sz w:val="22"/>
                <w:szCs w:val="22"/>
              </w:rPr>
              <w:t>této oblasti dopravy</w:t>
            </w:r>
            <w:r>
              <w:rPr>
                <w:rFonts w:cs="Arial"/>
                <w:sz w:val="22"/>
                <w:szCs w:val="22"/>
              </w:rPr>
              <w:t xml:space="preserve"> </w:t>
            </w:r>
            <w:r w:rsidR="00133297">
              <w:rPr>
                <w:rFonts w:cs="Arial"/>
                <w:sz w:val="22"/>
                <w:szCs w:val="22"/>
              </w:rPr>
              <w:t xml:space="preserve">(zejména však </w:t>
            </w:r>
            <w:r>
              <w:rPr>
                <w:rFonts w:cs="Arial"/>
                <w:sz w:val="22"/>
                <w:szCs w:val="22"/>
              </w:rPr>
              <w:t>bateriové a</w:t>
            </w:r>
            <w:r w:rsidR="005A1247">
              <w:rPr>
                <w:rFonts w:cs="Arial"/>
                <w:sz w:val="22"/>
                <w:szCs w:val="22"/>
              </w:rPr>
              <w:t> </w:t>
            </w:r>
            <w:r>
              <w:rPr>
                <w:rFonts w:cs="Arial"/>
                <w:sz w:val="22"/>
                <w:szCs w:val="22"/>
              </w:rPr>
              <w:t>vodíkové elektromobility</w:t>
            </w:r>
            <w:r w:rsidR="007B6D91">
              <w:rPr>
                <w:rFonts w:cs="Arial"/>
                <w:sz w:val="22"/>
                <w:szCs w:val="22"/>
              </w:rPr>
              <w:t>, CNG/LNG</w:t>
            </w:r>
            <w:r w:rsidR="00133297">
              <w:rPr>
                <w:rFonts w:cs="Arial"/>
                <w:sz w:val="22"/>
                <w:szCs w:val="22"/>
              </w:rPr>
              <w:t>)</w:t>
            </w:r>
            <w:r>
              <w:rPr>
                <w:rFonts w:cs="Arial"/>
                <w:sz w:val="22"/>
                <w:szCs w:val="22"/>
              </w:rPr>
              <w:t>. Takovéto posouzení by mělo zahrnovat i</w:t>
            </w:r>
            <w:r w:rsidR="005A1247">
              <w:rPr>
                <w:rFonts w:cs="Arial"/>
                <w:sz w:val="22"/>
                <w:szCs w:val="22"/>
              </w:rPr>
              <w:t> </w:t>
            </w:r>
            <w:r>
              <w:rPr>
                <w:rFonts w:cs="Arial"/>
                <w:sz w:val="22"/>
                <w:szCs w:val="22"/>
              </w:rPr>
              <w:t>náklady na rozvoj příslušné dobíjecí/pln</w:t>
            </w:r>
            <w:r w:rsidR="00133297">
              <w:rPr>
                <w:rFonts w:cs="Arial"/>
                <w:sz w:val="22"/>
                <w:szCs w:val="22"/>
              </w:rPr>
              <w:t>i</w:t>
            </w:r>
            <w:r>
              <w:rPr>
                <w:rFonts w:cs="Arial"/>
                <w:sz w:val="22"/>
                <w:szCs w:val="22"/>
              </w:rPr>
              <w:t>cí infrastruktury jakož i</w:t>
            </w:r>
            <w:r w:rsidR="005A1247">
              <w:rPr>
                <w:rFonts w:cs="Arial"/>
                <w:sz w:val="22"/>
                <w:szCs w:val="22"/>
              </w:rPr>
              <w:t> </w:t>
            </w:r>
            <w:r>
              <w:rPr>
                <w:rFonts w:cs="Arial"/>
                <w:sz w:val="22"/>
                <w:szCs w:val="22"/>
              </w:rPr>
              <w:t>srovnání nákladů na provoz a</w:t>
            </w:r>
            <w:r w:rsidR="005A1247">
              <w:rPr>
                <w:rFonts w:cs="Arial"/>
                <w:sz w:val="22"/>
                <w:szCs w:val="22"/>
              </w:rPr>
              <w:t> </w:t>
            </w:r>
            <w:r>
              <w:rPr>
                <w:rFonts w:cs="Arial"/>
                <w:sz w:val="22"/>
                <w:szCs w:val="22"/>
              </w:rPr>
              <w:t>servis.</w:t>
            </w:r>
          </w:p>
        </w:tc>
      </w:tr>
      <w:tr w:rsidR="001530C0" w14:paraId="7E2FFB22" w14:textId="77777777" w:rsidTr="003447F9">
        <w:tc>
          <w:tcPr>
            <w:tcW w:w="2694" w:type="dxa"/>
            <w:tcBorders>
              <w:top w:val="single" w:sz="4" w:space="0" w:color="auto"/>
              <w:left w:val="single" w:sz="12" w:space="0" w:color="auto"/>
              <w:bottom w:val="single" w:sz="4" w:space="0" w:color="auto"/>
              <w:right w:val="single" w:sz="12" w:space="0" w:color="auto"/>
            </w:tcBorders>
            <w:hideMark/>
          </w:tcPr>
          <w:p w14:paraId="31F195F1" w14:textId="77777777" w:rsidR="001530C0" w:rsidRDefault="001530C0" w:rsidP="009A3B7E">
            <w:pPr>
              <w:pStyle w:val="Normln10"/>
              <w:rPr>
                <w:rFonts w:cs="Arial"/>
                <w:sz w:val="22"/>
                <w:szCs w:val="22"/>
              </w:rPr>
            </w:pPr>
            <w:r>
              <w:rPr>
                <w:rFonts w:cs="Arial"/>
                <w:sz w:val="22"/>
                <w:szCs w:val="22"/>
              </w:rPr>
              <w:t>Rozpočtový dopad / financování</w:t>
            </w:r>
          </w:p>
        </w:tc>
        <w:tc>
          <w:tcPr>
            <w:tcW w:w="6647" w:type="dxa"/>
            <w:tcBorders>
              <w:top w:val="single" w:sz="4" w:space="0" w:color="auto"/>
              <w:left w:val="single" w:sz="12" w:space="0" w:color="auto"/>
              <w:bottom w:val="single" w:sz="4" w:space="0" w:color="auto"/>
              <w:right w:val="single" w:sz="12" w:space="0" w:color="auto"/>
            </w:tcBorders>
          </w:tcPr>
          <w:p w14:paraId="1C121EB0" w14:textId="796AAEDC" w:rsidR="001530C0" w:rsidRDefault="001530C0" w:rsidP="005A1247">
            <w:pPr>
              <w:pStyle w:val="Normln10"/>
              <w:spacing w:line="240" w:lineRule="auto"/>
              <w:rPr>
                <w:rFonts w:cs="Arial"/>
                <w:sz w:val="22"/>
                <w:szCs w:val="22"/>
              </w:rPr>
            </w:pPr>
            <w:r w:rsidRPr="007A12C4">
              <w:rPr>
                <w:rFonts w:cs="Arial"/>
                <w:sz w:val="22"/>
                <w:szCs w:val="22"/>
              </w:rPr>
              <w:t>Opatření bude realizováno z</w:t>
            </w:r>
            <w:r w:rsidR="005A1247">
              <w:rPr>
                <w:rFonts w:cs="Arial"/>
                <w:sz w:val="22"/>
                <w:szCs w:val="22"/>
              </w:rPr>
              <w:t> </w:t>
            </w:r>
            <w:r w:rsidRPr="007A12C4">
              <w:rPr>
                <w:rFonts w:cs="Arial"/>
                <w:sz w:val="22"/>
                <w:szCs w:val="22"/>
              </w:rPr>
              <w:t>prostředků TA</w:t>
            </w:r>
            <w:r w:rsidR="00FA66DA">
              <w:rPr>
                <w:rFonts w:cs="Arial"/>
                <w:sz w:val="22"/>
                <w:szCs w:val="22"/>
              </w:rPr>
              <w:t xml:space="preserve"> </w:t>
            </w:r>
            <w:r w:rsidRPr="007A12C4">
              <w:rPr>
                <w:rFonts w:cs="Arial"/>
                <w:sz w:val="22"/>
                <w:szCs w:val="22"/>
              </w:rPr>
              <w:t>ČR.</w:t>
            </w:r>
          </w:p>
        </w:tc>
      </w:tr>
      <w:tr w:rsidR="001530C0" w14:paraId="1E33FF35" w14:textId="77777777" w:rsidTr="003447F9">
        <w:tc>
          <w:tcPr>
            <w:tcW w:w="2694" w:type="dxa"/>
            <w:tcBorders>
              <w:top w:val="single" w:sz="4" w:space="0" w:color="auto"/>
              <w:left w:val="single" w:sz="12" w:space="0" w:color="auto"/>
              <w:bottom w:val="single" w:sz="4" w:space="0" w:color="auto"/>
              <w:right w:val="single" w:sz="12" w:space="0" w:color="auto"/>
            </w:tcBorders>
            <w:hideMark/>
          </w:tcPr>
          <w:p w14:paraId="11C24635" w14:textId="77777777" w:rsidR="001530C0" w:rsidRDefault="001530C0" w:rsidP="009A3B7E">
            <w:pPr>
              <w:pStyle w:val="Normln10"/>
              <w:rPr>
                <w:rFonts w:cs="Arial"/>
                <w:sz w:val="22"/>
                <w:szCs w:val="22"/>
              </w:rPr>
            </w:pPr>
            <w:r>
              <w:rPr>
                <w:rFonts w:cs="Arial"/>
                <w:sz w:val="22"/>
                <w:szCs w:val="22"/>
              </w:rPr>
              <w:t>Odpovědnost</w:t>
            </w:r>
          </w:p>
        </w:tc>
        <w:tc>
          <w:tcPr>
            <w:tcW w:w="6647" w:type="dxa"/>
            <w:tcBorders>
              <w:top w:val="single" w:sz="4" w:space="0" w:color="auto"/>
              <w:left w:val="single" w:sz="12" w:space="0" w:color="auto"/>
              <w:bottom w:val="single" w:sz="4" w:space="0" w:color="auto"/>
              <w:right w:val="single" w:sz="12" w:space="0" w:color="auto"/>
            </w:tcBorders>
            <w:hideMark/>
          </w:tcPr>
          <w:p w14:paraId="650C26A9" w14:textId="77777777" w:rsidR="001530C0" w:rsidRDefault="001530C0" w:rsidP="00056999">
            <w:pPr>
              <w:pStyle w:val="Normln10"/>
              <w:spacing w:line="240" w:lineRule="auto"/>
              <w:rPr>
                <w:rFonts w:cs="Arial"/>
                <w:sz w:val="22"/>
                <w:szCs w:val="22"/>
              </w:rPr>
            </w:pPr>
            <w:r>
              <w:rPr>
                <w:rFonts w:cs="Arial"/>
                <w:sz w:val="22"/>
                <w:szCs w:val="22"/>
              </w:rPr>
              <w:t>MD</w:t>
            </w:r>
          </w:p>
        </w:tc>
      </w:tr>
      <w:tr w:rsidR="001530C0" w14:paraId="1AB89E85" w14:textId="77777777" w:rsidTr="003447F9">
        <w:tc>
          <w:tcPr>
            <w:tcW w:w="2694" w:type="dxa"/>
            <w:tcBorders>
              <w:top w:val="single" w:sz="4" w:space="0" w:color="auto"/>
              <w:left w:val="single" w:sz="12" w:space="0" w:color="auto"/>
              <w:bottom w:val="single" w:sz="4" w:space="0" w:color="auto"/>
              <w:right w:val="single" w:sz="12" w:space="0" w:color="auto"/>
            </w:tcBorders>
            <w:hideMark/>
          </w:tcPr>
          <w:p w14:paraId="4BD2579D" w14:textId="77777777" w:rsidR="001530C0" w:rsidRDefault="001530C0" w:rsidP="009A3B7E">
            <w:pPr>
              <w:pStyle w:val="Normln10"/>
              <w:rPr>
                <w:rFonts w:cs="Arial"/>
                <w:sz w:val="22"/>
                <w:szCs w:val="22"/>
              </w:rPr>
            </w:pPr>
            <w:r>
              <w:rPr>
                <w:rFonts w:cs="Arial"/>
                <w:sz w:val="22"/>
                <w:szCs w:val="22"/>
              </w:rPr>
              <w:t>Spolupráce</w:t>
            </w:r>
          </w:p>
        </w:tc>
        <w:tc>
          <w:tcPr>
            <w:tcW w:w="6647" w:type="dxa"/>
            <w:tcBorders>
              <w:top w:val="single" w:sz="4" w:space="0" w:color="auto"/>
              <w:left w:val="single" w:sz="12" w:space="0" w:color="auto"/>
              <w:bottom w:val="single" w:sz="4" w:space="0" w:color="auto"/>
              <w:right w:val="single" w:sz="12" w:space="0" w:color="auto"/>
            </w:tcBorders>
            <w:hideMark/>
          </w:tcPr>
          <w:p w14:paraId="5F780730" w14:textId="77777777" w:rsidR="001530C0" w:rsidRDefault="001530C0" w:rsidP="009A3B7E">
            <w:pPr>
              <w:pStyle w:val="Normln10"/>
              <w:spacing w:line="240" w:lineRule="auto"/>
              <w:rPr>
                <w:rFonts w:cs="Arial"/>
                <w:sz w:val="22"/>
                <w:szCs w:val="22"/>
              </w:rPr>
            </w:pPr>
            <w:r>
              <w:rPr>
                <w:rFonts w:cs="Arial"/>
                <w:sz w:val="22"/>
                <w:szCs w:val="22"/>
              </w:rPr>
              <w:t>MPO, MŽP</w:t>
            </w:r>
          </w:p>
        </w:tc>
      </w:tr>
      <w:tr w:rsidR="001530C0" w14:paraId="2C7F194B" w14:textId="77777777" w:rsidTr="003447F9">
        <w:tc>
          <w:tcPr>
            <w:tcW w:w="2694" w:type="dxa"/>
            <w:tcBorders>
              <w:top w:val="single" w:sz="4" w:space="0" w:color="auto"/>
              <w:left w:val="single" w:sz="12" w:space="0" w:color="auto"/>
              <w:bottom w:val="single" w:sz="12" w:space="0" w:color="auto"/>
              <w:right w:val="single" w:sz="12" w:space="0" w:color="auto"/>
            </w:tcBorders>
            <w:hideMark/>
          </w:tcPr>
          <w:p w14:paraId="37A6253D" w14:textId="77777777" w:rsidR="001530C0" w:rsidRDefault="001530C0" w:rsidP="009A3B7E">
            <w:pPr>
              <w:pStyle w:val="Normln10"/>
              <w:rPr>
                <w:rFonts w:cs="Arial"/>
                <w:sz w:val="22"/>
                <w:szCs w:val="22"/>
              </w:rPr>
            </w:pPr>
            <w:r>
              <w:rPr>
                <w:rFonts w:cs="Arial"/>
                <w:sz w:val="22"/>
                <w:szCs w:val="22"/>
              </w:rPr>
              <w:t>Termín</w:t>
            </w:r>
          </w:p>
        </w:tc>
        <w:tc>
          <w:tcPr>
            <w:tcW w:w="6647" w:type="dxa"/>
            <w:tcBorders>
              <w:top w:val="single" w:sz="4" w:space="0" w:color="auto"/>
              <w:left w:val="single" w:sz="12" w:space="0" w:color="auto"/>
              <w:bottom w:val="single" w:sz="12" w:space="0" w:color="auto"/>
              <w:right w:val="single" w:sz="12" w:space="0" w:color="auto"/>
            </w:tcBorders>
            <w:hideMark/>
          </w:tcPr>
          <w:p w14:paraId="7BEF7597" w14:textId="77777777" w:rsidR="001530C0" w:rsidRDefault="001530C0" w:rsidP="009A3B7E">
            <w:pPr>
              <w:pStyle w:val="Normln10"/>
              <w:spacing w:line="240" w:lineRule="auto"/>
              <w:rPr>
                <w:rFonts w:cs="Arial"/>
                <w:sz w:val="22"/>
                <w:szCs w:val="22"/>
              </w:rPr>
            </w:pPr>
            <w:r>
              <w:rPr>
                <w:rFonts w:cs="Arial"/>
                <w:sz w:val="22"/>
                <w:szCs w:val="22"/>
              </w:rPr>
              <w:t>Analýza hotova 12/2022</w:t>
            </w:r>
          </w:p>
        </w:tc>
      </w:tr>
    </w:tbl>
    <w:p w14:paraId="22FA1A67" w14:textId="77777777" w:rsidR="001530C0" w:rsidRDefault="001530C0" w:rsidP="009A3B7E">
      <w:pPr>
        <w:jc w:val="both"/>
      </w:pPr>
    </w:p>
    <w:p w14:paraId="6FD3B82F" w14:textId="77777777" w:rsidR="001530C0" w:rsidRDefault="001530C0" w:rsidP="009A3B7E">
      <w:pPr>
        <w:spacing w:before="0" w:after="0"/>
        <w:jc w:val="both"/>
      </w:pPr>
      <w:r>
        <w:br w:type="page"/>
      </w:r>
    </w:p>
    <w:p w14:paraId="284DC9F4" w14:textId="336C1A60" w:rsidR="001530C0" w:rsidRDefault="00797C43" w:rsidP="009A3B7E">
      <w:pPr>
        <w:pStyle w:val="Nadpis3"/>
        <w:jc w:val="both"/>
      </w:pPr>
      <w:bookmarkStart w:id="124" w:name="_Toc21589188"/>
      <w:r>
        <w:lastRenderedPageBreak/>
        <w:t>V5</w:t>
      </w:r>
      <w:r w:rsidR="001530C0">
        <w:t xml:space="preserve"> </w:t>
      </w:r>
      <w:r w:rsidR="001530C0" w:rsidRPr="00387A8B">
        <w:t xml:space="preserve">Podpora </w:t>
      </w:r>
      <w:r w:rsidR="001530C0">
        <w:t xml:space="preserve">specifických </w:t>
      </w:r>
      <w:r w:rsidR="001530C0" w:rsidRPr="00387A8B">
        <w:t>inovativních technologií</w:t>
      </w:r>
      <w:r w:rsidR="001530C0">
        <w:t xml:space="preserve"> ve vztahu k</w:t>
      </w:r>
      <w:r w:rsidR="005A1247">
        <w:t> </w:t>
      </w:r>
      <w:r w:rsidR="001530C0">
        <w:t>vodíkové mobilitě</w:t>
      </w:r>
      <w:bookmarkEnd w:id="124"/>
    </w:p>
    <w:tbl>
      <w:tblPr>
        <w:tblStyle w:val="Mkatabulky4"/>
        <w:tblpPr w:leftFromText="141" w:rightFromText="141" w:vertAnchor="text" w:horzAnchor="margin" w:tblpY="2"/>
        <w:tblW w:w="5087"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28"/>
        <w:gridCol w:w="6671"/>
      </w:tblGrid>
      <w:tr w:rsidR="000B67AA" w14:paraId="57CB7B72" w14:textId="77777777" w:rsidTr="003447F9">
        <w:trPr>
          <w:trHeight w:val="59"/>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4B495840" w14:textId="1238A8FA" w:rsidR="001530C0" w:rsidRDefault="00797C43" w:rsidP="005A1247">
            <w:pPr>
              <w:spacing w:before="60" w:after="60"/>
              <w:jc w:val="both"/>
              <w:rPr>
                <w:b/>
              </w:rPr>
            </w:pPr>
            <w:r>
              <w:rPr>
                <w:b/>
                <w:color w:val="FFFFFF" w:themeColor="background1"/>
              </w:rPr>
              <w:t>V5</w:t>
            </w:r>
            <w:r w:rsidR="001530C0">
              <w:rPr>
                <w:b/>
                <w:color w:val="FFFFFF" w:themeColor="background1"/>
              </w:rPr>
              <w:t xml:space="preserve"> Podpora specifických inovativních technologií ve vztahu k</w:t>
            </w:r>
            <w:r w:rsidR="005A1247">
              <w:rPr>
                <w:b/>
                <w:color w:val="FFFFFF" w:themeColor="background1"/>
              </w:rPr>
              <w:t> </w:t>
            </w:r>
            <w:r w:rsidR="001530C0">
              <w:rPr>
                <w:b/>
                <w:color w:val="FFFFFF" w:themeColor="background1"/>
              </w:rPr>
              <w:t>vodíkové mobilitě</w:t>
            </w:r>
          </w:p>
        </w:tc>
      </w:tr>
      <w:tr w:rsidR="000B67AA" w14:paraId="513E02BA" w14:textId="77777777" w:rsidTr="003447F9">
        <w:trPr>
          <w:trHeight w:val="59"/>
        </w:trPr>
        <w:tc>
          <w:tcPr>
            <w:tcW w:w="1374" w:type="pct"/>
            <w:tcBorders>
              <w:top w:val="single" w:sz="12" w:space="0" w:color="auto"/>
              <w:left w:val="single" w:sz="12" w:space="0" w:color="auto"/>
              <w:bottom w:val="single" w:sz="4" w:space="0" w:color="auto"/>
              <w:right w:val="single" w:sz="12" w:space="0" w:color="auto"/>
            </w:tcBorders>
            <w:hideMark/>
          </w:tcPr>
          <w:p w14:paraId="344BA958" w14:textId="77777777" w:rsidR="001530C0" w:rsidRDefault="001530C0" w:rsidP="00B502A0">
            <w:pPr>
              <w:spacing w:before="60" w:after="60"/>
              <w:jc w:val="both"/>
            </w:pPr>
            <w:r>
              <w:t>Návaznost na strategický cíl</w:t>
            </w:r>
          </w:p>
        </w:tc>
        <w:tc>
          <w:tcPr>
            <w:tcW w:w="3626" w:type="pct"/>
            <w:tcBorders>
              <w:top w:val="single" w:sz="12" w:space="0" w:color="auto"/>
              <w:left w:val="single" w:sz="12" w:space="0" w:color="auto"/>
              <w:bottom w:val="single" w:sz="4" w:space="0" w:color="auto"/>
              <w:right w:val="single" w:sz="12" w:space="0" w:color="auto"/>
            </w:tcBorders>
            <w:hideMark/>
          </w:tcPr>
          <w:p w14:paraId="55AC6225" w14:textId="77777777" w:rsidR="001530C0" w:rsidRDefault="00AF534E" w:rsidP="00B502A0">
            <w:pPr>
              <w:spacing w:before="60" w:after="60"/>
              <w:jc w:val="both"/>
            </w:pPr>
            <w:r>
              <w:t>Rozvoj trhu vodíkových vozidel</w:t>
            </w:r>
            <w:r w:rsidR="00A74829">
              <w:t xml:space="preserve"> (</w:t>
            </w:r>
            <w:r w:rsidR="00797C43">
              <w:t>kap. 4.3.1.)</w:t>
            </w:r>
          </w:p>
        </w:tc>
      </w:tr>
      <w:tr w:rsidR="000B67AA" w14:paraId="3BE1E156" w14:textId="77777777" w:rsidTr="003447F9">
        <w:trPr>
          <w:trHeight w:val="59"/>
        </w:trPr>
        <w:tc>
          <w:tcPr>
            <w:tcW w:w="1374" w:type="pct"/>
            <w:tcBorders>
              <w:top w:val="single" w:sz="4" w:space="0" w:color="auto"/>
              <w:left w:val="single" w:sz="12" w:space="0" w:color="auto"/>
              <w:bottom w:val="single" w:sz="4" w:space="0" w:color="auto"/>
              <w:right w:val="single" w:sz="12" w:space="0" w:color="auto"/>
            </w:tcBorders>
            <w:hideMark/>
          </w:tcPr>
          <w:p w14:paraId="52FB78E1" w14:textId="77777777" w:rsidR="001530C0" w:rsidRDefault="001530C0" w:rsidP="00B502A0">
            <w:pPr>
              <w:spacing w:before="60" w:after="60"/>
              <w:jc w:val="both"/>
            </w:pPr>
            <w:r>
              <w:t xml:space="preserve">Cíl opatření </w:t>
            </w:r>
          </w:p>
        </w:tc>
        <w:tc>
          <w:tcPr>
            <w:tcW w:w="3626" w:type="pct"/>
            <w:tcBorders>
              <w:top w:val="single" w:sz="4" w:space="0" w:color="auto"/>
              <w:left w:val="single" w:sz="12" w:space="0" w:color="auto"/>
              <w:bottom w:val="single" w:sz="4" w:space="0" w:color="auto"/>
              <w:right w:val="single" w:sz="12" w:space="0" w:color="auto"/>
            </w:tcBorders>
            <w:hideMark/>
          </w:tcPr>
          <w:p w14:paraId="14592B61" w14:textId="05EA047D" w:rsidR="001530C0" w:rsidRDefault="001530C0" w:rsidP="005A1247">
            <w:pPr>
              <w:spacing w:before="60" w:after="60"/>
              <w:jc w:val="both"/>
            </w:pPr>
            <w:r>
              <w:t>Cílem opatření je posílení konkurenceschopnosti České republiky v</w:t>
            </w:r>
            <w:r w:rsidR="005A1247">
              <w:t> </w:t>
            </w:r>
            <w:r>
              <w:t>oblasti vodíkové mobility v</w:t>
            </w:r>
            <w:r w:rsidR="005A1247">
              <w:t> </w:t>
            </w:r>
            <w:r>
              <w:t>rámci podpory inovativních technologií.</w:t>
            </w:r>
          </w:p>
        </w:tc>
      </w:tr>
      <w:tr w:rsidR="000B67AA" w14:paraId="186DFD62" w14:textId="77777777" w:rsidTr="003447F9">
        <w:trPr>
          <w:trHeight w:val="59"/>
        </w:trPr>
        <w:tc>
          <w:tcPr>
            <w:tcW w:w="1374" w:type="pct"/>
            <w:tcBorders>
              <w:top w:val="single" w:sz="4" w:space="0" w:color="auto"/>
              <w:left w:val="single" w:sz="12" w:space="0" w:color="auto"/>
              <w:bottom w:val="single" w:sz="4" w:space="0" w:color="auto"/>
              <w:right w:val="single" w:sz="12" w:space="0" w:color="auto"/>
            </w:tcBorders>
            <w:hideMark/>
          </w:tcPr>
          <w:p w14:paraId="638E6373" w14:textId="77777777" w:rsidR="001530C0" w:rsidRDefault="001530C0" w:rsidP="00B502A0">
            <w:pPr>
              <w:spacing w:before="60" w:after="60"/>
              <w:jc w:val="both"/>
            </w:pPr>
            <w:r>
              <w:t>Popis opatření</w:t>
            </w:r>
          </w:p>
        </w:tc>
        <w:tc>
          <w:tcPr>
            <w:tcW w:w="3626" w:type="pct"/>
            <w:tcBorders>
              <w:top w:val="single" w:sz="4" w:space="0" w:color="auto"/>
              <w:left w:val="single" w:sz="12" w:space="0" w:color="auto"/>
              <w:bottom w:val="single" w:sz="4" w:space="0" w:color="auto"/>
              <w:right w:val="single" w:sz="12" w:space="0" w:color="auto"/>
            </w:tcBorders>
            <w:hideMark/>
          </w:tcPr>
          <w:p w14:paraId="688A305B" w14:textId="07793ACD" w:rsidR="001530C0" w:rsidRDefault="001530C0" w:rsidP="005A1247">
            <w:pPr>
              <w:spacing w:before="60" w:after="60"/>
              <w:jc w:val="both"/>
            </w:pPr>
            <w:r>
              <w:t>Podpora konkrétních inovativních projektů, např. vodík pro bateriovou elektromobilitu, vývoj a</w:t>
            </w:r>
            <w:r w:rsidR="005A1247">
              <w:t> </w:t>
            </w:r>
            <w:r>
              <w:t>provoz dálkového autobusu.</w:t>
            </w:r>
          </w:p>
        </w:tc>
      </w:tr>
      <w:tr w:rsidR="000B67AA" w14:paraId="1188315C" w14:textId="77777777" w:rsidTr="003447F9">
        <w:trPr>
          <w:trHeight w:val="59"/>
        </w:trPr>
        <w:tc>
          <w:tcPr>
            <w:tcW w:w="1374" w:type="pct"/>
            <w:tcBorders>
              <w:top w:val="single" w:sz="4" w:space="0" w:color="auto"/>
              <w:left w:val="single" w:sz="12" w:space="0" w:color="auto"/>
              <w:bottom w:val="single" w:sz="4" w:space="0" w:color="auto"/>
              <w:right w:val="single" w:sz="12" w:space="0" w:color="auto"/>
            </w:tcBorders>
          </w:tcPr>
          <w:p w14:paraId="4E9E68C6" w14:textId="77777777" w:rsidR="000B67AA" w:rsidRDefault="000B67AA" w:rsidP="00B502A0">
            <w:pPr>
              <w:spacing w:before="60" w:after="60"/>
              <w:jc w:val="both"/>
            </w:pPr>
            <w:r>
              <w:t>Rozpočtový dopad / financování</w:t>
            </w:r>
          </w:p>
        </w:tc>
        <w:tc>
          <w:tcPr>
            <w:tcW w:w="3626" w:type="pct"/>
            <w:tcBorders>
              <w:top w:val="single" w:sz="4" w:space="0" w:color="auto"/>
              <w:left w:val="single" w:sz="12" w:space="0" w:color="auto"/>
              <w:bottom w:val="single" w:sz="4" w:space="0" w:color="auto"/>
              <w:right w:val="single" w:sz="12" w:space="0" w:color="auto"/>
            </w:tcBorders>
          </w:tcPr>
          <w:p w14:paraId="108D78B4" w14:textId="20124803" w:rsidR="000B67AA" w:rsidRDefault="000B67AA" w:rsidP="00B502A0">
            <w:pPr>
              <w:spacing w:before="60" w:after="60"/>
              <w:jc w:val="both"/>
            </w:pPr>
            <w:r>
              <w:t>Inovační fond</w:t>
            </w:r>
            <w:r w:rsidR="006B09DC">
              <w:t>, Modernizační fond (v případě disponibilních zdrojů)</w:t>
            </w:r>
          </w:p>
          <w:p w14:paraId="1E5C55A7" w14:textId="77777777" w:rsidR="000B67AA" w:rsidRDefault="000B67AA" w:rsidP="00B502A0">
            <w:pPr>
              <w:spacing w:before="60" w:after="60"/>
              <w:jc w:val="both"/>
            </w:pPr>
            <w:r>
              <w:t>TREND</w:t>
            </w:r>
          </w:p>
          <w:p w14:paraId="574EAD5A" w14:textId="77777777" w:rsidR="000B67AA" w:rsidRDefault="000B67AA" w:rsidP="00B502A0">
            <w:pPr>
              <w:spacing w:before="60" w:after="60"/>
              <w:jc w:val="both"/>
            </w:pPr>
            <w:r>
              <w:t>Horizon 2020 / Horizon Europe</w:t>
            </w:r>
          </w:p>
          <w:p w14:paraId="005D2CB1" w14:textId="77777777" w:rsidR="000B67AA" w:rsidRDefault="000B67AA" w:rsidP="00B502A0">
            <w:pPr>
              <w:spacing w:before="60" w:after="60"/>
              <w:jc w:val="both"/>
              <w:rPr>
                <w:rStyle w:val="Odkaznakoment"/>
              </w:rPr>
            </w:pPr>
            <w:r>
              <w:t>Doprava 2020+</w:t>
            </w:r>
          </w:p>
        </w:tc>
      </w:tr>
      <w:tr w:rsidR="000B67AA" w14:paraId="7E6F73BE" w14:textId="77777777" w:rsidTr="003447F9">
        <w:trPr>
          <w:trHeight w:val="59"/>
        </w:trPr>
        <w:tc>
          <w:tcPr>
            <w:tcW w:w="1374" w:type="pct"/>
            <w:tcBorders>
              <w:top w:val="single" w:sz="4" w:space="0" w:color="auto"/>
              <w:left w:val="single" w:sz="12" w:space="0" w:color="auto"/>
              <w:bottom w:val="single" w:sz="4" w:space="0" w:color="auto"/>
              <w:right w:val="single" w:sz="12" w:space="0" w:color="auto"/>
            </w:tcBorders>
            <w:hideMark/>
          </w:tcPr>
          <w:p w14:paraId="30DA4C99" w14:textId="77777777" w:rsidR="001530C0" w:rsidRDefault="001530C0" w:rsidP="00B502A0">
            <w:pPr>
              <w:spacing w:before="60" w:after="60"/>
              <w:jc w:val="both"/>
            </w:pPr>
            <w:r>
              <w:t>Odpovědnost</w:t>
            </w:r>
          </w:p>
        </w:tc>
        <w:tc>
          <w:tcPr>
            <w:tcW w:w="3626" w:type="pct"/>
            <w:tcBorders>
              <w:top w:val="single" w:sz="4" w:space="0" w:color="auto"/>
              <w:left w:val="single" w:sz="12" w:space="0" w:color="auto"/>
              <w:bottom w:val="single" w:sz="4" w:space="0" w:color="auto"/>
              <w:right w:val="single" w:sz="12" w:space="0" w:color="auto"/>
            </w:tcBorders>
            <w:hideMark/>
          </w:tcPr>
          <w:p w14:paraId="41B957F0" w14:textId="293D1396" w:rsidR="001530C0" w:rsidRDefault="00314CBE" w:rsidP="00B502A0">
            <w:pPr>
              <w:spacing w:before="60" w:after="60"/>
              <w:jc w:val="both"/>
            </w:pPr>
            <w:r>
              <w:t>MPO</w:t>
            </w:r>
          </w:p>
        </w:tc>
      </w:tr>
      <w:tr w:rsidR="000B67AA" w14:paraId="0C3BF47F" w14:textId="77777777" w:rsidTr="003447F9">
        <w:trPr>
          <w:trHeight w:val="59"/>
        </w:trPr>
        <w:tc>
          <w:tcPr>
            <w:tcW w:w="1374" w:type="pct"/>
            <w:tcBorders>
              <w:top w:val="single" w:sz="4" w:space="0" w:color="auto"/>
              <w:left w:val="single" w:sz="12" w:space="0" w:color="auto"/>
              <w:bottom w:val="single" w:sz="4" w:space="0" w:color="auto"/>
              <w:right w:val="single" w:sz="12" w:space="0" w:color="auto"/>
            </w:tcBorders>
          </w:tcPr>
          <w:p w14:paraId="14B82CE6" w14:textId="77777777" w:rsidR="000B67AA" w:rsidRDefault="000B67AA" w:rsidP="00B502A0">
            <w:pPr>
              <w:spacing w:before="60" w:after="60"/>
              <w:jc w:val="both"/>
            </w:pPr>
            <w:r>
              <w:t>Spolupráce</w:t>
            </w:r>
          </w:p>
        </w:tc>
        <w:tc>
          <w:tcPr>
            <w:tcW w:w="3626" w:type="pct"/>
            <w:tcBorders>
              <w:top w:val="single" w:sz="4" w:space="0" w:color="auto"/>
              <w:left w:val="single" w:sz="12" w:space="0" w:color="auto"/>
              <w:bottom w:val="single" w:sz="4" w:space="0" w:color="auto"/>
              <w:right w:val="single" w:sz="12" w:space="0" w:color="auto"/>
            </w:tcBorders>
          </w:tcPr>
          <w:p w14:paraId="789F242E" w14:textId="27253590" w:rsidR="000B67AA" w:rsidRDefault="000B67AA" w:rsidP="00B502A0">
            <w:pPr>
              <w:spacing w:before="60" w:after="60"/>
              <w:jc w:val="both"/>
            </w:pPr>
            <w:r>
              <w:t xml:space="preserve">MŠMT, </w:t>
            </w:r>
            <w:r w:rsidR="00314CBE">
              <w:t xml:space="preserve">MŽP, </w:t>
            </w:r>
            <w:r>
              <w:t>MD</w:t>
            </w:r>
            <w:r w:rsidR="00FA66DA">
              <w:t xml:space="preserve">, TA ČR </w:t>
            </w:r>
          </w:p>
        </w:tc>
      </w:tr>
      <w:tr w:rsidR="000B67AA" w14:paraId="4C176C5B" w14:textId="77777777" w:rsidTr="003447F9">
        <w:trPr>
          <w:trHeight w:val="573"/>
        </w:trPr>
        <w:tc>
          <w:tcPr>
            <w:tcW w:w="1374" w:type="pct"/>
            <w:tcBorders>
              <w:top w:val="single" w:sz="4" w:space="0" w:color="auto"/>
              <w:left w:val="single" w:sz="12" w:space="0" w:color="auto"/>
              <w:right w:val="single" w:sz="12" w:space="0" w:color="auto"/>
            </w:tcBorders>
            <w:hideMark/>
          </w:tcPr>
          <w:p w14:paraId="731F624F" w14:textId="77777777" w:rsidR="000B67AA" w:rsidRDefault="000B67AA" w:rsidP="00B502A0">
            <w:pPr>
              <w:spacing w:before="60" w:after="60"/>
              <w:jc w:val="both"/>
            </w:pPr>
            <w:r>
              <w:t>Termín</w:t>
            </w:r>
          </w:p>
        </w:tc>
        <w:tc>
          <w:tcPr>
            <w:tcW w:w="3626" w:type="pct"/>
            <w:tcBorders>
              <w:top w:val="single" w:sz="4" w:space="0" w:color="auto"/>
              <w:left w:val="single" w:sz="12" w:space="0" w:color="auto"/>
              <w:right w:val="single" w:sz="12" w:space="0" w:color="auto"/>
            </w:tcBorders>
            <w:hideMark/>
          </w:tcPr>
          <w:p w14:paraId="160B570E" w14:textId="0161E067" w:rsidR="000B67AA" w:rsidRDefault="000B67AA" w:rsidP="00413546">
            <w:pPr>
              <w:pStyle w:val="Odstavecseseznamem"/>
              <w:numPr>
                <w:ilvl w:val="0"/>
                <w:numId w:val="74"/>
              </w:numPr>
              <w:spacing w:before="60" w:after="60"/>
              <w:jc w:val="both"/>
            </w:pPr>
            <w:r>
              <w:t>– 2027</w:t>
            </w:r>
          </w:p>
        </w:tc>
      </w:tr>
    </w:tbl>
    <w:p w14:paraId="39A4C8B5" w14:textId="77777777" w:rsidR="001530C0" w:rsidRDefault="001530C0" w:rsidP="009A3B7E">
      <w:pPr>
        <w:jc w:val="both"/>
      </w:pPr>
    </w:p>
    <w:p w14:paraId="01B4A5F1" w14:textId="77777777" w:rsidR="001530C0" w:rsidRDefault="001530C0" w:rsidP="009A3B7E">
      <w:pPr>
        <w:spacing w:before="0" w:after="0"/>
        <w:jc w:val="both"/>
      </w:pPr>
      <w:r>
        <w:br w:type="page"/>
      </w:r>
    </w:p>
    <w:p w14:paraId="1027F8E7" w14:textId="57232E0D" w:rsidR="001530C0" w:rsidRDefault="001530C0" w:rsidP="00DA4FB6">
      <w:pPr>
        <w:pStyle w:val="Nadpis2"/>
      </w:pPr>
      <w:bookmarkStart w:id="125" w:name="_Toc21589189"/>
      <w:r>
        <w:t xml:space="preserve"> </w:t>
      </w:r>
      <w:bookmarkStart w:id="126" w:name="_Toc21589191"/>
      <w:bookmarkStart w:id="127" w:name="_Toc34387159"/>
      <w:bookmarkEnd w:id="125"/>
      <w:r w:rsidRPr="00387A8B">
        <w:t>Ostatní opatření</w:t>
      </w:r>
      <w:bookmarkEnd w:id="126"/>
      <w:bookmarkEnd w:id="127"/>
    </w:p>
    <w:p w14:paraId="68848138" w14:textId="4C498E3F" w:rsidR="001530C0" w:rsidRDefault="001530C0" w:rsidP="00E57E7F">
      <w:pPr>
        <w:pStyle w:val="Nadpis3"/>
        <w:spacing w:after="0"/>
        <w:jc w:val="both"/>
      </w:pPr>
      <w:bookmarkStart w:id="128" w:name="_Toc21589192"/>
      <w:r>
        <w:t>S2</w:t>
      </w:r>
      <w:r w:rsidR="00DA4FB6">
        <w:t>7</w:t>
      </w:r>
      <w:r>
        <w:t xml:space="preserve"> </w:t>
      </w:r>
      <w:r w:rsidRPr="007D795F">
        <w:t>Zajištění informovanosti účastníků silničního provozu o</w:t>
      </w:r>
      <w:r w:rsidR="005A1247">
        <w:t> </w:t>
      </w:r>
      <w:r w:rsidRPr="007D795F">
        <w:t>umístění, typu a</w:t>
      </w:r>
      <w:r w:rsidR="005A1247">
        <w:t> </w:t>
      </w:r>
      <w:r w:rsidRPr="007D795F">
        <w:t>vybavení dobíjecích a</w:t>
      </w:r>
      <w:r w:rsidR="005A1247">
        <w:t> </w:t>
      </w:r>
      <w:r w:rsidRPr="007D795F">
        <w:t>plnicích stanic prostřednictvím systémů ITS</w:t>
      </w:r>
      <w:bookmarkEnd w:id="128"/>
    </w:p>
    <w:tbl>
      <w:tblPr>
        <w:tblpPr w:leftFromText="142" w:rightFromText="142" w:vertAnchor="text" w:horzAnchor="margin" w:tblpY="28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499"/>
      </w:tblGrid>
      <w:tr w:rsidR="001530C0" w:rsidRPr="003A7A2B" w14:paraId="3E6D6768" w14:textId="77777777" w:rsidTr="003447F9">
        <w:tc>
          <w:tcPr>
            <w:tcW w:w="9483"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Pr>
          <w:p w14:paraId="3E5E303D" w14:textId="5CE7139E" w:rsidR="001530C0" w:rsidRPr="003A7A2B" w:rsidRDefault="001530C0" w:rsidP="005A1247">
            <w:pPr>
              <w:jc w:val="both"/>
              <w:rPr>
                <w:rFonts w:cs="Arial"/>
                <w:b/>
                <w:color w:val="FFFFFF" w:themeColor="background1"/>
              </w:rPr>
            </w:pPr>
            <w:r>
              <w:rPr>
                <w:rFonts w:cs="Arial"/>
                <w:b/>
                <w:color w:val="FFFFFF" w:themeColor="background1"/>
              </w:rPr>
              <w:t>S2</w:t>
            </w:r>
            <w:r w:rsidR="00DA4FB6">
              <w:rPr>
                <w:rFonts w:cs="Arial"/>
                <w:b/>
                <w:color w:val="FFFFFF" w:themeColor="background1"/>
              </w:rPr>
              <w:t>7</w:t>
            </w:r>
            <w:r>
              <w:rPr>
                <w:rFonts w:cs="Arial"/>
                <w:b/>
                <w:color w:val="FFFFFF" w:themeColor="background1"/>
              </w:rPr>
              <w:t xml:space="preserve"> </w:t>
            </w:r>
            <w:r w:rsidRPr="00B864C5">
              <w:rPr>
                <w:rFonts w:cs="Arial"/>
                <w:b/>
                <w:color w:val="FFFFFF" w:themeColor="background1"/>
              </w:rPr>
              <w:t>Zajištění informovanosti účastníků silničního provozu o</w:t>
            </w:r>
            <w:r w:rsidR="005A1247">
              <w:rPr>
                <w:rFonts w:cs="Arial"/>
                <w:b/>
                <w:color w:val="FFFFFF" w:themeColor="background1"/>
              </w:rPr>
              <w:t> </w:t>
            </w:r>
            <w:r w:rsidRPr="00B864C5">
              <w:rPr>
                <w:rFonts w:cs="Arial"/>
                <w:b/>
                <w:color w:val="FFFFFF" w:themeColor="background1"/>
              </w:rPr>
              <w:t>umístění, typu a</w:t>
            </w:r>
            <w:r w:rsidR="005A1247">
              <w:rPr>
                <w:rFonts w:cs="Arial"/>
                <w:b/>
                <w:color w:val="FFFFFF" w:themeColor="background1"/>
              </w:rPr>
              <w:t> </w:t>
            </w:r>
            <w:r w:rsidRPr="00B864C5">
              <w:rPr>
                <w:rFonts w:cs="Arial"/>
                <w:b/>
                <w:color w:val="FFFFFF" w:themeColor="background1"/>
              </w:rPr>
              <w:t>vybavení dobíjecích a</w:t>
            </w:r>
            <w:r w:rsidR="005A1247">
              <w:rPr>
                <w:rFonts w:cs="Arial"/>
                <w:b/>
                <w:color w:val="FFFFFF" w:themeColor="background1"/>
              </w:rPr>
              <w:t> </w:t>
            </w:r>
            <w:r w:rsidRPr="00B864C5">
              <w:rPr>
                <w:rFonts w:cs="Arial"/>
                <w:b/>
                <w:color w:val="FFFFFF" w:themeColor="background1"/>
              </w:rPr>
              <w:t>plnicích stanic prostřednictvím systémů ITS</w:t>
            </w:r>
          </w:p>
        </w:tc>
      </w:tr>
      <w:tr w:rsidR="00FB5CA5" w:rsidRPr="003A7A2B" w14:paraId="664BCB3C" w14:textId="77777777" w:rsidTr="003447F9">
        <w:tc>
          <w:tcPr>
            <w:tcW w:w="1984" w:type="dxa"/>
            <w:tcBorders>
              <w:top w:val="single" w:sz="12" w:space="0" w:color="auto"/>
              <w:left w:val="single" w:sz="12" w:space="0" w:color="auto"/>
              <w:right w:val="single" w:sz="12" w:space="0" w:color="auto"/>
            </w:tcBorders>
          </w:tcPr>
          <w:p w14:paraId="0624D30E"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Návaznost na strategický cíl</w:t>
            </w:r>
          </w:p>
        </w:tc>
        <w:tc>
          <w:tcPr>
            <w:tcW w:w="7499" w:type="dxa"/>
            <w:tcBorders>
              <w:top w:val="single" w:sz="12" w:space="0" w:color="auto"/>
              <w:left w:val="single" w:sz="12" w:space="0" w:color="auto"/>
              <w:right w:val="single" w:sz="12" w:space="0" w:color="auto"/>
            </w:tcBorders>
          </w:tcPr>
          <w:p w14:paraId="4DC1847F"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Zajištění stabilního regulatorního rámce pro rozvoj elektromobility</w:t>
            </w:r>
            <w:r w:rsidR="00797C43" w:rsidRPr="00E57E7F">
              <w:rPr>
                <w:rFonts w:cs="Arial"/>
                <w:sz w:val="21"/>
                <w:szCs w:val="21"/>
              </w:rPr>
              <w:t xml:space="preserve"> (kap. 2.4.3.)</w:t>
            </w:r>
          </w:p>
          <w:p w14:paraId="1404CFC2"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Vytváření podmínek pro lepší vnímání zemního plynu coby alternativního paliva na straně potenciálních zákazníků</w:t>
            </w:r>
            <w:r w:rsidR="00797C43" w:rsidRPr="00E57E7F">
              <w:rPr>
                <w:rFonts w:cs="Arial"/>
                <w:sz w:val="21"/>
                <w:szCs w:val="21"/>
              </w:rPr>
              <w:t xml:space="preserve"> (3.3.4.)</w:t>
            </w:r>
          </w:p>
          <w:p w14:paraId="17A3143B"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Zlepšení regulatorního rámce vodíkové elektromobility</w:t>
            </w:r>
            <w:r w:rsidR="00797C43" w:rsidRPr="00E57E7F">
              <w:rPr>
                <w:rFonts w:cs="Arial"/>
                <w:sz w:val="21"/>
                <w:szCs w:val="21"/>
              </w:rPr>
              <w:t xml:space="preserve"> (kap. 4.3.4.)</w:t>
            </w:r>
          </w:p>
        </w:tc>
      </w:tr>
      <w:tr w:rsidR="00FB5CA5" w:rsidRPr="003A7A2B" w14:paraId="63BDF437" w14:textId="77777777" w:rsidTr="003447F9">
        <w:tc>
          <w:tcPr>
            <w:tcW w:w="1984" w:type="dxa"/>
            <w:tcBorders>
              <w:top w:val="single" w:sz="4" w:space="0" w:color="auto"/>
              <w:left w:val="single" w:sz="12" w:space="0" w:color="auto"/>
              <w:right w:val="single" w:sz="12" w:space="0" w:color="auto"/>
            </w:tcBorders>
          </w:tcPr>
          <w:p w14:paraId="04C0B8A8"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Cíl opatření</w:t>
            </w:r>
          </w:p>
        </w:tc>
        <w:tc>
          <w:tcPr>
            <w:tcW w:w="7499" w:type="dxa"/>
            <w:tcBorders>
              <w:top w:val="single" w:sz="4" w:space="0" w:color="auto"/>
              <w:left w:val="single" w:sz="12" w:space="0" w:color="auto"/>
              <w:right w:val="single" w:sz="12" w:space="0" w:color="auto"/>
            </w:tcBorders>
          </w:tcPr>
          <w:p w14:paraId="7078C22C" w14:textId="2C5665AE" w:rsidR="001530C0" w:rsidRPr="00E57E7F" w:rsidRDefault="001530C0" w:rsidP="005A1247">
            <w:pPr>
              <w:pStyle w:val="Normln10"/>
              <w:spacing w:before="20" w:line="240" w:lineRule="auto"/>
              <w:rPr>
                <w:rFonts w:cs="Arial"/>
                <w:sz w:val="21"/>
                <w:szCs w:val="21"/>
              </w:rPr>
            </w:pPr>
            <w:r w:rsidRPr="00E57E7F">
              <w:rPr>
                <w:rFonts w:cs="Arial"/>
                <w:sz w:val="21"/>
                <w:szCs w:val="21"/>
              </w:rPr>
              <w:t>Zajištění informovanosti účastníků silničního provozu o</w:t>
            </w:r>
            <w:r w:rsidR="005A1247">
              <w:rPr>
                <w:rFonts w:cs="Arial"/>
                <w:sz w:val="21"/>
                <w:szCs w:val="21"/>
              </w:rPr>
              <w:t> </w:t>
            </w:r>
            <w:r w:rsidRPr="00E57E7F">
              <w:rPr>
                <w:rFonts w:cs="Arial"/>
                <w:sz w:val="21"/>
                <w:szCs w:val="21"/>
              </w:rPr>
              <w:t>umístění, typu a</w:t>
            </w:r>
            <w:r w:rsidR="005A1247">
              <w:rPr>
                <w:rFonts w:cs="Arial"/>
                <w:sz w:val="21"/>
                <w:szCs w:val="21"/>
              </w:rPr>
              <w:t> </w:t>
            </w:r>
            <w:r w:rsidRPr="00E57E7F">
              <w:rPr>
                <w:rFonts w:cs="Arial"/>
                <w:sz w:val="21"/>
                <w:szCs w:val="21"/>
              </w:rPr>
              <w:t>vybavení dobíjecích a</w:t>
            </w:r>
            <w:r w:rsidR="005A1247">
              <w:rPr>
                <w:rFonts w:cs="Arial"/>
                <w:sz w:val="21"/>
                <w:szCs w:val="21"/>
              </w:rPr>
              <w:t> </w:t>
            </w:r>
            <w:r w:rsidRPr="00E57E7F">
              <w:rPr>
                <w:rFonts w:cs="Arial"/>
                <w:sz w:val="21"/>
                <w:szCs w:val="21"/>
              </w:rPr>
              <w:t>plnicích stanic prostřednictvím systémů ITS</w:t>
            </w:r>
          </w:p>
        </w:tc>
      </w:tr>
      <w:tr w:rsidR="00FB5CA5" w:rsidRPr="003A7A2B" w14:paraId="0313D410" w14:textId="77777777" w:rsidTr="003447F9">
        <w:tc>
          <w:tcPr>
            <w:tcW w:w="1984" w:type="dxa"/>
            <w:tcBorders>
              <w:left w:val="single" w:sz="12" w:space="0" w:color="auto"/>
              <w:right w:val="single" w:sz="12" w:space="0" w:color="auto"/>
            </w:tcBorders>
          </w:tcPr>
          <w:p w14:paraId="094EC0EB"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Popis opatření</w:t>
            </w:r>
          </w:p>
        </w:tc>
        <w:tc>
          <w:tcPr>
            <w:tcW w:w="7499" w:type="dxa"/>
            <w:tcBorders>
              <w:left w:val="single" w:sz="12" w:space="0" w:color="auto"/>
              <w:right w:val="single" w:sz="12" w:space="0" w:color="auto"/>
            </w:tcBorders>
          </w:tcPr>
          <w:p w14:paraId="2D4BB02B" w14:textId="354E8295" w:rsidR="001530C0" w:rsidRPr="00E57E7F" w:rsidRDefault="001530C0" w:rsidP="00B502A0">
            <w:pPr>
              <w:pStyle w:val="Normln10"/>
              <w:spacing w:before="20" w:line="240" w:lineRule="auto"/>
              <w:rPr>
                <w:rFonts w:cs="Arial"/>
                <w:sz w:val="21"/>
                <w:szCs w:val="21"/>
              </w:rPr>
            </w:pPr>
            <w:r w:rsidRPr="00E57E7F">
              <w:rPr>
                <w:rFonts w:cs="Arial"/>
                <w:sz w:val="21"/>
                <w:szCs w:val="21"/>
              </w:rPr>
              <w:t xml:space="preserve">V návaznosti na </w:t>
            </w:r>
            <w:r w:rsidR="009E40B8" w:rsidRPr="00E57E7F">
              <w:rPr>
                <w:rFonts w:cs="Arial"/>
                <w:sz w:val="21"/>
                <w:szCs w:val="21"/>
              </w:rPr>
              <w:t>obecné trendy v</w:t>
            </w:r>
            <w:r w:rsidR="005A1247">
              <w:rPr>
                <w:rFonts w:cs="Arial"/>
                <w:sz w:val="21"/>
                <w:szCs w:val="21"/>
              </w:rPr>
              <w:t> </w:t>
            </w:r>
            <w:r w:rsidR="009E40B8" w:rsidRPr="00E57E7F">
              <w:rPr>
                <w:rFonts w:cs="Arial"/>
                <w:sz w:val="21"/>
                <w:szCs w:val="21"/>
              </w:rPr>
              <w:t xml:space="preserve">oblasti digitalizace, </w:t>
            </w:r>
            <w:r w:rsidRPr="00E57E7F">
              <w:rPr>
                <w:rFonts w:cs="Arial"/>
                <w:sz w:val="21"/>
                <w:szCs w:val="21"/>
              </w:rPr>
              <w:t>rozvoj chytrých sítí a</w:t>
            </w:r>
            <w:r w:rsidR="005A1247">
              <w:rPr>
                <w:rFonts w:cs="Arial"/>
                <w:sz w:val="21"/>
                <w:szCs w:val="21"/>
              </w:rPr>
              <w:t> </w:t>
            </w:r>
            <w:r w:rsidRPr="00E57E7F">
              <w:rPr>
                <w:rFonts w:cs="Arial"/>
                <w:sz w:val="21"/>
                <w:szCs w:val="21"/>
              </w:rPr>
              <w:t>vybavení infrastruktury dobíjecími a</w:t>
            </w:r>
            <w:r w:rsidR="005A1247">
              <w:rPr>
                <w:rFonts w:cs="Arial"/>
                <w:sz w:val="21"/>
                <w:szCs w:val="21"/>
              </w:rPr>
              <w:t> </w:t>
            </w:r>
            <w:r w:rsidRPr="00E57E7F">
              <w:rPr>
                <w:rFonts w:cs="Arial"/>
                <w:sz w:val="21"/>
                <w:szCs w:val="21"/>
              </w:rPr>
              <w:t>plnicími stanicemi bude třeba zajistit informovanost účastníků silničního provozu zejména o</w:t>
            </w:r>
            <w:r w:rsidR="005A1247">
              <w:rPr>
                <w:rFonts w:cs="Arial"/>
                <w:sz w:val="21"/>
                <w:szCs w:val="21"/>
              </w:rPr>
              <w:t> </w:t>
            </w:r>
            <w:r w:rsidRPr="00E57E7F">
              <w:rPr>
                <w:rFonts w:cs="Arial"/>
                <w:sz w:val="21"/>
                <w:szCs w:val="21"/>
              </w:rPr>
              <w:t>umístění, typu a</w:t>
            </w:r>
            <w:r w:rsidR="005A1247">
              <w:rPr>
                <w:rFonts w:cs="Arial"/>
                <w:sz w:val="21"/>
                <w:szCs w:val="21"/>
              </w:rPr>
              <w:t> </w:t>
            </w:r>
            <w:r w:rsidRPr="00E57E7F">
              <w:rPr>
                <w:rFonts w:cs="Arial"/>
                <w:sz w:val="21"/>
                <w:szCs w:val="21"/>
              </w:rPr>
              <w:t>vybavení dobíjecích a</w:t>
            </w:r>
            <w:r w:rsidR="005A1247">
              <w:rPr>
                <w:rFonts w:cs="Arial"/>
                <w:sz w:val="21"/>
                <w:szCs w:val="21"/>
              </w:rPr>
              <w:t> </w:t>
            </w:r>
            <w:r w:rsidRPr="00E57E7F">
              <w:rPr>
                <w:rFonts w:cs="Arial"/>
                <w:sz w:val="21"/>
                <w:szCs w:val="21"/>
              </w:rPr>
              <w:t>plnicích stanic. Pro poskytování těchto informací se jako nejvhodnější nástroj jeví tzv. národní přístupový bod, který byl zřízen pro poskytování „minimálních univerzálních informací o</w:t>
            </w:r>
            <w:r w:rsidR="005A1247">
              <w:rPr>
                <w:rFonts w:cs="Arial"/>
                <w:sz w:val="21"/>
                <w:szCs w:val="21"/>
              </w:rPr>
              <w:t> </w:t>
            </w:r>
            <w:r w:rsidRPr="00E57E7F">
              <w:rPr>
                <w:rFonts w:cs="Arial"/>
                <w:sz w:val="21"/>
                <w:szCs w:val="21"/>
              </w:rPr>
              <w:t>dopravním provozu“, tedy dopravních informací o</w:t>
            </w:r>
            <w:r w:rsidR="005A1247">
              <w:rPr>
                <w:rFonts w:cs="Arial"/>
                <w:sz w:val="21"/>
                <w:szCs w:val="21"/>
              </w:rPr>
              <w:t> </w:t>
            </w:r>
            <w:r w:rsidRPr="00E57E7F">
              <w:rPr>
                <w:rFonts w:cs="Arial"/>
                <w:sz w:val="21"/>
                <w:szCs w:val="21"/>
              </w:rPr>
              <w:t>situaci na silniční síti, přičemž tyto informace svojí povahou upozorňují řidiče na nebezpečné situace v</w:t>
            </w:r>
            <w:r w:rsidR="005A1247">
              <w:rPr>
                <w:rFonts w:cs="Arial"/>
                <w:sz w:val="21"/>
                <w:szCs w:val="21"/>
              </w:rPr>
              <w:t> </w:t>
            </w:r>
            <w:r w:rsidRPr="00E57E7F">
              <w:rPr>
                <w:rFonts w:cs="Arial"/>
                <w:sz w:val="21"/>
                <w:szCs w:val="21"/>
              </w:rPr>
              <w:t>silničním provozu. V</w:t>
            </w:r>
            <w:r w:rsidR="005A1247">
              <w:rPr>
                <w:rFonts w:cs="Arial"/>
                <w:sz w:val="21"/>
                <w:szCs w:val="21"/>
              </w:rPr>
              <w:t> </w:t>
            </w:r>
            <w:r w:rsidRPr="00E57E7F">
              <w:rPr>
                <w:rFonts w:cs="Arial"/>
                <w:sz w:val="21"/>
                <w:szCs w:val="21"/>
              </w:rPr>
              <w:t>ČR tuto roli plní Národní informační dopravní centrum (NDIC), jehož činnost zajišťuje ŘSD.</w:t>
            </w:r>
          </w:p>
          <w:p w14:paraId="4BB22F52" w14:textId="782CF124" w:rsidR="001530C0" w:rsidRPr="00E57E7F" w:rsidRDefault="001530C0" w:rsidP="00B502A0">
            <w:pPr>
              <w:pStyle w:val="Normln10"/>
              <w:spacing w:before="20" w:line="240" w:lineRule="auto"/>
              <w:rPr>
                <w:rFonts w:cs="Arial"/>
                <w:sz w:val="21"/>
                <w:szCs w:val="21"/>
              </w:rPr>
            </w:pPr>
            <w:r w:rsidRPr="00E57E7F">
              <w:rPr>
                <w:rFonts w:cs="Arial"/>
                <w:sz w:val="21"/>
                <w:szCs w:val="21"/>
              </w:rPr>
              <w:t>Takto koncipované opatření odpovídá Akčnímu plánu rozvoje inteligentních dopravních systémů (ITS) v</w:t>
            </w:r>
            <w:r w:rsidR="005A1247">
              <w:rPr>
                <w:rFonts w:cs="Arial"/>
                <w:sz w:val="21"/>
                <w:szCs w:val="21"/>
              </w:rPr>
              <w:t> </w:t>
            </w:r>
            <w:r w:rsidRPr="00E57E7F">
              <w:rPr>
                <w:rFonts w:cs="Arial"/>
                <w:sz w:val="21"/>
                <w:szCs w:val="21"/>
              </w:rPr>
              <w:t>ČR do roku 2020 s</w:t>
            </w:r>
            <w:r w:rsidR="005A1247">
              <w:rPr>
                <w:rFonts w:cs="Arial"/>
                <w:sz w:val="21"/>
                <w:szCs w:val="21"/>
              </w:rPr>
              <w:t> </w:t>
            </w:r>
            <w:r w:rsidRPr="00E57E7F">
              <w:rPr>
                <w:rFonts w:cs="Arial"/>
                <w:sz w:val="21"/>
                <w:szCs w:val="21"/>
              </w:rPr>
              <w:t>výhledem do roku 2050 (viz Usnesení vlády ČR ze dne 15. dubna 2015 č. 268), dle něhož bude do národního přístupového bodu začleněn zdroj informací o</w:t>
            </w:r>
            <w:r w:rsidR="005A1247">
              <w:rPr>
                <w:rFonts w:cs="Arial"/>
                <w:sz w:val="21"/>
                <w:szCs w:val="21"/>
              </w:rPr>
              <w:t> </w:t>
            </w:r>
            <w:r w:rsidRPr="00E57E7F">
              <w:rPr>
                <w:rFonts w:cs="Arial"/>
                <w:sz w:val="21"/>
                <w:szCs w:val="21"/>
              </w:rPr>
              <w:t>vybavení silniční sítě dobíjecími a</w:t>
            </w:r>
            <w:r w:rsidR="005A1247">
              <w:rPr>
                <w:rFonts w:cs="Arial"/>
                <w:sz w:val="21"/>
                <w:szCs w:val="21"/>
              </w:rPr>
              <w:t> </w:t>
            </w:r>
            <w:r w:rsidRPr="00E57E7F">
              <w:rPr>
                <w:rFonts w:cs="Arial"/>
                <w:sz w:val="21"/>
                <w:szCs w:val="21"/>
              </w:rPr>
              <w:t>plnicími stanicemi. Tento zdroj bude průběžně rozšiřován a</w:t>
            </w:r>
            <w:r w:rsidR="005A1247">
              <w:rPr>
                <w:rFonts w:cs="Arial"/>
                <w:sz w:val="21"/>
                <w:szCs w:val="21"/>
              </w:rPr>
              <w:t> </w:t>
            </w:r>
            <w:r w:rsidRPr="00E57E7F">
              <w:rPr>
                <w:rFonts w:cs="Arial"/>
                <w:sz w:val="21"/>
                <w:szCs w:val="21"/>
              </w:rPr>
              <w:t xml:space="preserve">účastníkům silničního provozu budou poskytovány </w:t>
            </w:r>
            <w:r w:rsidR="009E40B8" w:rsidRPr="00E57E7F">
              <w:rPr>
                <w:rFonts w:cs="Arial"/>
                <w:sz w:val="21"/>
                <w:szCs w:val="21"/>
              </w:rPr>
              <w:t xml:space="preserve">tzv. dynamické informace </w:t>
            </w:r>
            <w:r w:rsidRPr="00E57E7F">
              <w:rPr>
                <w:rFonts w:cs="Arial"/>
                <w:sz w:val="21"/>
                <w:szCs w:val="21"/>
              </w:rPr>
              <w:t>o</w:t>
            </w:r>
            <w:r w:rsidR="005A1247">
              <w:rPr>
                <w:rFonts w:cs="Arial"/>
                <w:sz w:val="21"/>
                <w:szCs w:val="21"/>
              </w:rPr>
              <w:t> </w:t>
            </w:r>
            <w:r w:rsidRPr="00E57E7F">
              <w:rPr>
                <w:rFonts w:cs="Arial"/>
                <w:sz w:val="21"/>
                <w:szCs w:val="21"/>
              </w:rPr>
              <w:t>přístupnosti těchto stanic</w:t>
            </w:r>
            <w:r w:rsidR="009E40B8" w:rsidRPr="00E57E7F">
              <w:rPr>
                <w:rFonts w:cs="Arial"/>
                <w:sz w:val="21"/>
                <w:szCs w:val="21"/>
              </w:rPr>
              <w:t xml:space="preserve"> v</w:t>
            </w:r>
            <w:r w:rsidR="005A1247">
              <w:rPr>
                <w:rFonts w:cs="Arial"/>
                <w:sz w:val="21"/>
                <w:szCs w:val="21"/>
              </w:rPr>
              <w:t> </w:t>
            </w:r>
            <w:r w:rsidR="009E40B8" w:rsidRPr="00E57E7F">
              <w:rPr>
                <w:rFonts w:cs="Arial"/>
                <w:sz w:val="21"/>
                <w:szCs w:val="21"/>
              </w:rPr>
              <w:t>reálném čase (provozuschopnost/obsazenost dobíjecího bodu)</w:t>
            </w:r>
            <w:r w:rsidRPr="00E57E7F">
              <w:rPr>
                <w:rFonts w:cs="Arial"/>
                <w:sz w:val="21"/>
                <w:szCs w:val="21"/>
              </w:rPr>
              <w:t>.</w:t>
            </w:r>
          </w:p>
          <w:p w14:paraId="0DCE447E" w14:textId="5BC4963C" w:rsidR="001530C0" w:rsidRPr="00E57E7F" w:rsidRDefault="001530C0" w:rsidP="00B502A0">
            <w:pPr>
              <w:pStyle w:val="Normln10"/>
              <w:spacing w:before="20" w:line="240" w:lineRule="auto"/>
              <w:rPr>
                <w:rFonts w:cs="Arial"/>
                <w:sz w:val="21"/>
                <w:szCs w:val="21"/>
              </w:rPr>
            </w:pPr>
            <w:r w:rsidRPr="00E57E7F">
              <w:rPr>
                <w:rFonts w:cs="Arial"/>
                <w:sz w:val="21"/>
                <w:szCs w:val="21"/>
              </w:rPr>
              <w:t>Toto opatření bylo stanoveno již v</w:t>
            </w:r>
            <w:r w:rsidR="005A1247">
              <w:rPr>
                <w:rFonts w:cs="Arial"/>
                <w:sz w:val="21"/>
                <w:szCs w:val="21"/>
              </w:rPr>
              <w:t> </w:t>
            </w:r>
            <w:r w:rsidRPr="00E57E7F">
              <w:rPr>
                <w:rFonts w:cs="Arial"/>
                <w:sz w:val="21"/>
                <w:szCs w:val="21"/>
              </w:rPr>
              <w:t>rámci původního NAP CM, nicméně jeho realizace zatím nebyla dokončena. K</w:t>
            </w:r>
            <w:r w:rsidR="005A1247">
              <w:rPr>
                <w:rFonts w:cs="Arial"/>
                <w:sz w:val="21"/>
                <w:szCs w:val="21"/>
              </w:rPr>
              <w:t> </w:t>
            </w:r>
            <w:r w:rsidRPr="00E57E7F">
              <w:rPr>
                <w:rFonts w:cs="Arial"/>
                <w:sz w:val="21"/>
                <w:szCs w:val="21"/>
              </w:rPr>
              <w:t>jeho splnění se ČR zavázala i</w:t>
            </w:r>
            <w:r w:rsidR="005A1247">
              <w:rPr>
                <w:rFonts w:cs="Arial"/>
                <w:sz w:val="21"/>
                <w:szCs w:val="21"/>
              </w:rPr>
              <w:t> </w:t>
            </w:r>
            <w:r w:rsidRPr="00E57E7F">
              <w:rPr>
                <w:rFonts w:cs="Arial"/>
                <w:sz w:val="21"/>
                <w:szCs w:val="21"/>
              </w:rPr>
              <w:t>v</w:t>
            </w:r>
            <w:r w:rsidR="000F2439" w:rsidRPr="00E57E7F">
              <w:rPr>
                <w:rFonts w:cs="Arial"/>
                <w:sz w:val="21"/>
                <w:szCs w:val="21"/>
              </w:rPr>
              <w:t> </w:t>
            </w:r>
            <w:r w:rsidRPr="00E57E7F">
              <w:rPr>
                <w:rFonts w:cs="Arial"/>
                <w:sz w:val="21"/>
                <w:szCs w:val="21"/>
              </w:rPr>
              <w:t>rámci projektu zaměřeného na elektromobilitu v</w:t>
            </w:r>
            <w:r w:rsidR="005A1247">
              <w:rPr>
                <w:rFonts w:cs="Arial"/>
                <w:sz w:val="21"/>
                <w:szCs w:val="21"/>
              </w:rPr>
              <w:t> </w:t>
            </w:r>
            <w:r w:rsidRPr="00E57E7F">
              <w:rPr>
                <w:rFonts w:cs="Arial"/>
                <w:sz w:val="21"/>
                <w:szCs w:val="21"/>
              </w:rPr>
              <w:t>rámci tzv. technické pomoci CEF (PSA CEF). V</w:t>
            </w:r>
            <w:r w:rsidR="005A1247">
              <w:rPr>
                <w:rFonts w:cs="Arial"/>
                <w:sz w:val="21"/>
                <w:szCs w:val="21"/>
              </w:rPr>
              <w:t> </w:t>
            </w:r>
            <w:r w:rsidRPr="00E57E7F">
              <w:rPr>
                <w:rFonts w:cs="Arial"/>
                <w:sz w:val="21"/>
                <w:szCs w:val="21"/>
              </w:rPr>
              <w:t>současnosti je již k</w:t>
            </w:r>
            <w:r w:rsidR="005A1247">
              <w:rPr>
                <w:rFonts w:cs="Arial"/>
                <w:sz w:val="21"/>
                <w:szCs w:val="21"/>
              </w:rPr>
              <w:t> </w:t>
            </w:r>
            <w:r w:rsidRPr="00E57E7F">
              <w:rPr>
                <w:rFonts w:cs="Arial"/>
                <w:sz w:val="21"/>
                <w:szCs w:val="21"/>
              </w:rPr>
              <w:t>dispozici „Analýza proveditelnosti funkce informace o</w:t>
            </w:r>
            <w:r w:rsidR="005A1247">
              <w:rPr>
                <w:rFonts w:cs="Arial"/>
                <w:sz w:val="21"/>
                <w:szCs w:val="21"/>
              </w:rPr>
              <w:t> </w:t>
            </w:r>
            <w:r w:rsidRPr="00E57E7F">
              <w:rPr>
                <w:rFonts w:cs="Arial"/>
                <w:sz w:val="21"/>
                <w:szCs w:val="21"/>
              </w:rPr>
              <w:t>místech dobíjení energie dle Strategického plánu rozvoje NDIC“, na níž dokonce letošního roku naváže zpracování technické specifikace nového funkčního modulu NDIC. Ta by měla mj. obsahovat upřesněný katalog informací, detailní technické a</w:t>
            </w:r>
            <w:r w:rsidR="005A1247">
              <w:rPr>
                <w:rFonts w:cs="Arial"/>
                <w:sz w:val="21"/>
                <w:szCs w:val="21"/>
              </w:rPr>
              <w:t> </w:t>
            </w:r>
            <w:r w:rsidRPr="00E57E7F">
              <w:rPr>
                <w:rFonts w:cs="Arial"/>
                <w:sz w:val="21"/>
                <w:szCs w:val="21"/>
              </w:rPr>
              <w:t>funkční požadavky, definice KPI atp. pro nový modul NDIC. Tento dokument bude následně sloužit jako podklad pro realizaci veřejné zakázky na dílo „Národní přístupový bod k</w:t>
            </w:r>
            <w:r w:rsidR="005A1247">
              <w:rPr>
                <w:rFonts w:cs="Arial"/>
                <w:sz w:val="21"/>
                <w:szCs w:val="21"/>
              </w:rPr>
              <w:t> </w:t>
            </w:r>
            <w:r w:rsidRPr="00E57E7F">
              <w:rPr>
                <w:rFonts w:cs="Arial"/>
                <w:sz w:val="21"/>
                <w:szCs w:val="21"/>
              </w:rPr>
              <w:t>informacím o</w:t>
            </w:r>
            <w:r w:rsidR="005A1247">
              <w:rPr>
                <w:rFonts w:cs="Arial"/>
                <w:sz w:val="21"/>
                <w:szCs w:val="21"/>
              </w:rPr>
              <w:t> </w:t>
            </w:r>
            <w:r w:rsidRPr="00E57E7F">
              <w:rPr>
                <w:rFonts w:cs="Arial"/>
                <w:sz w:val="21"/>
                <w:szCs w:val="21"/>
              </w:rPr>
              <w:t>místech dobíjení energie“.</w:t>
            </w:r>
          </w:p>
          <w:p w14:paraId="3D26583C" w14:textId="40B00742" w:rsidR="009E40B8" w:rsidRPr="00E57E7F" w:rsidRDefault="009E40B8" w:rsidP="005A1247">
            <w:pPr>
              <w:pStyle w:val="Normln10"/>
              <w:spacing w:before="20" w:line="240" w:lineRule="auto"/>
              <w:rPr>
                <w:rFonts w:cs="Arial"/>
                <w:i/>
                <w:sz w:val="21"/>
                <w:szCs w:val="21"/>
              </w:rPr>
            </w:pPr>
            <w:r w:rsidRPr="00E57E7F">
              <w:rPr>
                <w:rFonts w:cs="Arial"/>
                <w:i/>
                <w:sz w:val="21"/>
                <w:szCs w:val="21"/>
              </w:rPr>
              <w:t>Pozn.: Veškeré návazné iniciativy, kde je možné využít moderní trendy v</w:t>
            </w:r>
            <w:r w:rsidR="005A1247">
              <w:rPr>
                <w:rFonts w:cs="Arial"/>
                <w:i/>
                <w:sz w:val="21"/>
                <w:szCs w:val="21"/>
              </w:rPr>
              <w:t> </w:t>
            </w:r>
            <w:r w:rsidRPr="00E57E7F">
              <w:rPr>
                <w:rFonts w:cs="Arial"/>
                <w:i/>
                <w:sz w:val="21"/>
                <w:szCs w:val="21"/>
              </w:rPr>
              <w:t>oblasti digitalizace (např. otázka rezervace dobíjení na příslušné dobíjecí stanici) jsou čistě komerční službou a</w:t>
            </w:r>
            <w:r w:rsidR="005A1247">
              <w:rPr>
                <w:rFonts w:cs="Arial"/>
                <w:i/>
                <w:sz w:val="21"/>
                <w:szCs w:val="21"/>
              </w:rPr>
              <w:t> </w:t>
            </w:r>
            <w:r w:rsidRPr="00E57E7F">
              <w:rPr>
                <w:rFonts w:cs="Arial"/>
                <w:i/>
                <w:sz w:val="21"/>
                <w:szCs w:val="21"/>
              </w:rPr>
              <w:t>nepředpokládá se, že by se NDIC v</w:t>
            </w:r>
            <w:r w:rsidR="005A1247">
              <w:rPr>
                <w:rFonts w:cs="Arial"/>
                <w:i/>
                <w:sz w:val="21"/>
                <w:szCs w:val="21"/>
              </w:rPr>
              <w:t> </w:t>
            </w:r>
            <w:r w:rsidRPr="00E57E7F">
              <w:rPr>
                <w:rFonts w:cs="Arial"/>
                <w:i/>
                <w:sz w:val="21"/>
                <w:szCs w:val="21"/>
              </w:rPr>
              <w:t>těchto oblastech angažoval.</w:t>
            </w:r>
          </w:p>
        </w:tc>
      </w:tr>
      <w:tr w:rsidR="00FB5CA5" w:rsidRPr="003A7A2B" w14:paraId="69B734BF" w14:textId="77777777" w:rsidTr="003447F9">
        <w:tc>
          <w:tcPr>
            <w:tcW w:w="1984" w:type="dxa"/>
            <w:tcBorders>
              <w:left w:val="single" w:sz="12" w:space="0" w:color="auto"/>
              <w:right w:val="single" w:sz="12" w:space="0" w:color="auto"/>
            </w:tcBorders>
          </w:tcPr>
          <w:p w14:paraId="2ABB0A42"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Rozpočtový dopad / financování</w:t>
            </w:r>
          </w:p>
        </w:tc>
        <w:tc>
          <w:tcPr>
            <w:tcW w:w="7499" w:type="dxa"/>
            <w:tcBorders>
              <w:left w:val="single" w:sz="12" w:space="0" w:color="auto"/>
              <w:right w:val="single" w:sz="12" w:space="0" w:color="auto"/>
            </w:tcBorders>
          </w:tcPr>
          <w:p w14:paraId="64855267" w14:textId="0C8821EF" w:rsidR="001530C0" w:rsidRPr="00E57E7F" w:rsidRDefault="001530C0" w:rsidP="005A1247">
            <w:pPr>
              <w:pStyle w:val="Normln10"/>
              <w:spacing w:before="20" w:line="240" w:lineRule="auto"/>
              <w:rPr>
                <w:rFonts w:cs="Arial"/>
                <w:sz w:val="21"/>
                <w:szCs w:val="21"/>
              </w:rPr>
            </w:pPr>
            <w:r w:rsidRPr="00E57E7F">
              <w:rPr>
                <w:rFonts w:cs="Arial"/>
                <w:sz w:val="21"/>
                <w:szCs w:val="21"/>
              </w:rPr>
              <w:t>Opatření bude financováno z</w:t>
            </w:r>
            <w:r w:rsidR="005A1247">
              <w:rPr>
                <w:rFonts w:cs="Arial"/>
                <w:sz w:val="21"/>
                <w:szCs w:val="21"/>
              </w:rPr>
              <w:t> </w:t>
            </w:r>
            <w:r w:rsidRPr="00E57E7F">
              <w:rPr>
                <w:rFonts w:cs="Arial"/>
                <w:sz w:val="21"/>
                <w:szCs w:val="21"/>
              </w:rPr>
              <w:t>rozpočtu Státního fondu dopravní infrastruktury a</w:t>
            </w:r>
            <w:r w:rsidR="005A1247">
              <w:rPr>
                <w:rFonts w:cs="Arial"/>
                <w:sz w:val="21"/>
                <w:szCs w:val="21"/>
              </w:rPr>
              <w:t> </w:t>
            </w:r>
            <w:r w:rsidRPr="00E57E7F">
              <w:rPr>
                <w:rFonts w:cs="Arial"/>
                <w:sz w:val="21"/>
                <w:szCs w:val="21"/>
              </w:rPr>
              <w:t>z</w:t>
            </w:r>
            <w:r w:rsidR="000F2439" w:rsidRPr="00E57E7F">
              <w:rPr>
                <w:rFonts w:cs="Arial"/>
                <w:sz w:val="21"/>
                <w:szCs w:val="21"/>
              </w:rPr>
              <w:t> </w:t>
            </w:r>
            <w:r w:rsidRPr="00E57E7F">
              <w:rPr>
                <w:rFonts w:cs="Arial"/>
                <w:sz w:val="21"/>
                <w:szCs w:val="21"/>
              </w:rPr>
              <w:t>prostředků projektu PSA CEF.</w:t>
            </w:r>
          </w:p>
        </w:tc>
      </w:tr>
      <w:tr w:rsidR="00FB5CA5" w:rsidRPr="003A7A2B" w14:paraId="27723687" w14:textId="77777777" w:rsidTr="003447F9">
        <w:tc>
          <w:tcPr>
            <w:tcW w:w="1984" w:type="dxa"/>
            <w:tcBorders>
              <w:left w:val="single" w:sz="12" w:space="0" w:color="auto"/>
              <w:right w:val="single" w:sz="12" w:space="0" w:color="auto"/>
            </w:tcBorders>
          </w:tcPr>
          <w:p w14:paraId="346F82D7"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Odpovědnost</w:t>
            </w:r>
          </w:p>
        </w:tc>
        <w:tc>
          <w:tcPr>
            <w:tcW w:w="7499" w:type="dxa"/>
            <w:tcBorders>
              <w:left w:val="single" w:sz="12" w:space="0" w:color="auto"/>
              <w:right w:val="single" w:sz="12" w:space="0" w:color="auto"/>
            </w:tcBorders>
          </w:tcPr>
          <w:p w14:paraId="34FB4AD2"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MD</w:t>
            </w:r>
          </w:p>
        </w:tc>
      </w:tr>
      <w:tr w:rsidR="00FB5CA5" w:rsidRPr="003A7A2B" w14:paraId="40DF0EBC" w14:textId="77777777" w:rsidTr="003447F9">
        <w:tc>
          <w:tcPr>
            <w:tcW w:w="1984" w:type="dxa"/>
            <w:tcBorders>
              <w:top w:val="single" w:sz="4" w:space="0" w:color="auto"/>
              <w:left w:val="single" w:sz="12" w:space="0" w:color="auto"/>
              <w:bottom w:val="single" w:sz="4" w:space="0" w:color="auto"/>
              <w:right w:val="single" w:sz="12" w:space="0" w:color="auto"/>
            </w:tcBorders>
          </w:tcPr>
          <w:p w14:paraId="63A2A385"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Spolupráce</w:t>
            </w:r>
          </w:p>
        </w:tc>
        <w:tc>
          <w:tcPr>
            <w:tcW w:w="7499" w:type="dxa"/>
            <w:tcBorders>
              <w:top w:val="single" w:sz="4" w:space="0" w:color="auto"/>
              <w:left w:val="single" w:sz="12" w:space="0" w:color="auto"/>
              <w:bottom w:val="single" w:sz="4" w:space="0" w:color="auto"/>
              <w:right w:val="single" w:sz="12" w:space="0" w:color="auto"/>
            </w:tcBorders>
          </w:tcPr>
          <w:p w14:paraId="71681448"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MPO</w:t>
            </w:r>
          </w:p>
        </w:tc>
      </w:tr>
      <w:tr w:rsidR="00FB5CA5" w:rsidRPr="003A7A2B" w14:paraId="1411F46A" w14:textId="77777777" w:rsidTr="003447F9">
        <w:tc>
          <w:tcPr>
            <w:tcW w:w="1984" w:type="dxa"/>
            <w:tcBorders>
              <w:top w:val="single" w:sz="4" w:space="0" w:color="auto"/>
              <w:left w:val="single" w:sz="12" w:space="0" w:color="auto"/>
              <w:bottom w:val="single" w:sz="12" w:space="0" w:color="auto"/>
              <w:right w:val="single" w:sz="12" w:space="0" w:color="auto"/>
            </w:tcBorders>
          </w:tcPr>
          <w:p w14:paraId="48451072" w14:textId="77777777" w:rsidR="001530C0" w:rsidRPr="00E57E7F" w:rsidRDefault="001530C0" w:rsidP="00B502A0">
            <w:pPr>
              <w:pStyle w:val="Normln10"/>
              <w:spacing w:before="60" w:line="240" w:lineRule="auto"/>
              <w:rPr>
                <w:rFonts w:cs="Arial"/>
                <w:sz w:val="21"/>
                <w:szCs w:val="21"/>
              </w:rPr>
            </w:pPr>
            <w:r w:rsidRPr="00E57E7F">
              <w:rPr>
                <w:rFonts w:cs="Arial"/>
                <w:sz w:val="21"/>
                <w:szCs w:val="21"/>
              </w:rPr>
              <w:t>Termín</w:t>
            </w:r>
          </w:p>
        </w:tc>
        <w:tc>
          <w:tcPr>
            <w:tcW w:w="7499" w:type="dxa"/>
            <w:tcBorders>
              <w:top w:val="single" w:sz="4" w:space="0" w:color="auto"/>
              <w:left w:val="single" w:sz="12" w:space="0" w:color="auto"/>
              <w:bottom w:val="single" w:sz="12" w:space="0" w:color="auto"/>
              <w:right w:val="single" w:sz="12" w:space="0" w:color="auto"/>
            </w:tcBorders>
          </w:tcPr>
          <w:p w14:paraId="1C94D090" w14:textId="77777777" w:rsidR="001530C0" w:rsidRPr="00E57E7F" w:rsidRDefault="001530C0" w:rsidP="00B502A0">
            <w:pPr>
              <w:pStyle w:val="Normln10"/>
              <w:spacing w:before="20" w:line="240" w:lineRule="auto"/>
              <w:rPr>
                <w:rFonts w:cs="Arial"/>
                <w:sz w:val="21"/>
                <w:szCs w:val="21"/>
              </w:rPr>
            </w:pPr>
            <w:r w:rsidRPr="00E57E7F">
              <w:rPr>
                <w:rFonts w:cs="Arial"/>
                <w:sz w:val="21"/>
                <w:szCs w:val="21"/>
              </w:rPr>
              <w:t>Zajištění poskytování informací prostřednictvím ITS 12/2020</w:t>
            </w:r>
          </w:p>
        </w:tc>
      </w:tr>
    </w:tbl>
    <w:p w14:paraId="0FDA40A8" w14:textId="52C02108" w:rsidR="0054245B" w:rsidRDefault="0054245B" w:rsidP="0054245B">
      <w:pPr>
        <w:pStyle w:val="Nadpis3"/>
        <w:jc w:val="both"/>
      </w:pPr>
      <w:bookmarkStart w:id="129" w:name="_Toc21589194"/>
      <w:r>
        <w:t>S2</w:t>
      </w:r>
      <w:r w:rsidR="00DA4FB6">
        <w:t>8</w:t>
      </w:r>
      <w:r>
        <w:t xml:space="preserve"> N</w:t>
      </w:r>
      <w:r w:rsidRPr="003D631D">
        <w:t>elegislativní podpora zavádění čisté mobility v</w:t>
      </w:r>
      <w:r>
        <w:t xml:space="preserve">e veřejné </w:t>
      </w:r>
      <w:r w:rsidRPr="003D631D">
        <w:t>dopravě</w:t>
      </w:r>
    </w:p>
    <w:tbl>
      <w:tblPr>
        <w:tblStyle w:val="Mkatabulky4"/>
        <w:tblpPr w:leftFromText="141" w:rightFromText="141" w:vertAnchor="text" w:horzAnchor="margin" w:tblpY="102"/>
        <w:tblW w:w="5244" w:type="pct"/>
        <w:tblInd w:w="0" w:type="dxa"/>
        <w:tblLook w:val="04A0" w:firstRow="1" w:lastRow="0" w:firstColumn="1" w:lastColumn="0" w:noHBand="0" w:noVBand="1"/>
      </w:tblPr>
      <w:tblGrid>
        <w:gridCol w:w="1870"/>
        <w:gridCol w:w="7613"/>
      </w:tblGrid>
      <w:tr w:rsidR="0054245B" w14:paraId="6A79F000" w14:textId="77777777" w:rsidTr="003447F9">
        <w:trPr>
          <w:trHeight w:val="52"/>
        </w:trPr>
        <w:tc>
          <w:tcPr>
            <w:tcW w:w="5000" w:type="pct"/>
            <w:gridSpan w:val="2"/>
            <w:tcBorders>
              <w:top w:val="single" w:sz="12" w:space="0" w:color="auto"/>
              <w:left w:val="single" w:sz="12" w:space="0" w:color="auto"/>
              <w:bottom w:val="single" w:sz="4" w:space="0" w:color="auto"/>
              <w:right w:val="single" w:sz="12" w:space="0" w:color="auto"/>
            </w:tcBorders>
            <w:shd w:val="clear" w:color="auto" w:fill="548DD4" w:themeFill="text2" w:themeFillTint="99"/>
            <w:vAlign w:val="center"/>
            <w:hideMark/>
          </w:tcPr>
          <w:p w14:paraId="42EF1EB5" w14:textId="74068448" w:rsidR="0054245B" w:rsidRPr="007602BD" w:rsidRDefault="0054245B" w:rsidP="00D560A5">
            <w:pPr>
              <w:spacing w:before="60" w:after="60"/>
              <w:jc w:val="both"/>
              <w:rPr>
                <w:rFonts w:cstheme="minorHAnsi"/>
                <w:b/>
              </w:rPr>
            </w:pPr>
            <w:r>
              <w:rPr>
                <w:rFonts w:cstheme="minorHAnsi"/>
                <w:b/>
                <w:color w:val="FFFFFF" w:themeColor="background1"/>
              </w:rPr>
              <w:t>S2</w:t>
            </w:r>
            <w:r w:rsidR="00DA4FB6">
              <w:rPr>
                <w:rFonts w:cstheme="minorHAnsi"/>
                <w:b/>
                <w:color w:val="FFFFFF" w:themeColor="background1"/>
              </w:rPr>
              <w:t>8</w:t>
            </w:r>
            <w:r>
              <w:rPr>
                <w:rFonts w:cstheme="minorHAnsi"/>
                <w:b/>
                <w:color w:val="FFFFFF" w:themeColor="background1"/>
              </w:rPr>
              <w:t xml:space="preserve"> N</w:t>
            </w:r>
            <w:r w:rsidRPr="0088392A">
              <w:rPr>
                <w:rFonts w:cstheme="minorHAnsi"/>
                <w:b/>
                <w:color w:val="FFFFFF" w:themeColor="background1"/>
              </w:rPr>
              <w:t>elegislativní podpora zavádění čisté mobility v</w:t>
            </w:r>
            <w:r>
              <w:rPr>
                <w:rFonts w:cstheme="minorHAnsi"/>
                <w:b/>
                <w:color w:val="FFFFFF" w:themeColor="background1"/>
              </w:rPr>
              <w:t xml:space="preserve">e veřejné </w:t>
            </w:r>
            <w:r w:rsidRPr="0088392A">
              <w:rPr>
                <w:rFonts w:cstheme="minorHAnsi"/>
                <w:b/>
                <w:color w:val="FFFFFF" w:themeColor="background1"/>
              </w:rPr>
              <w:t xml:space="preserve">dopravě </w:t>
            </w:r>
          </w:p>
        </w:tc>
      </w:tr>
      <w:tr w:rsidR="0054245B" w14:paraId="712ED13B" w14:textId="77777777" w:rsidTr="003447F9">
        <w:trPr>
          <w:trHeight w:val="52"/>
        </w:trPr>
        <w:tc>
          <w:tcPr>
            <w:tcW w:w="986" w:type="pct"/>
            <w:tcBorders>
              <w:top w:val="single" w:sz="12" w:space="0" w:color="auto"/>
              <w:left w:val="single" w:sz="12" w:space="0" w:color="auto"/>
              <w:bottom w:val="single" w:sz="4" w:space="0" w:color="auto"/>
              <w:right w:val="single" w:sz="12" w:space="0" w:color="auto"/>
            </w:tcBorders>
            <w:vAlign w:val="center"/>
            <w:hideMark/>
          </w:tcPr>
          <w:p w14:paraId="62F91F91" w14:textId="77777777" w:rsidR="0054245B" w:rsidRPr="0088392A" w:rsidRDefault="0054245B" w:rsidP="0054245B">
            <w:pPr>
              <w:jc w:val="both"/>
              <w:rPr>
                <w:rFonts w:cs="Arial"/>
                <w:szCs w:val="22"/>
              </w:rPr>
            </w:pPr>
            <w:r w:rsidRPr="0088392A">
              <w:rPr>
                <w:rFonts w:cs="Arial"/>
                <w:szCs w:val="22"/>
              </w:rPr>
              <w:t>Návaznost na strategický</w:t>
            </w:r>
            <w:r>
              <w:rPr>
                <w:rFonts w:cs="Arial"/>
                <w:szCs w:val="22"/>
              </w:rPr>
              <w:t xml:space="preserve"> </w:t>
            </w:r>
            <w:r w:rsidRPr="0088392A">
              <w:rPr>
                <w:rFonts w:cs="Arial"/>
                <w:szCs w:val="22"/>
              </w:rPr>
              <w:t>cíl</w:t>
            </w:r>
          </w:p>
        </w:tc>
        <w:tc>
          <w:tcPr>
            <w:tcW w:w="4014" w:type="pct"/>
            <w:tcBorders>
              <w:top w:val="single" w:sz="12" w:space="0" w:color="auto"/>
              <w:left w:val="single" w:sz="12" w:space="0" w:color="auto"/>
              <w:bottom w:val="single" w:sz="4" w:space="0" w:color="auto"/>
              <w:right w:val="single" w:sz="12" w:space="0" w:color="auto"/>
            </w:tcBorders>
            <w:vAlign w:val="center"/>
            <w:hideMark/>
          </w:tcPr>
          <w:p w14:paraId="0A3CE947" w14:textId="77777777" w:rsidR="0054245B" w:rsidRDefault="0054245B" w:rsidP="0054245B">
            <w:pPr>
              <w:jc w:val="both"/>
              <w:rPr>
                <w:rFonts w:cs="Arial"/>
                <w:szCs w:val="22"/>
              </w:rPr>
            </w:pPr>
            <w:r>
              <w:rPr>
                <w:rFonts w:cs="Arial"/>
                <w:szCs w:val="22"/>
              </w:rPr>
              <w:t>Rozvoj trhu elektrických vozidel</w:t>
            </w:r>
            <w:r w:rsidR="00797C43">
              <w:rPr>
                <w:rFonts w:cs="Arial"/>
                <w:szCs w:val="22"/>
              </w:rPr>
              <w:t xml:space="preserve"> (kap. 2.4.1.) </w:t>
            </w:r>
          </w:p>
          <w:p w14:paraId="5DCDF5F9" w14:textId="77777777" w:rsidR="0054245B" w:rsidRDefault="0054245B" w:rsidP="0054245B">
            <w:pPr>
              <w:jc w:val="both"/>
              <w:rPr>
                <w:rFonts w:cs="Arial"/>
                <w:szCs w:val="22"/>
              </w:rPr>
            </w:pPr>
            <w:r>
              <w:rPr>
                <w:rFonts w:cs="Arial"/>
                <w:szCs w:val="22"/>
              </w:rPr>
              <w:t>Rozvoj trhu vozidel na zemní plyn</w:t>
            </w:r>
            <w:r w:rsidR="00797C43">
              <w:rPr>
                <w:rFonts w:cs="Arial"/>
                <w:szCs w:val="22"/>
              </w:rPr>
              <w:t xml:space="preserve"> (kap. 3.3.1.)</w:t>
            </w:r>
          </w:p>
          <w:p w14:paraId="41623F9A" w14:textId="77777777" w:rsidR="0054245B" w:rsidRPr="0088392A" w:rsidRDefault="0054245B" w:rsidP="0054245B">
            <w:pPr>
              <w:jc w:val="both"/>
              <w:rPr>
                <w:rFonts w:cs="Arial"/>
                <w:szCs w:val="22"/>
              </w:rPr>
            </w:pPr>
            <w:r>
              <w:rPr>
                <w:rFonts w:cs="Arial"/>
                <w:szCs w:val="22"/>
              </w:rPr>
              <w:t>Rozvoj trhu vodíkových vozidel</w:t>
            </w:r>
            <w:r w:rsidR="00797C43">
              <w:rPr>
                <w:rFonts w:cs="Arial"/>
                <w:szCs w:val="22"/>
              </w:rPr>
              <w:t xml:space="preserve"> (kap. 4.3.1.)</w:t>
            </w:r>
          </w:p>
        </w:tc>
      </w:tr>
      <w:tr w:rsidR="0054245B" w14:paraId="34A938BE" w14:textId="77777777" w:rsidTr="003447F9">
        <w:trPr>
          <w:trHeight w:val="52"/>
        </w:trPr>
        <w:tc>
          <w:tcPr>
            <w:tcW w:w="986" w:type="pct"/>
            <w:tcBorders>
              <w:top w:val="single" w:sz="4" w:space="0" w:color="auto"/>
              <w:left w:val="single" w:sz="12" w:space="0" w:color="auto"/>
              <w:bottom w:val="single" w:sz="4" w:space="0" w:color="auto"/>
              <w:right w:val="single" w:sz="12" w:space="0" w:color="auto"/>
            </w:tcBorders>
            <w:vAlign w:val="center"/>
            <w:hideMark/>
          </w:tcPr>
          <w:p w14:paraId="2C1DBFEB" w14:textId="77777777" w:rsidR="0054245B" w:rsidRPr="0088392A" w:rsidRDefault="0054245B" w:rsidP="0054245B">
            <w:pPr>
              <w:jc w:val="both"/>
              <w:rPr>
                <w:rFonts w:cs="Arial"/>
                <w:szCs w:val="22"/>
              </w:rPr>
            </w:pPr>
            <w:r w:rsidRPr="0088392A">
              <w:rPr>
                <w:rFonts w:cs="Arial"/>
                <w:szCs w:val="22"/>
              </w:rPr>
              <w:t xml:space="preserve">Cíl opatření </w:t>
            </w:r>
          </w:p>
        </w:tc>
        <w:tc>
          <w:tcPr>
            <w:tcW w:w="4014" w:type="pct"/>
            <w:tcBorders>
              <w:top w:val="single" w:sz="4" w:space="0" w:color="auto"/>
              <w:left w:val="single" w:sz="12" w:space="0" w:color="auto"/>
              <w:bottom w:val="single" w:sz="4" w:space="0" w:color="auto"/>
              <w:right w:val="single" w:sz="12" w:space="0" w:color="auto"/>
            </w:tcBorders>
            <w:vAlign w:val="center"/>
            <w:hideMark/>
          </w:tcPr>
          <w:p w14:paraId="0C585B0A" w14:textId="0699110A" w:rsidR="0054245B" w:rsidRPr="0088392A" w:rsidRDefault="0054245B" w:rsidP="005A1247">
            <w:pPr>
              <w:jc w:val="both"/>
              <w:rPr>
                <w:rFonts w:cs="Arial"/>
                <w:bCs/>
                <w:szCs w:val="22"/>
              </w:rPr>
            </w:pPr>
            <w:r w:rsidRPr="0088392A">
              <w:rPr>
                <w:rFonts w:cs="Arial"/>
                <w:bCs/>
                <w:szCs w:val="22"/>
              </w:rPr>
              <w:t>Cílem daného opatření je podpořit dopravní podniky v</w:t>
            </w:r>
            <w:r w:rsidR="005A1247">
              <w:rPr>
                <w:rFonts w:cs="Arial"/>
                <w:bCs/>
                <w:szCs w:val="22"/>
              </w:rPr>
              <w:t> </w:t>
            </w:r>
            <w:r w:rsidRPr="0088392A">
              <w:rPr>
                <w:rFonts w:cs="Arial"/>
                <w:bCs/>
                <w:szCs w:val="22"/>
              </w:rPr>
              <w:t>jejich úsilí o</w:t>
            </w:r>
            <w:r w:rsidR="005A1247">
              <w:rPr>
                <w:rFonts w:cs="Arial"/>
                <w:bCs/>
                <w:szCs w:val="22"/>
              </w:rPr>
              <w:t> </w:t>
            </w:r>
            <w:r w:rsidRPr="0088392A">
              <w:rPr>
                <w:rFonts w:cs="Arial"/>
                <w:bCs/>
                <w:szCs w:val="22"/>
              </w:rPr>
              <w:t xml:space="preserve">zavádění čistých vozidel ve veřejné dopravě </w:t>
            </w:r>
          </w:p>
        </w:tc>
      </w:tr>
      <w:tr w:rsidR="0054245B" w14:paraId="1BB40DA0" w14:textId="77777777" w:rsidTr="003447F9">
        <w:trPr>
          <w:trHeight w:val="52"/>
        </w:trPr>
        <w:tc>
          <w:tcPr>
            <w:tcW w:w="986" w:type="pct"/>
            <w:tcBorders>
              <w:top w:val="single" w:sz="4" w:space="0" w:color="auto"/>
              <w:left w:val="single" w:sz="12" w:space="0" w:color="auto"/>
              <w:bottom w:val="single" w:sz="4" w:space="0" w:color="auto"/>
              <w:right w:val="single" w:sz="12" w:space="0" w:color="auto"/>
            </w:tcBorders>
            <w:vAlign w:val="center"/>
          </w:tcPr>
          <w:p w14:paraId="5AF2AE02" w14:textId="77777777" w:rsidR="0054245B" w:rsidRPr="0088392A" w:rsidRDefault="0054245B" w:rsidP="0054245B">
            <w:pPr>
              <w:jc w:val="both"/>
              <w:rPr>
                <w:rFonts w:cs="Arial"/>
                <w:szCs w:val="22"/>
              </w:rPr>
            </w:pPr>
            <w:r>
              <w:rPr>
                <w:rFonts w:cs="Arial"/>
                <w:szCs w:val="22"/>
              </w:rPr>
              <w:t>Popis opatření</w:t>
            </w:r>
          </w:p>
        </w:tc>
        <w:tc>
          <w:tcPr>
            <w:tcW w:w="4014" w:type="pct"/>
            <w:tcBorders>
              <w:top w:val="single" w:sz="4" w:space="0" w:color="auto"/>
              <w:left w:val="single" w:sz="12" w:space="0" w:color="auto"/>
              <w:bottom w:val="single" w:sz="4" w:space="0" w:color="auto"/>
              <w:right w:val="single" w:sz="12" w:space="0" w:color="auto"/>
            </w:tcBorders>
            <w:vAlign w:val="center"/>
          </w:tcPr>
          <w:p w14:paraId="2B0A6C87" w14:textId="77777777" w:rsidR="0054245B" w:rsidRDefault="0054245B" w:rsidP="0054245B">
            <w:pPr>
              <w:jc w:val="both"/>
              <w:rPr>
                <w:rFonts w:cs="Arial"/>
                <w:bCs/>
                <w:szCs w:val="22"/>
              </w:rPr>
            </w:pPr>
            <w:r w:rsidRPr="00B1589B">
              <w:rPr>
                <w:rFonts w:cs="Arial"/>
                <w:bCs/>
                <w:szCs w:val="22"/>
              </w:rPr>
              <w:t>Za účelem naplnění uvedeného opatření budou realizovány tyto kroky:</w:t>
            </w:r>
          </w:p>
          <w:p w14:paraId="49F23CCD" w14:textId="69926353" w:rsidR="0054245B" w:rsidRPr="00B1589B" w:rsidRDefault="0054245B" w:rsidP="0054245B">
            <w:pPr>
              <w:pStyle w:val="Odrka1"/>
              <w:jc w:val="both"/>
            </w:pPr>
            <w:r w:rsidRPr="00B1589B">
              <w:t>Zahrnutí problematiky čisté veřejné hromadné dopravy do politik a</w:t>
            </w:r>
            <w:r w:rsidR="005A1247">
              <w:t> </w:t>
            </w:r>
            <w:r w:rsidRPr="00B1589B">
              <w:t>strategie státu (např. Dopravní politika ČR, Koncepce veřejné dopravy apod.)</w:t>
            </w:r>
          </w:p>
          <w:p w14:paraId="6D13626E" w14:textId="0B753CF6" w:rsidR="0054245B" w:rsidRPr="0088392A" w:rsidRDefault="0054245B" w:rsidP="005A1247">
            <w:pPr>
              <w:pStyle w:val="Odrka1"/>
              <w:jc w:val="both"/>
            </w:pPr>
            <w:r w:rsidRPr="00B1589B">
              <w:t>Metodická podpora ze strany státu (podpora energeticky efektivních opatření v</w:t>
            </w:r>
            <w:r w:rsidR="005A1247">
              <w:t> </w:t>
            </w:r>
            <w:r w:rsidRPr="00B1589B">
              <w:t>rámci SUMP včetně aglomeračních plánů, vyhodnocování naplňování SUMP)</w:t>
            </w:r>
          </w:p>
        </w:tc>
      </w:tr>
      <w:tr w:rsidR="0054245B" w14:paraId="44EB2D32" w14:textId="77777777" w:rsidTr="003447F9">
        <w:trPr>
          <w:trHeight w:val="907"/>
        </w:trPr>
        <w:tc>
          <w:tcPr>
            <w:tcW w:w="986" w:type="pct"/>
            <w:tcBorders>
              <w:top w:val="single" w:sz="4" w:space="0" w:color="auto"/>
              <w:left w:val="single" w:sz="12" w:space="0" w:color="auto"/>
              <w:bottom w:val="single" w:sz="4" w:space="0" w:color="auto"/>
              <w:right w:val="single" w:sz="12" w:space="0" w:color="auto"/>
            </w:tcBorders>
            <w:vAlign w:val="center"/>
            <w:hideMark/>
          </w:tcPr>
          <w:p w14:paraId="657B69BF" w14:textId="77777777" w:rsidR="0054245B" w:rsidRPr="00A77E15" w:rsidRDefault="0054245B" w:rsidP="0054245B">
            <w:pPr>
              <w:jc w:val="both"/>
              <w:rPr>
                <w:rFonts w:cs="Arial"/>
                <w:szCs w:val="22"/>
              </w:rPr>
            </w:pPr>
            <w:r w:rsidRPr="00A77E15">
              <w:rPr>
                <w:rFonts w:cs="Arial"/>
                <w:szCs w:val="22"/>
              </w:rPr>
              <w:t>Rozpočtový dopad / financování</w:t>
            </w:r>
          </w:p>
        </w:tc>
        <w:tc>
          <w:tcPr>
            <w:tcW w:w="4014" w:type="pct"/>
            <w:tcBorders>
              <w:top w:val="single" w:sz="4" w:space="0" w:color="auto"/>
              <w:left w:val="single" w:sz="12" w:space="0" w:color="auto"/>
              <w:bottom w:val="single" w:sz="4" w:space="0" w:color="auto"/>
              <w:right w:val="single" w:sz="12" w:space="0" w:color="auto"/>
            </w:tcBorders>
            <w:vAlign w:val="center"/>
          </w:tcPr>
          <w:p w14:paraId="4A94AE2F" w14:textId="296D8A8E" w:rsidR="0054245B" w:rsidRPr="00A77E15" w:rsidRDefault="0054245B" w:rsidP="005A1247">
            <w:pPr>
              <w:jc w:val="both"/>
              <w:rPr>
                <w:rFonts w:cs="Arial"/>
                <w:szCs w:val="22"/>
              </w:rPr>
            </w:pPr>
            <w:r w:rsidRPr="00A77E15">
              <w:rPr>
                <w:rFonts w:cs="Arial"/>
                <w:szCs w:val="22"/>
              </w:rPr>
              <w:t>U některých dílčích opatření nelze v</w:t>
            </w:r>
            <w:r w:rsidR="005A1247">
              <w:rPr>
                <w:rFonts w:cs="Arial"/>
                <w:szCs w:val="22"/>
              </w:rPr>
              <w:t> </w:t>
            </w:r>
            <w:r w:rsidRPr="00A77E15">
              <w:rPr>
                <w:rFonts w:cs="Arial"/>
                <w:szCs w:val="22"/>
              </w:rPr>
              <w:t xml:space="preserve">této fázi specifikovat </w:t>
            </w:r>
          </w:p>
        </w:tc>
      </w:tr>
      <w:tr w:rsidR="0054245B" w14:paraId="276603A6" w14:textId="77777777" w:rsidTr="003447F9">
        <w:trPr>
          <w:trHeight w:val="52"/>
        </w:trPr>
        <w:tc>
          <w:tcPr>
            <w:tcW w:w="986" w:type="pct"/>
            <w:tcBorders>
              <w:top w:val="single" w:sz="4" w:space="0" w:color="auto"/>
              <w:left w:val="single" w:sz="12" w:space="0" w:color="auto"/>
              <w:bottom w:val="single" w:sz="4" w:space="0" w:color="auto"/>
              <w:right w:val="single" w:sz="12" w:space="0" w:color="auto"/>
            </w:tcBorders>
            <w:vAlign w:val="center"/>
            <w:hideMark/>
          </w:tcPr>
          <w:p w14:paraId="0D31B521" w14:textId="77777777" w:rsidR="0054245B" w:rsidRPr="00A77E15" w:rsidRDefault="0054245B" w:rsidP="0054245B">
            <w:pPr>
              <w:jc w:val="both"/>
              <w:rPr>
                <w:rFonts w:cs="Arial"/>
                <w:szCs w:val="22"/>
              </w:rPr>
            </w:pPr>
            <w:r w:rsidRPr="00A77E15">
              <w:rPr>
                <w:rFonts w:cs="Arial"/>
                <w:szCs w:val="22"/>
              </w:rPr>
              <w:t>Odpovědnost</w:t>
            </w:r>
          </w:p>
        </w:tc>
        <w:tc>
          <w:tcPr>
            <w:tcW w:w="4014" w:type="pct"/>
            <w:tcBorders>
              <w:top w:val="single" w:sz="4" w:space="0" w:color="auto"/>
              <w:left w:val="single" w:sz="12" w:space="0" w:color="auto"/>
              <w:bottom w:val="single" w:sz="4" w:space="0" w:color="auto"/>
              <w:right w:val="single" w:sz="12" w:space="0" w:color="auto"/>
            </w:tcBorders>
            <w:vAlign w:val="center"/>
            <w:hideMark/>
          </w:tcPr>
          <w:p w14:paraId="46FE5DEC" w14:textId="77777777" w:rsidR="0054245B" w:rsidRPr="00A77E15" w:rsidRDefault="0054245B" w:rsidP="0054245B">
            <w:pPr>
              <w:jc w:val="both"/>
              <w:rPr>
                <w:rFonts w:cs="Arial"/>
                <w:szCs w:val="22"/>
              </w:rPr>
            </w:pPr>
            <w:r w:rsidRPr="00A77E15">
              <w:rPr>
                <w:rFonts w:cs="Arial"/>
                <w:szCs w:val="22"/>
              </w:rPr>
              <w:t>MD</w:t>
            </w:r>
          </w:p>
        </w:tc>
      </w:tr>
      <w:tr w:rsidR="0054245B" w14:paraId="2FFFEEC9" w14:textId="77777777" w:rsidTr="003447F9">
        <w:trPr>
          <w:trHeight w:val="52"/>
        </w:trPr>
        <w:tc>
          <w:tcPr>
            <w:tcW w:w="986" w:type="pct"/>
            <w:tcBorders>
              <w:top w:val="single" w:sz="4" w:space="0" w:color="auto"/>
              <w:left w:val="single" w:sz="12" w:space="0" w:color="auto"/>
              <w:bottom w:val="single" w:sz="12" w:space="0" w:color="auto"/>
              <w:right w:val="single" w:sz="12" w:space="0" w:color="auto"/>
            </w:tcBorders>
            <w:vAlign w:val="center"/>
            <w:hideMark/>
          </w:tcPr>
          <w:p w14:paraId="0FA6B3C6" w14:textId="77777777" w:rsidR="0054245B" w:rsidRPr="00A77E15" w:rsidRDefault="0054245B" w:rsidP="0054245B">
            <w:pPr>
              <w:jc w:val="both"/>
              <w:rPr>
                <w:rFonts w:cs="Arial"/>
                <w:szCs w:val="22"/>
              </w:rPr>
            </w:pPr>
            <w:r w:rsidRPr="00A77E15">
              <w:rPr>
                <w:rFonts w:cs="Arial"/>
                <w:szCs w:val="22"/>
              </w:rPr>
              <w:t>Termín</w:t>
            </w:r>
          </w:p>
        </w:tc>
        <w:tc>
          <w:tcPr>
            <w:tcW w:w="4014" w:type="pct"/>
            <w:tcBorders>
              <w:top w:val="single" w:sz="4" w:space="0" w:color="auto"/>
              <w:left w:val="single" w:sz="12" w:space="0" w:color="auto"/>
              <w:bottom w:val="single" w:sz="12" w:space="0" w:color="auto"/>
              <w:right w:val="single" w:sz="12" w:space="0" w:color="auto"/>
            </w:tcBorders>
            <w:vAlign w:val="center"/>
            <w:hideMark/>
          </w:tcPr>
          <w:p w14:paraId="094B7CD0" w14:textId="77777777" w:rsidR="0054245B" w:rsidRPr="00A77E15" w:rsidRDefault="0054245B" w:rsidP="0054245B">
            <w:pPr>
              <w:jc w:val="both"/>
              <w:rPr>
                <w:rFonts w:cs="Arial"/>
                <w:szCs w:val="22"/>
              </w:rPr>
            </w:pPr>
            <w:r w:rsidRPr="00A77E15">
              <w:rPr>
                <w:rFonts w:cs="Arial"/>
                <w:szCs w:val="22"/>
              </w:rPr>
              <w:t>2020 – 2030 (průběžně)</w:t>
            </w:r>
          </w:p>
        </w:tc>
      </w:tr>
    </w:tbl>
    <w:p w14:paraId="087869D8" w14:textId="77777777" w:rsidR="0054245B" w:rsidRDefault="0054245B" w:rsidP="0054245B">
      <w:pPr>
        <w:jc w:val="both"/>
      </w:pPr>
      <w:r>
        <w:br w:type="page"/>
      </w:r>
    </w:p>
    <w:p w14:paraId="0E812843" w14:textId="5FBA6765" w:rsidR="001530C0" w:rsidRDefault="001530C0" w:rsidP="009A3B7E">
      <w:pPr>
        <w:pStyle w:val="Nadpis3"/>
        <w:jc w:val="both"/>
      </w:pPr>
      <w:r>
        <w:t>E1</w:t>
      </w:r>
      <w:r w:rsidR="00DA4FB6">
        <w:t>8</w:t>
      </w:r>
      <w:r>
        <w:t xml:space="preserve"> Úprava regulatorního a</w:t>
      </w:r>
      <w:r w:rsidR="005A1247">
        <w:t> </w:t>
      </w:r>
      <w:r>
        <w:t xml:space="preserve">daňového rámce pro zvýhodnění </w:t>
      </w:r>
      <w:r w:rsidR="00F14B46">
        <w:t>do</w:t>
      </w:r>
      <w:r>
        <w:t>bíjení vozidel MHD</w:t>
      </w:r>
      <w:bookmarkEnd w:id="129"/>
    </w:p>
    <w:tbl>
      <w:tblPr>
        <w:tblpPr w:leftFromText="142" w:rightFromText="142" w:vertAnchor="text" w:horzAnchor="margin" w:tblpY="285"/>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087"/>
      </w:tblGrid>
      <w:tr w:rsidR="001530C0" w14:paraId="697E484F" w14:textId="77777777" w:rsidTr="00B502A0">
        <w:tc>
          <w:tcPr>
            <w:tcW w:w="907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0BF24CF0" w14:textId="3CF41440" w:rsidR="001530C0" w:rsidRDefault="001530C0" w:rsidP="005A1247">
            <w:pPr>
              <w:spacing w:before="60" w:after="60"/>
              <w:jc w:val="both"/>
              <w:rPr>
                <w:rFonts w:cs="Arial"/>
                <w:b/>
                <w:color w:val="FFFFFF" w:themeColor="background1"/>
              </w:rPr>
            </w:pPr>
            <w:r>
              <w:rPr>
                <w:rFonts w:cs="Arial"/>
                <w:b/>
                <w:color w:val="FFFFFF" w:themeColor="background1"/>
              </w:rPr>
              <w:t>E1</w:t>
            </w:r>
            <w:r w:rsidR="00DA4FB6">
              <w:rPr>
                <w:rFonts w:cs="Arial"/>
                <w:b/>
                <w:color w:val="FFFFFF" w:themeColor="background1"/>
              </w:rPr>
              <w:t>8</w:t>
            </w:r>
            <w:r>
              <w:rPr>
                <w:rFonts w:cs="Arial"/>
                <w:b/>
                <w:color w:val="FFFFFF" w:themeColor="background1"/>
              </w:rPr>
              <w:t xml:space="preserve"> </w:t>
            </w:r>
            <w:r w:rsidRPr="00D13819">
              <w:rPr>
                <w:rFonts w:cs="Arial"/>
                <w:b/>
                <w:color w:val="FFFFFF" w:themeColor="background1"/>
              </w:rPr>
              <w:t>Úprava regulatorního a</w:t>
            </w:r>
            <w:r w:rsidR="005A1247">
              <w:rPr>
                <w:rFonts w:cs="Arial"/>
                <w:b/>
                <w:color w:val="FFFFFF" w:themeColor="background1"/>
              </w:rPr>
              <w:t> </w:t>
            </w:r>
            <w:r w:rsidRPr="00D13819">
              <w:rPr>
                <w:rFonts w:cs="Arial"/>
                <w:b/>
                <w:color w:val="FFFFFF" w:themeColor="background1"/>
              </w:rPr>
              <w:t xml:space="preserve">daňového rámce pro zvýhodnění </w:t>
            </w:r>
            <w:r w:rsidR="00F14B46">
              <w:rPr>
                <w:rFonts w:cs="Arial"/>
                <w:b/>
                <w:color w:val="FFFFFF" w:themeColor="background1"/>
              </w:rPr>
              <w:t>do</w:t>
            </w:r>
            <w:r w:rsidRPr="00D13819">
              <w:rPr>
                <w:rFonts w:cs="Arial"/>
                <w:b/>
                <w:color w:val="FFFFFF" w:themeColor="background1"/>
              </w:rPr>
              <w:t>bíjení vozidel MHD</w:t>
            </w:r>
          </w:p>
        </w:tc>
      </w:tr>
      <w:tr w:rsidR="005B021D" w14:paraId="3AECE79B" w14:textId="77777777" w:rsidTr="00B502A0">
        <w:tc>
          <w:tcPr>
            <w:tcW w:w="1984" w:type="dxa"/>
            <w:tcBorders>
              <w:top w:val="single" w:sz="12" w:space="0" w:color="auto"/>
              <w:left w:val="single" w:sz="12" w:space="0" w:color="auto"/>
              <w:bottom w:val="single" w:sz="4" w:space="0" w:color="auto"/>
              <w:right w:val="single" w:sz="12" w:space="0" w:color="auto"/>
            </w:tcBorders>
            <w:hideMark/>
          </w:tcPr>
          <w:p w14:paraId="2CA8F696" w14:textId="77777777" w:rsidR="001530C0" w:rsidRDefault="001530C0" w:rsidP="00B502A0">
            <w:pPr>
              <w:pStyle w:val="Normln10"/>
              <w:spacing w:before="20" w:line="240" w:lineRule="auto"/>
              <w:rPr>
                <w:rFonts w:cs="Arial"/>
                <w:sz w:val="22"/>
                <w:szCs w:val="22"/>
              </w:rPr>
            </w:pPr>
            <w:r>
              <w:rPr>
                <w:rFonts w:cs="Arial"/>
                <w:sz w:val="22"/>
                <w:szCs w:val="22"/>
              </w:rPr>
              <w:t>Návaznost na strategický cíl</w:t>
            </w:r>
          </w:p>
        </w:tc>
        <w:tc>
          <w:tcPr>
            <w:tcW w:w="7087" w:type="dxa"/>
            <w:tcBorders>
              <w:top w:val="single" w:sz="12" w:space="0" w:color="auto"/>
              <w:left w:val="single" w:sz="12" w:space="0" w:color="auto"/>
              <w:bottom w:val="single" w:sz="4" w:space="0" w:color="auto"/>
              <w:right w:val="single" w:sz="12" w:space="0" w:color="auto"/>
            </w:tcBorders>
            <w:hideMark/>
          </w:tcPr>
          <w:p w14:paraId="6908A3F1" w14:textId="77777777" w:rsidR="001530C0" w:rsidRDefault="001530C0" w:rsidP="00B502A0">
            <w:pPr>
              <w:pStyle w:val="Normln10"/>
              <w:spacing w:before="60" w:line="240" w:lineRule="auto"/>
              <w:rPr>
                <w:rFonts w:cs="Arial"/>
                <w:sz w:val="22"/>
                <w:szCs w:val="22"/>
              </w:rPr>
            </w:pPr>
            <w:r>
              <w:rPr>
                <w:rFonts w:cs="Arial"/>
                <w:sz w:val="22"/>
                <w:szCs w:val="22"/>
              </w:rPr>
              <w:t>Zajištění stabilního regulatorního rámce pro rozvoj elektromobility</w:t>
            </w:r>
            <w:r w:rsidR="00797C43">
              <w:rPr>
                <w:rFonts w:cs="Arial"/>
                <w:sz w:val="22"/>
                <w:szCs w:val="22"/>
              </w:rPr>
              <w:t xml:space="preserve"> (kap. 2.4.3.)</w:t>
            </w:r>
          </w:p>
          <w:p w14:paraId="0B865163" w14:textId="77777777" w:rsidR="001530C0" w:rsidRDefault="001530C0" w:rsidP="00B502A0">
            <w:pPr>
              <w:pStyle w:val="Normln10"/>
              <w:spacing w:before="60" w:line="240" w:lineRule="auto"/>
              <w:rPr>
                <w:rFonts w:cs="Arial"/>
                <w:sz w:val="22"/>
                <w:szCs w:val="22"/>
              </w:rPr>
            </w:pPr>
            <w:r>
              <w:rPr>
                <w:rFonts w:cs="Arial"/>
                <w:sz w:val="22"/>
                <w:szCs w:val="22"/>
              </w:rPr>
              <w:t>Rozvoj trhu elektrických vozidel (oblast veřejné autobusové dopravy)</w:t>
            </w:r>
          </w:p>
        </w:tc>
      </w:tr>
      <w:tr w:rsidR="005B021D" w14:paraId="226D5838"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2D7DF855" w14:textId="77777777" w:rsidR="001530C0" w:rsidRDefault="001530C0" w:rsidP="00B502A0">
            <w:pPr>
              <w:pStyle w:val="Normln10"/>
              <w:spacing w:before="20" w:line="240" w:lineRule="auto"/>
              <w:rPr>
                <w:rFonts w:cs="Arial"/>
                <w:sz w:val="22"/>
                <w:szCs w:val="22"/>
              </w:rPr>
            </w:pPr>
            <w:r>
              <w:rPr>
                <w:rFonts w:cs="Arial"/>
                <w:sz w:val="22"/>
                <w:szCs w:val="22"/>
              </w:rPr>
              <w:t>Cíl opatření</w:t>
            </w:r>
          </w:p>
        </w:tc>
        <w:tc>
          <w:tcPr>
            <w:tcW w:w="7087" w:type="dxa"/>
            <w:tcBorders>
              <w:top w:val="single" w:sz="4" w:space="0" w:color="auto"/>
              <w:left w:val="single" w:sz="12" w:space="0" w:color="auto"/>
              <w:bottom w:val="single" w:sz="4" w:space="0" w:color="auto"/>
              <w:right w:val="single" w:sz="12" w:space="0" w:color="auto"/>
            </w:tcBorders>
            <w:hideMark/>
          </w:tcPr>
          <w:p w14:paraId="7B734BA8" w14:textId="7E688ACC" w:rsidR="001530C0" w:rsidRDefault="00A32895" w:rsidP="00B502A0">
            <w:pPr>
              <w:pStyle w:val="Normln10"/>
              <w:spacing w:before="60" w:line="240" w:lineRule="auto"/>
              <w:rPr>
                <w:rFonts w:cs="Arial"/>
                <w:sz w:val="22"/>
                <w:szCs w:val="22"/>
              </w:rPr>
            </w:pPr>
            <w:r>
              <w:rPr>
                <w:rFonts w:cs="Arial"/>
                <w:sz w:val="22"/>
                <w:szCs w:val="22"/>
              </w:rPr>
              <w:t>Prověřit možnosti o</w:t>
            </w:r>
            <w:r w:rsidR="001530C0" w:rsidRPr="00D13819">
              <w:rPr>
                <w:rFonts w:cs="Arial"/>
                <w:sz w:val="22"/>
                <w:szCs w:val="22"/>
              </w:rPr>
              <w:t>svobození vozidel veřejné dopravy využívající elektrickou energii od příspěvku na OZE</w:t>
            </w:r>
            <w:r w:rsidR="001530C0">
              <w:rPr>
                <w:rFonts w:cs="Arial"/>
                <w:sz w:val="22"/>
                <w:szCs w:val="22"/>
              </w:rPr>
              <w:t>.</w:t>
            </w:r>
            <w:r w:rsidR="00944EFB">
              <w:rPr>
                <w:rFonts w:cs="Arial"/>
                <w:sz w:val="22"/>
                <w:szCs w:val="22"/>
              </w:rPr>
              <w:t xml:space="preserve"> Odstranit rozdílnost zdanění elektrické</w:t>
            </w:r>
            <w:r w:rsidR="001530C0" w:rsidRPr="00D13819">
              <w:rPr>
                <w:rFonts w:cs="Arial"/>
                <w:sz w:val="22"/>
                <w:szCs w:val="22"/>
              </w:rPr>
              <w:t xml:space="preserve"> energie u</w:t>
            </w:r>
            <w:r w:rsidR="005A1247">
              <w:rPr>
                <w:rFonts w:cs="Arial"/>
                <w:sz w:val="22"/>
                <w:szCs w:val="22"/>
              </w:rPr>
              <w:t> </w:t>
            </w:r>
            <w:r w:rsidR="001530C0" w:rsidRPr="00D13819">
              <w:rPr>
                <w:rFonts w:cs="Arial"/>
                <w:sz w:val="22"/>
                <w:szCs w:val="22"/>
              </w:rPr>
              <w:t>vozidel závislé trakce (tramvaje, trolejbusy) a</w:t>
            </w:r>
            <w:r w:rsidR="005A1247">
              <w:rPr>
                <w:rFonts w:cs="Arial"/>
                <w:sz w:val="22"/>
                <w:szCs w:val="22"/>
              </w:rPr>
              <w:t> </w:t>
            </w:r>
            <w:r w:rsidR="001530C0" w:rsidRPr="00D13819">
              <w:rPr>
                <w:rFonts w:cs="Arial"/>
                <w:sz w:val="22"/>
                <w:szCs w:val="22"/>
              </w:rPr>
              <w:t>bateriových vozidel</w:t>
            </w:r>
            <w:r w:rsidR="001530C0">
              <w:rPr>
                <w:rFonts w:cs="Arial"/>
                <w:sz w:val="22"/>
                <w:szCs w:val="22"/>
              </w:rPr>
              <w:t>.</w:t>
            </w:r>
          </w:p>
          <w:p w14:paraId="112A64E5" w14:textId="77777777" w:rsidR="001530C0" w:rsidRDefault="001530C0" w:rsidP="00B502A0">
            <w:pPr>
              <w:pStyle w:val="Normln10"/>
              <w:spacing w:before="60" w:line="240" w:lineRule="auto"/>
              <w:rPr>
                <w:rFonts w:cs="Arial"/>
                <w:sz w:val="22"/>
                <w:szCs w:val="22"/>
              </w:rPr>
            </w:pPr>
            <w:r>
              <w:rPr>
                <w:rFonts w:cs="Arial"/>
                <w:sz w:val="22"/>
                <w:szCs w:val="22"/>
              </w:rPr>
              <w:t>Sdružení</w:t>
            </w:r>
            <w:r w:rsidRPr="00D13819">
              <w:rPr>
                <w:rFonts w:cs="Arial"/>
                <w:sz w:val="22"/>
                <w:szCs w:val="22"/>
              </w:rPr>
              <w:t xml:space="preserve"> plateb za rezervovaný příkon </w:t>
            </w:r>
            <w:r>
              <w:rPr>
                <w:rFonts w:cs="Arial"/>
                <w:sz w:val="22"/>
                <w:szCs w:val="22"/>
              </w:rPr>
              <w:t>pro více</w:t>
            </w:r>
            <w:r w:rsidRPr="00D13819">
              <w:rPr>
                <w:rFonts w:cs="Arial"/>
                <w:sz w:val="22"/>
                <w:szCs w:val="22"/>
              </w:rPr>
              <w:t xml:space="preserve"> oddělených přípojných bodů bez galvanického propojení</w:t>
            </w:r>
            <w:r>
              <w:rPr>
                <w:rFonts w:cs="Arial"/>
                <w:sz w:val="22"/>
                <w:szCs w:val="22"/>
              </w:rPr>
              <w:t>.</w:t>
            </w:r>
          </w:p>
        </w:tc>
      </w:tr>
      <w:tr w:rsidR="005B021D" w14:paraId="54A3ABF9"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57DE2A91" w14:textId="77777777" w:rsidR="001530C0" w:rsidRDefault="001530C0" w:rsidP="00B502A0">
            <w:pPr>
              <w:pStyle w:val="Normln10"/>
              <w:spacing w:before="20" w:line="240" w:lineRule="auto"/>
              <w:rPr>
                <w:rFonts w:cs="Arial"/>
                <w:sz w:val="22"/>
                <w:szCs w:val="22"/>
              </w:rPr>
            </w:pPr>
            <w:r>
              <w:rPr>
                <w:rFonts w:cs="Arial"/>
                <w:sz w:val="22"/>
                <w:szCs w:val="22"/>
              </w:rPr>
              <w:t>Popis opatření</w:t>
            </w:r>
          </w:p>
        </w:tc>
        <w:tc>
          <w:tcPr>
            <w:tcW w:w="7087" w:type="dxa"/>
            <w:tcBorders>
              <w:top w:val="single" w:sz="4" w:space="0" w:color="auto"/>
              <w:left w:val="single" w:sz="12" w:space="0" w:color="auto"/>
              <w:bottom w:val="single" w:sz="4" w:space="0" w:color="auto"/>
              <w:right w:val="single" w:sz="12" w:space="0" w:color="auto"/>
            </w:tcBorders>
            <w:hideMark/>
          </w:tcPr>
          <w:p w14:paraId="0113EECC" w14:textId="2FF217FA" w:rsidR="001530C0" w:rsidRDefault="001530C0" w:rsidP="00B502A0">
            <w:pPr>
              <w:pStyle w:val="Normln10"/>
              <w:spacing w:before="60" w:line="240" w:lineRule="auto"/>
              <w:rPr>
                <w:rFonts w:cs="Arial"/>
                <w:sz w:val="22"/>
                <w:szCs w:val="22"/>
              </w:rPr>
            </w:pPr>
            <w:r w:rsidRPr="00640C53">
              <w:rPr>
                <w:rFonts w:cs="Arial"/>
                <w:sz w:val="22"/>
                <w:szCs w:val="22"/>
              </w:rPr>
              <w:t>V této oblasti došlo k</w:t>
            </w:r>
            <w:r w:rsidR="005A1247">
              <w:rPr>
                <w:rFonts w:cs="Arial"/>
                <w:sz w:val="22"/>
                <w:szCs w:val="22"/>
              </w:rPr>
              <w:t> </w:t>
            </w:r>
            <w:r w:rsidRPr="00640C53">
              <w:rPr>
                <w:rFonts w:cs="Arial"/>
                <w:sz w:val="22"/>
                <w:szCs w:val="22"/>
              </w:rPr>
              <w:t>rychlému technickému pokroku a</w:t>
            </w:r>
            <w:r w:rsidR="005A1247">
              <w:rPr>
                <w:rFonts w:cs="Arial"/>
                <w:sz w:val="22"/>
                <w:szCs w:val="22"/>
              </w:rPr>
              <w:t> </w:t>
            </w:r>
            <w:r w:rsidRPr="00640C53">
              <w:rPr>
                <w:rFonts w:cs="Arial"/>
                <w:sz w:val="22"/>
                <w:szCs w:val="22"/>
              </w:rPr>
              <w:t>využívá se kombinace více technologií a</w:t>
            </w:r>
            <w:r w:rsidR="005A1247">
              <w:rPr>
                <w:rFonts w:cs="Arial"/>
                <w:sz w:val="22"/>
                <w:szCs w:val="22"/>
              </w:rPr>
              <w:t> </w:t>
            </w:r>
            <w:r w:rsidRPr="00640C53">
              <w:rPr>
                <w:rFonts w:cs="Arial"/>
                <w:sz w:val="22"/>
                <w:szCs w:val="22"/>
              </w:rPr>
              <w:t xml:space="preserve">provozních modelů. </w:t>
            </w:r>
            <w:r>
              <w:rPr>
                <w:rFonts w:cs="Arial"/>
                <w:sz w:val="22"/>
                <w:szCs w:val="22"/>
              </w:rPr>
              <w:t xml:space="preserve">Úprava </w:t>
            </w:r>
            <w:r w:rsidRPr="00795D38">
              <w:rPr>
                <w:rFonts w:cs="Arial"/>
                <w:sz w:val="22"/>
                <w:szCs w:val="22"/>
              </w:rPr>
              <w:t>regulatorního a</w:t>
            </w:r>
            <w:r w:rsidR="005A1247">
              <w:rPr>
                <w:rFonts w:cs="Arial"/>
                <w:sz w:val="22"/>
                <w:szCs w:val="22"/>
              </w:rPr>
              <w:t> </w:t>
            </w:r>
            <w:r w:rsidRPr="00795D38">
              <w:rPr>
                <w:rFonts w:cs="Arial"/>
                <w:sz w:val="22"/>
                <w:szCs w:val="22"/>
              </w:rPr>
              <w:t>daňového rámce</w:t>
            </w:r>
            <w:r>
              <w:rPr>
                <w:rFonts w:cs="Arial"/>
                <w:sz w:val="22"/>
                <w:szCs w:val="22"/>
              </w:rPr>
              <w:t xml:space="preserve"> zjednoduší a</w:t>
            </w:r>
            <w:r w:rsidR="005A1247">
              <w:rPr>
                <w:rFonts w:cs="Arial"/>
                <w:sz w:val="22"/>
                <w:szCs w:val="22"/>
              </w:rPr>
              <w:t> </w:t>
            </w:r>
            <w:r>
              <w:rPr>
                <w:rFonts w:cs="Arial"/>
                <w:sz w:val="22"/>
                <w:szCs w:val="22"/>
              </w:rPr>
              <w:t>zlevní provoz bezemisní MHD a</w:t>
            </w:r>
            <w:r w:rsidR="005A1247">
              <w:rPr>
                <w:rFonts w:cs="Arial"/>
                <w:sz w:val="22"/>
                <w:szCs w:val="22"/>
              </w:rPr>
              <w:t> </w:t>
            </w:r>
            <w:r>
              <w:rPr>
                <w:rFonts w:cs="Arial"/>
                <w:sz w:val="22"/>
                <w:szCs w:val="22"/>
              </w:rPr>
              <w:t xml:space="preserve">podpoří její rozvoj. Konkrétně jde </w:t>
            </w:r>
            <w:r w:rsidR="00C70AFD">
              <w:rPr>
                <w:rFonts w:cs="Arial"/>
                <w:sz w:val="22"/>
                <w:szCs w:val="22"/>
              </w:rPr>
              <w:t xml:space="preserve">například </w:t>
            </w:r>
            <w:r>
              <w:rPr>
                <w:rFonts w:cs="Arial"/>
                <w:sz w:val="22"/>
                <w:szCs w:val="22"/>
              </w:rPr>
              <w:t>o</w:t>
            </w:r>
            <w:r w:rsidR="005A1247">
              <w:rPr>
                <w:rFonts w:cs="Arial"/>
                <w:sz w:val="22"/>
                <w:szCs w:val="22"/>
              </w:rPr>
              <w:t> </w:t>
            </w:r>
          </w:p>
          <w:p w14:paraId="74BCADB8" w14:textId="0A3C4A78" w:rsidR="001530C0" w:rsidRDefault="001530C0" w:rsidP="00B502A0">
            <w:pPr>
              <w:pStyle w:val="Normln10"/>
              <w:spacing w:before="60" w:line="240" w:lineRule="auto"/>
              <w:rPr>
                <w:rFonts w:cs="Arial"/>
                <w:sz w:val="22"/>
                <w:szCs w:val="22"/>
              </w:rPr>
            </w:pPr>
            <w:r>
              <w:rPr>
                <w:rFonts w:cs="Arial"/>
                <w:sz w:val="22"/>
                <w:szCs w:val="22"/>
              </w:rPr>
              <w:t xml:space="preserve">1. </w:t>
            </w:r>
            <w:r w:rsidR="00A32895">
              <w:rPr>
                <w:rFonts w:cs="Arial"/>
                <w:sz w:val="22"/>
                <w:szCs w:val="22"/>
              </w:rPr>
              <w:t>Prověřit možnosti o</w:t>
            </w:r>
            <w:r w:rsidRPr="00795D38">
              <w:rPr>
                <w:rFonts w:cs="Arial"/>
                <w:sz w:val="22"/>
                <w:szCs w:val="22"/>
              </w:rPr>
              <w:t xml:space="preserve">svobození elektrické MHD od příspěvku </w:t>
            </w:r>
            <w:r>
              <w:rPr>
                <w:rFonts w:cs="Arial"/>
                <w:sz w:val="22"/>
                <w:szCs w:val="22"/>
              </w:rPr>
              <w:t xml:space="preserve">na OZE </w:t>
            </w:r>
            <w:r w:rsidRPr="00795D38">
              <w:rPr>
                <w:rFonts w:cs="Arial"/>
                <w:sz w:val="22"/>
                <w:szCs w:val="22"/>
              </w:rPr>
              <w:t>z</w:t>
            </w:r>
            <w:r w:rsidR="005A1247">
              <w:rPr>
                <w:rFonts w:cs="Arial"/>
                <w:sz w:val="22"/>
                <w:szCs w:val="22"/>
              </w:rPr>
              <w:t> </w:t>
            </w:r>
            <w:r w:rsidRPr="00795D38">
              <w:rPr>
                <w:rFonts w:cs="Arial"/>
                <w:sz w:val="22"/>
                <w:szCs w:val="22"/>
              </w:rPr>
              <w:t>titulu jejího přínosu pro životní prostředí a</w:t>
            </w:r>
            <w:r w:rsidR="005A1247">
              <w:rPr>
                <w:rFonts w:cs="Arial"/>
                <w:sz w:val="22"/>
                <w:szCs w:val="22"/>
              </w:rPr>
              <w:t> </w:t>
            </w:r>
            <w:r w:rsidRPr="00795D38">
              <w:rPr>
                <w:rFonts w:cs="Arial"/>
                <w:sz w:val="22"/>
                <w:szCs w:val="22"/>
              </w:rPr>
              <w:t>plnění cílů snižování emisí CO</w:t>
            </w:r>
            <w:r w:rsidRPr="00795D38">
              <w:rPr>
                <w:rFonts w:cs="Arial"/>
                <w:sz w:val="22"/>
                <w:szCs w:val="22"/>
                <w:vertAlign w:val="subscript"/>
              </w:rPr>
              <w:t>2</w:t>
            </w:r>
            <w:r>
              <w:rPr>
                <w:rFonts w:cs="Arial"/>
                <w:sz w:val="22"/>
                <w:szCs w:val="22"/>
              </w:rPr>
              <w:t xml:space="preserve"> ve srovnání s</w:t>
            </w:r>
            <w:r w:rsidR="005A1247">
              <w:rPr>
                <w:rFonts w:cs="Arial"/>
                <w:sz w:val="22"/>
                <w:szCs w:val="22"/>
              </w:rPr>
              <w:t> </w:t>
            </w:r>
            <w:r>
              <w:rPr>
                <w:rFonts w:cs="Arial"/>
                <w:sz w:val="22"/>
                <w:szCs w:val="22"/>
              </w:rPr>
              <w:t>individuální dopravou</w:t>
            </w:r>
            <w:r w:rsidR="00A32895">
              <w:rPr>
                <w:rFonts w:cs="Arial"/>
                <w:sz w:val="22"/>
                <w:szCs w:val="22"/>
              </w:rPr>
              <w:t xml:space="preserve"> z</w:t>
            </w:r>
            <w:r w:rsidR="005A1247">
              <w:rPr>
                <w:rFonts w:cs="Arial"/>
                <w:sz w:val="22"/>
                <w:szCs w:val="22"/>
              </w:rPr>
              <w:t> </w:t>
            </w:r>
            <w:r w:rsidR="00A32895">
              <w:rPr>
                <w:rFonts w:cs="Arial"/>
                <w:sz w:val="22"/>
                <w:szCs w:val="22"/>
              </w:rPr>
              <w:t xml:space="preserve">hlediska slučitelnosti </w:t>
            </w:r>
            <w:r w:rsidR="00A32895" w:rsidRPr="00944EFB">
              <w:rPr>
                <w:bCs/>
                <w:sz w:val="22"/>
                <w:szCs w:val="22"/>
              </w:rPr>
              <w:t>pravidel státní podpory EU</w:t>
            </w:r>
            <w:r w:rsidRPr="00A32895">
              <w:rPr>
                <w:rFonts w:cs="Arial"/>
                <w:sz w:val="22"/>
                <w:szCs w:val="22"/>
              </w:rPr>
              <w:t>.</w:t>
            </w:r>
            <w:r w:rsidRPr="00A32895">
              <w:rPr>
                <w:rFonts w:cs="Arial"/>
                <w:sz w:val="24"/>
                <w:szCs w:val="24"/>
              </w:rPr>
              <w:t xml:space="preserve"> </w:t>
            </w:r>
            <w:r>
              <w:rPr>
                <w:rFonts w:cs="Arial"/>
                <w:sz w:val="22"/>
                <w:szCs w:val="22"/>
              </w:rPr>
              <w:t>Přesun přepravních výkonů do hromadné dopravy představuje nejúčinnější způsob dosažení energetických úspor v</w:t>
            </w:r>
            <w:r w:rsidR="005A1247">
              <w:rPr>
                <w:rFonts w:cs="Arial"/>
                <w:sz w:val="22"/>
                <w:szCs w:val="22"/>
              </w:rPr>
              <w:t> </w:t>
            </w:r>
            <w:r>
              <w:rPr>
                <w:rFonts w:cs="Arial"/>
                <w:sz w:val="22"/>
                <w:szCs w:val="22"/>
              </w:rPr>
              <w:t xml:space="preserve">dopravě. Opatření </w:t>
            </w:r>
            <w:r w:rsidR="00A32895">
              <w:rPr>
                <w:rFonts w:cs="Arial"/>
                <w:sz w:val="22"/>
                <w:szCs w:val="22"/>
              </w:rPr>
              <w:t xml:space="preserve">by </w:t>
            </w:r>
            <w:r>
              <w:rPr>
                <w:rFonts w:cs="Arial"/>
                <w:sz w:val="22"/>
                <w:szCs w:val="22"/>
              </w:rPr>
              <w:t>napom</w:t>
            </w:r>
            <w:r w:rsidR="00A32895">
              <w:rPr>
                <w:rFonts w:cs="Arial"/>
                <w:sz w:val="22"/>
                <w:szCs w:val="22"/>
              </w:rPr>
              <w:t xml:space="preserve">ohlo </w:t>
            </w:r>
            <w:r>
              <w:rPr>
                <w:rFonts w:cs="Arial"/>
                <w:sz w:val="22"/>
                <w:szCs w:val="22"/>
              </w:rPr>
              <w:t>zvýšení cenové konkurenceschopnosti MHD.</w:t>
            </w:r>
          </w:p>
          <w:p w14:paraId="0689197E" w14:textId="45F627E6" w:rsidR="001530C0" w:rsidRDefault="001530C0" w:rsidP="005A1247">
            <w:pPr>
              <w:pStyle w:val="Normln10"/>
              <w:spacing w:before="60" w:line="240" w:lineRule="auto"/>
              <w:rPr>
                <w:rFonts w:cs="Arial"/>
                <w:sz w:val="22"/>
                <w:szCs w:val="22"/>
              </w:rPr>
            </w:pPr>
            <w:r>
              <w:rPr>
                <w:rFonts w:cs="Arial"/>
                <w:sz w:val="22"/>
                <w:szCs w:val="22"/>
              </w:rPr>
              <w:t>2.</w:t>
            </w:r>
            <w:r>
              <w:t xml:space="preserve"> </w:t>
            </w:r>
            <w:r w:rsidR="00C70AFD">
              <w:rPr>
                <w:rFonts w:cs="Arial"/>
                <w:sz w:val="22"/>
                <w:szCs w:val="22"/>
              </w:rPr>
              <w:t>úpravu</w:t>
            </w:r>
            <w:r w:rsidRPr="00640C53">
              <w:rPr>
                <w:rFonts w:cs="Arial"/>
                <w:sz w:val="22"/>
                <w:szCs w:val="22"/>
              </w:rPr>
              <w:t xml:space="preserve"> vyhlášek ERÚ</w:t>
            </w:r>
            <w:r>
              <w:rPr>
                <w:rFonts w:cs="Arial"/>
                <w:sz w:val="22"/>
                <w:szCs w:val="22"/>
              </w:rPr>
              <w:t>.</w:t>
            </w:r>
            <w:r>
              <w:t xml:space="preserve"> </w:t>
            </w:r>
            <w:r w:rsidRPr="00640C53">
              <w:rPr>
                <w:rFonts w:cs="Arial"/>
                <w:sz w:val="22"/>
                <w:szCs w:val="22"/>
              </w:rPr>
              <w:t>Sl</w:t>
            </w:r>
            <w:r>
              <w:rPr>
                <w:rFonts w:cs="Arial"/>
                <w:sz w:val="22"/>
                <w:szCs w:val="22"/>
              </w:rPr>
              <w:t>oučen</w:t>
            </w:r>
            <w:r w:rsidRPr="00640C53">
              <w:rPr>
                <w:rFonts w:cs="Arial"/>
                <w:sz w:val="22"/>
                <w:szCs w:val="22"/>
              </w:rPr>
              <w:t>í odběrných míst všech druhů elektrické veřejné dopravy provozované jedním objednatelem/provozovatelem</w:t>
            </w:r>
            <w:r>
              <w:rPr>
                <w:rFonts w:cs="Arial"/>
                <w:sz w:val="22"/>
                <w:szCs w:val="22"/>
              </w:rPr>
              <w:t xml:space="preserve">, tj. </w:t>
            </w:r>
            <w:r w:rsidRPr="00640C53">
              <w:rPr>
                <w:rFonts w:cs="Arial"/>
                <w:sz w:val="22"/>
                <w:szCs w:val="22"/>
              </w:rPr>
              <w:t>sdružení měníren i</w:t>
            </w:r>
            <w:r w:rsidR="005A1247">
              <w:rPr>
                <w:rFonts w:cs="Arial"/>
                <w:sz w:val="22"/>
                <w:szCs w:val="22"/>
              </w:rPr>
              <w:t> </w:t>
            </w:r>
            <w:r w:rsidR="00F14B46">
              <w:rPr>
                <w:rFonts w:cs="Arial"/>
                <w:sz w:val="22"/>
                <w:szCs w:val="22"/>
              </w:rPr>
              <w:t>do</w:t>
            </w:r>
            <w:r w:rsidRPr="00640C53">
              <w:rPr>
                <w:rFonts w:cs="Arial"/>
                <w:sz w:val="22"/>
                <w:szCs w:val="22"/>
              </w:rPr>
              <w:t>bíjecích stanic daného systému MHD do jednoho virtuálního odběrového místa</w:t>
            </w:r>
            <w:r>
              <w:rPr>
                <w:rFonts w:cs="Arial"/>
                <w:sz w:val="22"/>
                <w:szCs w:val="22"/>
              </w:rPr>
              <w:t xml:space="preserve"> nehledě na jejich galvanické propojení</w:t>
            </w:r>
            <w:r w:rsidRPr="00640C53">
              <w:rPr>
                <w:rFonts w:cs="Arial"/>
                <w:sz w:val="22"/>
                <w:szCs w:val="22"/>
              </w:rPr>
              <w:t>.</w:t>
            </w:r>
            <w:r>
              <w:rPr>
                <w:rFonts w:cs="Arial"/>
                <w:sz w:val="22"/>
                <w:szCs w:val="22"/>
              </w:rPr>
              <w:t xml:space="preserve"> Platba za jedno</w:t>
            </w:r>
            <w:r>
              <w:t xml:space="preserve"> </w:t>
            </w:r>
            <w:r w:rsidRPr="00F73E00">
              <w:rPr>
                <w:rFonts w:cs="Arial"/>
                <w:sz w:val="22"/>
                <w:szCs w:val="22"/>
              </w:rPr>
              <w:t>virtuální odběrové</w:t>
            </w:r>
            <w:r>
              <w:rPr>
                <w:rFonts w:cs="Arial"/>
                <w:sz w:val="22"/>
                <w:szCs w:val="22"/>
              </w:rPr>
              <w:t xml:space="preserve"> místo zlevní provoz elektrobusů.</w:t>
            </w:r>
          </w:p>
        </w:tc>
      </w:tr>
      <w:tr w:rsidR="005B021D" w14:paraId="13E56670"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260947F3" w14:textId="44D7AF8D" w:rsidR="001530C0" w:rsidRDefault="001530C0" w:rsidP="005A1247">
            <w:pPr>
              <w:pStyle w:val="Normln10"/>
              <w:spacing w:before="20" w:line="240" w:lineRule="auto"/>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087" w:type="dxa"/>
            <w:tcBorders>
              <w:top w:val="single" w:sz="4" w:space="0" w:color="auto"/>
              <w:left w:val="single" w:sz="12" w:space="0" w:color="auto"/>
              <w:bottom w:val="single" w:sz="4" w:space="0" w:color="auto"/>
              <w:right w:val="single" w:sz="12" w:space="0" w:color="auto"/>
            </w:tcBorders>
          </w:tcPr>
          <w:p w14:paraId="78FCC383" w14:textId="5C574BEE" w:rsidR="001530C0" w:rsidRDefault="001530C0" w:rsidP="005A1247">
            <w:pPr>
              <w:pStyle w:val="Normln10"/>
              <w:spacing w:before="60" w:line="240" w:lineRule="auto"/>
              <w:rPr>
                <w:rFonts w:cs="Arial"/>
                <w:sz w:val="22"/>
                <w:szCs w:val="22"/>
              </w:rPr>
            </w:pPr>
            <w:r>
              <w:rPr>
                <w:rFonts w:cs="Arial"/>
                <w:sz w:val="22"/>
                <w:szCs w:val="22"/>
              </w:rPr>
              <w:t>Sdružování odběrných míst do jednoho virtuálního odběrného místa funguje v</w:t>
            </w:r>
            <w:r w:rsidR="005A1247">
              <w:rPr>
                <w:rFonts w:cs="Arial"/>
                <w:sz w:val="22"/>
                <w:szCs w:val="22"/>
              </w:rPr>
              <w:t> </w:t>
            </w:r>
            <w:r>
              <w:rPr>
                <w:rFonts w:cs="Arial"/>
                <w:sz w:val="22"/>
                <w:szCs w:val="22"/>
              </w:rPr>
              <w:t>ČR pro drážní systémy MHD.</w:t>
            </w:r>
          </w:p>
        </w:tc>
      </w:tr>
      <w:tr w:rsidR="005B021D" w14:paraId="47DC41AB"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62979540" w14:textId="77777777" w:rsidR="001530C0" w:rsidRDefault="001530C0" w:rsidP="00B502A0">
            <w:pPr>
              <w:pStyle w:val="Normln10"/>
              <w:spacing w:before="20" w:line="240" w:lineRule="auto"/>
              <w:rPr>
                <w:rFonts w:cs="Arial"/>
                <w:sz w:val="22"/>
                <w:szCs w:val="22"/>
              </w:rPr>
            </w:pPr>
            <w:r>
              <w:rPr>
                <w:rFonts w:cs="Arial"/>
                <w:sz w:val="22"/>
                <w:szCs w:val="22"/>
              </w:rPr>
              <w:t>Rozpočtový dopad / financování</w:t>
            </w:r>
          </w:p>
        </w:tc>
        <w:tc>
          <w:tcPr>
            <w:tcW w:w="7087" w:type="dxa"/>
            <w:tcBorders>
              <w:top w:val="single" w:sz="4" w:space="0" w:color="auto"/>
              <w:left w:val="single" w:sz="12" w:space="0" w:color="auto"/>
              <w:bottom w:val="single" w:sz="4" w:space="0" w:color="auto"/>
              <w:right w:val="single" w:sz="12" w:space="0" w:color="auto"/>
            </w:tcBorders>
          </w:tcPr>
          <w:p w14:paraId="6C45ABC9" w14:textId="77777777" w:rsidR="001530C0" w:rsidRDefault="001530C0" w:rsidP="00B502A0">
            <w:pPr>
              <w:pStyle w:val="Normln10"/>
              <w:spacing w:before="60" w:line="240" w:lineRule="auto"/>
              <w:rPr>
                <w:rFonts w:cs="Arial"/>
                <w:sz w:val="22"/>
                <w:szCs w:val="22"/>
              </w:rPr>
            </w:pPr>
            <w:r>
              <w:rPr>
                <w:rFonts w:cs="Arial"/>
                <w:sz w:val="22"/>
                <w:szCs w:val="22"/>
              </w:rPr>
              <w:t>Žádný</w:t>
            </w:r>
          </w:p>
        </w:tc>
      </w:tr>
      <w:tr w:rsidR="005B021D" w14:paraId="490ECDEE"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67D01C81" w14:textId="77777777" w:rsidR="001530C0" w:rsidRDefault="001530C0" w:rsidP="00B502A0">
            <w:pPr>
              <w:pStyle w:val="Normln10"/>
              <w:spacing w:before="20" w:line="240" w:lineRule="auto"/>
              <w:rPr>
                <w:rFonts w:cs="Arial"/>
                <w:sz w:val="22"/>
                <w:szCs w:val="22"/>
              </w:rPr>
            </w:pPr>
            <w:r>
              <w:rPr>
                <w:rFonts w:cs="Arial"/>
                <w:sz w:val="22"/>
                <w:szCs w:val="22"/>
              </w:rPr>
              <w:t>Odpovědnost</w:t>
            </w:r>
          </w:p>
        </w:tc>
        <w:tc>
          <w:tcPr>
            <w:tcW w:w="7087" w:type="dxa"/>
            <w:tcBorders>
              <w:top w:val="single" w:sz="4" w:space="0" w:color="auto"/>
              <w:left w:val="single" w:sz="12" w:space="0" w:color="auto"/>
              <w:bottom w:val="single" w:sz="4" w:space="0" w:color="auto"/>
              <w:right w:val="single" w:sz="12" w:space="0" w:color="auto"/>
            </w:tcBorders>
            <w:hideMark/>
          </w:tcPr>
          <w:p w14:paraId="35E26378" w14:textId="77777777" w:rsidR="001530C0" w:rsidRDefault="001530C0" w:rsidP="00B502A0">
            <w:pPr>
              <w:pStyle w:val="Normln10"/>
              <w:spacing w:before="60" w:line="240" w:lineRule="auto"/>
              <w:rPr>
                <w:rFonts w:cs="Arial"/>
                <w:sz w:val="22"/>
                <w:szCs w:val="22"/>
              </w:rPr>
            </w:pPr>
            <w:r>
              <w:rPr>
                <w:rFonts w:cs="Arial"/>
                <w:sz w:val="22"/>
                <w:szCs w:val="22"/>
              </w:rPr>
              <w:t>MPO</w:t>
            </w:r>
          </w:p>
        </w:tc>
      </w:tr>
      <w:tr w:rsidR="005B021D" w14:paraId="48A135D3" w14:textId="77777777" w:rsidTr="00B502A0">
        <w:tc>
          <w:tcPr>
            <w:tcW w:w="1984" w:type="dxa"/>
            <w:tcBorders>
              <w:top w:val="single" w:sz="4" w:space="0" w:color="auto"/>
              <w:left w:val="single" w:sz="12" w:space="0" w:color="auto"/>
              <w:bottom w:val="single" w:sz="4" w:space="0" w:color="auto"/>
              <w:right w:val="single" w:sz="12" w:space="0" w:color="auto"/>
            </w:tcBorders>
            <w:hideMark/>
          </w:tcPr>
          <w:p w14:paraId="57FF0D69" w14:textId="77777777" w:rsidR="001530C0" w:rsidRDefault="001530C0" w:rsidP="00B502A0">
            <w:pPr>
              <w:pStyle w:val="Normln10"/>
              <w:spacing w:before="20" w:line="240" w:lineRule="auto"/>
              <w:rPr>
                <w:rFonts w:cs="Arial"/>
                <w:sz w:val="22"/>
                <w:szCs w:val="22"/>
              </w:rPr>
            </w:pPr>
            <w:r>
              <w:rPr>
                <w:rFonts w:cs="Arial"/>
                <w:sz w:val="22"/>
                <w:szCs w:val="22"/>
              </w:rPr>
              <w:t>Spolupráce</w:t>
            </w:r>
          </w:p>
        </w:tc>
        <w:tc>
          <w:tcPr>
            <w:tcW w:w="7087" w:type="dxa"/>
            <w:tcBorders>
              <w:top w:val="single" w:sz="4" w:space="0" w:color="auto"/>
              <w:left w:val="single" w:sz="12" w:space="0" w:color="auto"/>
              <w:bottom w:val="single" w:sz="4" w:space="0" w:color="auto"/>
              <w:right w:val="single" w:sz="12" w:space="0" w:color="auto"/>
            </w:tcBorders>
          </w:tcPr>
          <w:p w14:paraId="6EB248D6" w14:textId="77777777" w:rsidR="001530C0" w:rsidRDefault="001530C0" w:rsidP="00B502A0">
            <w:pPr>
              <w:pStyle w:val="Normln10"/>
              <w:spacing w:before="60" w:line="240" w:lineRule="auto"/>
              <w:rPr>
                <w:rFonts w:cs="Arial"/>
                <w:sz w:val="22"/>
                <w:szCs w:val="22"/>
              </w:rPr>
            </w:pPr>
            <w:r>
              <w:rPr>
                <w:rFonts w:cs="Arial"/>
                <w:sz w:val="22"/>
                <w:szCs w:val="22"/>
              </w:rPr>
              <w:t>MF, ERÚ, SDP ČR</w:t>
            </w:r>
          </w:p>
        </w:tc>
      </w:tr>
      <w:tr w:rsidR="005B021D" w14:paraId="1BA93254" w14:textId="77777777" w:rsidTr="00B502A0">
        <w:tc>
          <w:tcPr>
            <w:tcW w:w="1984" w:type="dxa"/>
            <w:tcBorders>
              <w:top w:val="single" w:sz="4" w:space="0" w:color="auto"/>
              <w:left w:val="single" w:sz="12" w:space="0" w:color="auto"/>
              <w:bottom w:val="single" w:sz="12" w:space="0" w:color="auto"/>
              <w:right w:val="single" w:sz="12" w:space="0" w:color="auto"/>
            </w:tcBorders>
            <w:hideMark/>
          </w:tcPr>
          <w:p w14:paraId="6B9AB1B2" w14:textId="77777777" w:rsidR="001530C0" w:rsidRDefault="001530C0" w:rsidP="00B502A0">
            <w:pPr>
              <w:pStyle w:val="Normln10"/>
              <w:spacing w:before="20" w:line="240" w:lineRule="auto"/>
              <w:rPr>
                <w:rFonts w:cs="Arial"/>
                <w:sz w:val="22"/>
                <w:szCs w:val="22"/>
              </w:rPr>
            </w:pPr>
            <w:r>
              <w:rPr>
                <w:rFonts w:cs="Arial"/>
                <w:sz w:val="22"/>
                <w:szCs w:val="22"/>
              </w:rPr>
              <w:t>Termín</w:t>
            </w:r>
          </w:p>
        </w:tc>
        <w:tc>
          <w:tcPr>
            <w:tcW w:w="7087" w:type="dxa"/>
            <w:tcBorders>
              <w:top w:val="single" w:sz="4" w:space="0" w:color="auto"/>
              <w:left w:val="single" w:sz="12" w:space="0" w:color="auto"/>
              <w:bottom w:val="single" w:sz="12" w:space="0" w:color="auto"/>
              <w:right w:val="single" w:sz="12" w:space="0" w:color="auto"/>
            </w:tcBorders>
            <w:hideMark/>
          </w:tcPr>
          <w:p w14:paraId="289FF5E6" w14:textId="77777777" w:rsidR="001530C0" w:rsidRDefault="001530C0" w:rsidP="00B502A0">
            <w:pPr>
              <w:pStyle w:val="Normln10"/>
              <w:spacing w:before="60" w:line="240" w:lineRule="auto"/>
              <w:rPr>
                <w:rFonts w:cs="Arial"/>
                <w:sz w:val="22"/>
                <w:szCs w:val="22"/>
              </w:rPr>
            </w:pPr>
            <w:r>
              <w:rPr>
                <w:rFonts w:cs="Arial"/>
                <w:sz w:val="22"/>
                <w:szCs w:val="22"/>
              </w:rPr>
              <w:t>12/2020</w:t>
            </w:r>
          </w:p>
        </w:tc>
      </w:tr>
    </w:tbl>
    <w:p w14:paraId="44FC75B7" w14:textId="77777777" w:rsidR="001530C0" w:rsidRDefault="001530C0" w:rsidP="009A3B7E">
      <w:pPr>
        <w:spacing w:before="0" w:after="0"/>
        <w:jc w:val="both"/>
      </w:pPr>
    </w:p>
    <w:p w14:paraId="04EEC409" w14:textId="77777777" w:rsidR="00944EFB" w:rsidRDefault="00944EFB" w:rsidP="00944EFB">
      <w:pPr>
        <w:pStyle w:val="Nadpis3"/>
        <w:numPr>
          <w:ilvl w:val="0"/>
          <w:numId w:val="0"/>
        </w:numPr>
        <w:ind w:left="284"/>
        <w:jc w:val="both"/>
      </w:pPr>
      <w:bookmarkStart w:id="130" w:name="_Toc21589195"/>
    </w:p>
    <w:p w14:paraId="243CC5F9" w14:textId="6C1C5CB1" w:rsidR="001530C0" w:rsidRDefault="001530C0" w:rsidP="009A3B7E">
      <w:pPr>
        <w:pStyle w:val="Nadpis3"/>
        <w:jc w:val="both"/>
      </w:pPr>
      <w:r>
        <w:t xml:space="preserve">V6 </w:t>
      </w:r>
      <w:r w:rsidRPr="004F1AAA">
        <w:t>Aktivně se zapojit do diskuzí o</w:t>
      </w:r>
      <w:r w:rsidR="005A1247">
        <w:t> </w:t>
      </w:r>
      <w:r w:rsidRPr="004F1AAA">
        <w:t>rozvoji vodíkové mobility v</w:t>
      </w:r>
      <w:r w:rsidR="005A1247">
        <w:t> </w:t>
      </w:r>
      <w:r w:rsidRPr="004F1AAA">
        <w:t>rámci neformálního uskupení členských států GSG</w:t>
      </w:r>
      <w:bookmarkEnd w:id="130"/>
    </w:p>
    <w:tbl>
      <w:tblPr>
        <w:tblStyle w:val="Mkatabulky4"/>
        <w:tblpPr w:leftFromText="141" w:rightFromText="141" w:vertAnchor="text" w:horzAnchor="margin" w:tblpY="248"/>
        <w:tblW w:w="5000"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1"/>
        <w:gridCol w:w="7111"/>
      </w:tblGrid>
      <w:tr w:rsidR="001530C0" w14:paraId="37EF243A" w14:textId="77777777" w:rsidTr="003447F9">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4A83A8CA" w14:textId="3C9F3216" w:rsidR="001530C0" w:rsidRDefault="001530C0" w:rsidP="005A1247">
            <w:pPr>
              <w:spacing w:before="60" w:after="60"/>
              <w:jc w:val="both"/>
              <w:rPr>
                <w:b/>
              </w:rPr>
            </w:pPr>
            <w:r>
              <w:rPr>
                <w:b/>
                <w:color w:val="FFFFFF" w:themeColor="background1"/>
              </w:rPr>
              <w:t>V6 Aktivně se zapojit do diskuzí o</w:t>
            </w:r>
            <w:r w:rsidR="005A1247">
              <w:rPr>
                <w:b/>
                <w:color w:val="FFFFFF" w:themeColor="background1"/>
              </w:rPr>
              <w:t> </w:t>
            </w:r>
            <w:r>
              <w:rPr>
                <w:b/>
                <w:color w:val="FFFFFF" w:themeColor="background1"/>
              </w:rPr>
              <w:t>rozvoji vodíkové mobility v</w:t>
            </w:r>
            <w:r w:rsidR="005A1247">
              <w:rPr>
                <w:b/>
                <w:color w:val="FFFFFF" w:themeColor="background1"/>
              </w:rPr>
              <w:t> </w:t>
            </w:r>
            <w:r>
              <w:rPr>
                <w:b/>
                <w:color w:val="FFFFFF" w:themeColor="background1"/>
              </w:rPr>
              <w:t>rámci neformálního uskupení členských států GSG</w:t>
            </w:r>
            <w:r>
              <w:t xml:space="preserve"> </w:t>
            </w:r>
          </w:p>
        </w:tc>
      </w:tr>
      <w:tr w:rsidR="005B021D" w14:paraId="408BFFAE" w14:textId="77777777" w:rsidTr="003447F9">
        <w:trPr>
          <w:trHeight w:val="52"/>
        </w:trPr>
        <w:tc>
          <w:tcPr>
            <w:tcW w:w="1068" w:type="pct"/>
            <w:tcBorders>
              <w:top w:val="single" w:sz="12" w:space="0" w:color="auto"/>
              <w:left w:val="single" w:sz="12" w:space="0" w:color="auto"/>
              <w:bottom w:val="single" w:sz="4" w:space="0" w:color="auto"/>
              <w:right w:val="single" w:sz="12" w:space="0" w:color="auto"/>
            </w:tcBorders>
            <w:hideMark/>
          </w:tcPr>
          <w:p w14:paraId="6C4D8C8D" w14:textId="77777777" w:rsidR="001530C0" w:rsidRDefault="001530C0" w:rsidP="009A3B7E">
            <w:pPr>
              <w:jc w:val="both"/>
            </w:pPr>
            <w:r>
              <w:t>Návaznost na strategický cíl</w:t>
            </w:r>
          </w:p>
        </w:tc>
        <w:tc>
          <w:tcPr>
            <w:tcW w:w="3932" w:type="pct"/>
            <w:tcBorders>
              <w:top w:val="single" w:sz="12" w:space="0" w:color="auto"/>
              <w:left w:val="single" w:sz="12" w:space="0" w:color="auto"/>
              <w:bottom w:val="single" w:sz="4" w:space="0" w:color="auto"/>
              <w:right w:val="single" w:sz="12" w:space="0" w:color="auto"/>
            </w:tcBorders>
            <w:hideMark/>
          </w:tcPr>
          <w:p w14:paraId="7615E200" w14:textId="416E12B6" w:rsidR="001530C0" w:rsidRDefault="001530C0" w:rsidP="005A1247">
            <w:pPr>
              <w:jc w:val="both"/>
            </w:pPr>
            <w:r>
              <w:t>Rozvoj mezinárodní spolupráce v</w:t>
            </w:r>
            <w:r w:rsidR="005A1247">
              <w:t> </w:t>
            </w:r>
            <w:r>
              <w:t>oblasti vodíkové mobility</w:t>
            </w:r>
            <w:r w:rsidR="00797C43">
              <w:t xml:space="preserve"> (kap. 4.3.3.)</w:t>
            </w:r>
          </w:p>
        </w:tc>
      </w:tr>
      <w:tr w:rsidR="005B021D" w14:paraId="74FDE0B9"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55DC7C6B" w14:textId="77777777" w:rsidR="001530C0" w:rsidRDefault="001530C0" w:rsidP="009A3B7E">
            <w:pPr>
              <w:jc w:val="both"/>
            </w:pPr>
            <w:r>
              <w:t xml:space="preserve">Cíl opatření </w:t>
            </w:r>
          </w:p>
        </w:tc>
        <w:tc>
          <w:tcPr>
            <w:tcW w:w="3932" w:type="pct"/>
            <w:tcBorders>
              <w:top w:val="single" w:sz="4" w:space="0" w:color="auto"/>
              <w:left w:val="single" w:sz="12" w:space="0" w:color="auto"/>
              <w:bottom w:val="single" w:sz="4" w:space="0" w:color="auto"/>
              <w:right w:val="single" w:sz="12" w:space="0" w:color="auto"/>
            </w:tcBorders>
            <w:hideMark/>
          </w:tcPr>
          <w:p w14:paraId="069DF648" w14:textId="439BD761" w:rsidR="001530C0" w:rsidRDefault="001530C0" w:rsidP="005A1247">
            <w:pPr>
              <w:jc w:val="both"/>
            </w:pPr>
            <w:r>
              <w:t>Cílem je získat větší informovanost o</w:t>
            </w:r>
            <w:r w:rsidR="005A1247">
              <w:t> </w:t>
            </w:r>
            <w:r>
              <w:t>aktuálních trendech v</w:t>
            </w:r>
            <w:r w:rsidR="005A1247">
              <w:t> </w:t>
            </w:r>
            <w:r>
              <w:t>oblasti vodíkové mobility a</w:t>
            </w:r>
            <w:r w:rsidR="005A1247">
              <w:t> </w:t>
            </w:r>
            <w:r>
              <w:t xml:space="preserve">efektivnější výměna nejlepších zkušeností </w:t>
            </w:r>
          </w:p>
        </w:tc>
      </w:tr>
      <w:tr w:rsidR="005B021D" w14:paraId="718A234A"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4AA31EBB" w14:textId="77777777" w:rsidR="001530C0" w:rsidRDefault="001530C0" w:rsidP="009A3B7E">
            <w:pPr>
              <w:jc w:val="both"/>
            </w:pPr>
            <w:r>
              <w:t>Popis opatření</w:t>
            </w:r>
          </w:p>
        </w:tc>
        <w:tc>
          <w:tcPr>
            <w:tcW w:w="3932" w:type="pct"/>
            <w:tcBorders>
              <w:top w:val="single" w:sz="4" w:space="0" w:color="auto"/>
              <w:left w:val="single" w:sz="12" w:space="0" w:color="auto"/>
              <w:bottom w:val="single" w:sz="4" w:space="0" w:color="auto"/>
              <w:right w:val="single" w:sz="12" w:space="0" w:color="auto"/>
            </w:tcBorders>
            <w:hideMark/>
          </w:tcPr>
          <w:p w14:paraId="6EDEB9C8" w14:textId="2C657B44" w:rsidR="001530C0" w:rsidRDefault="001530C0" w:rsidP="005A1247">
            <w:pPr>
              <w:jc w:val="both"/>
            </w:pPr>
            <w:r>
              <w:t>V rámci GSG (Governmental Support Group) je třeba se pravidelně účastnit jednak řídícího výboru GSG tak pracovní skupiny pro vodíkovou mobilitu a</w:t>
            </w:r>
            <w:r w:rsidR="005A1247">
              <w:t> </w:t>
            </w:r>
            <w:r>
              <w:t>zastupovat zájmy České republiky za oblast vodíkové mobility (nicméně zatím nebylo z</w:t>
            </w:r>
            <w:r w:rsidR="005A1247">
              <w:t> </w:t>
            </w:r>
            <w:r>
              <w:t>hlediska pracovních kapacit možné účastnit se všech jednání).</w:t>
            </w:r>
          </w:p>
        </w:tc>
      </w:tr>
      <w:tr w:rsidR="005B021D" w14:paraId="298F87F6"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5B78D4FA" w14:textId="65AD7263" w:rsidR="001530C0" w:rsidRDefault="001530C0" w:rsidP="005A1247">
            <w:pPr>
              <w:jc w:val="both"/>
            </w:pPr>
            <w:r>
              <w:t>Příklad z</w:t>
            </w:r>
            <w:r w:rsidR="005A1247">
              <w:t> </w:t>
            </w:r>
            <w:r>
              <w:t>praxe</w:t>
            </w:r>
          </w:p>
        </w:tc>
        <w:tc>
          <w:tcPr>
            <w:tcW w:w="3932" w:type="pct"/>
            <w:tcBorders>
              <w:top w:val="single" w:sz="4" w:space="0" w:color="auto"/>
              <w:left w:val="single" w:sz="12" w:space="0" w:color="auto"/>
              <w:bottom w:val="single" w:sz="4" w:space="0" w:color="auto"/>
              <w:right w:val="single" w:sz="12" w:space="0" w:color="auto"/>
            </w:tcBorders>
            <w:hideMark/>
          </w:tcPr>
          <w:p w14:paraId="458F67D7" w14:textId="77777777" w:rsidR="001530C0" w:rsidRDefault="001530C0" w:rsidP="009A3B7E">
            <w:pPr>
              <w:jc w:val="both"/>
            </w:pPr>
            <w:r>
              <w:t xml:space="preserve">GSG již funguje od roku 2015. ČR je zapojena od května 2017.  </w:t>
            </w:r>
          </w:p>
        </w:tc>
      </w:tr>
      <w:tr w:rsidR="005B021D" w14:paraId="77DFCA22"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025FAE94" w14:textId="77777777" w:rsidR="001530C0" w:rsidRDefault="001530C0" w:rsidP="009A3B7E">
            <w:pPr>
              <w:jc w:val="both"/>
            </w:pPr>
            <w:r>
              <w:t>Rozpočtový dopad / financování</w:t>
            </w:r>
          </w:p>
        </w:tc>
        <w:tc>
          <w:tcPr>
            <w:tcW w:w="3932" w:type="pct"/>
            <w:tcBorders>
              <w:top w:val="single" w:sz="4" w:space="0" w:color="auto"/>
              <w:left w:val="single" w:sz="12" w:space="0" w:color="auto"/>
              <w:bottom w:val="single" w:sz="4" w:space="0" w:color="auto"/>
              <w:right w:val="single" w:sz="12" w:space="0" w:color="auto"/>
            </w:tcBorders>
            <w:hideMark/>
          </w:tcPr>
          <w:p w14:paraId="2BB91ED0" w14:textId="77777777" w:rsidR="001530C0" w:rsidRDefault="001530C0" w:rsidP="009A3B7E">
            <w:pPr>
              <w:jc w:val="both"/>
            </w:pPr>
            <w:r>
              <w:t xml:space="preserve">MD/MŽP (jen náklady na ZPC) </w:t>
            </w:r>
          </w:p>
        </w:tc>
      </w:tr>
      <w:tr w:rsidR="005B021D" w14:paraId="7D730EE2"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5F5A7083" w14:textId="77777777" w:rsidR="001530C0" w:rsidRDefault="001530C0" w:rsidP="009A3B7E">
            <w:pPr>
              <w:jc w:val="both"/>
            </w:pPr>
            <w:r>
              <w:t>Odpovědnost</w:t>
            </w:r>
          </w:p>
        </w:tc>
        <w:tc>
          <w:tcPr>
            <w:tcW w:w="3932" w:type="pct"/>
            <w:tcBorders>
              <w:top w:val="single" w:sz="4" w:space="0" w:color="auto"/>
              <w:left w:val="single" w:sz="12" w:space="0" w:color="auto"/>
              <w:bottom w:val="single" w:sz="4" w:space="0" w:color="auto"/>
              <w:right w:val="single" w:sz="12" w:space="0" w:color="auto"/>
            </w:tcBorders>
            <w:hideMark/>
          </w:tcPr>
          <w:p w14:paraId="2B9B3CAA" w14:textId="77777777" w:rsidR="001530C0" w:rsidRDefault="001530C0" w:rsidP="009A3B7E">
            <w:pPr>
              <w:jc w:val="both"/>
            </w:pPr>
            <w:r>
              <w:t>MD</w:t>
            </w:r>
          </w:p>
        </w:tc>
      </w:tr>
      <w:tr w:rsidR="005B021D" w14:paraId="11C0643F" w14:textId="77777777" w:rsidTr="003447F9">
        <w:trPr>
          <w:trHeight w:val="52"/>
        </w:trPr>
        <w:tc>
          <w:tcPr>
            <w:tcW w:w="1068" w:type="pct"/>
            <w:tcBorders>
              <w:top w:val="single" w:sz="4" w:space="0" w:color="auto"/>
              <w:left w:val="single" w:sz="12" w:space="0" w:color="auto"/>
              <w:bottom w:val="single" w:sz="4" w:space="0" w:color="auto"/>
              <w:right w:val="single" w:sz="12" w:space="0" w:color="auto"/>
            </w:tcBorders>
            <w:hideMark/>
          </w:tcPr>
          <w:p w14:paraId="420EFF18" w14:textId="77777777" w:rsidR="001530C0" w:rsidRDefault="001530C0" w:rsidP="009A3B7E">
            <w:pPr>
              <w:jc w:val="both"/>
            </w:pPr>
            <w:r>
              <w:t>Spolupráce</w:t>
            </w:r>
          </w:p>
        </w:tc>
        <w:tc>
          <w:tcPr>
            <w:tcW w:w="3932" w:type="pct"/>
            <w:tcBorders>
              <w:top w:val="single" w:sz="4" w:space="0" w:color="auto"/>
              <w:left w:val="single" w:sz="12" w:space="0" w:color="auto"/>
              <w:bottom w:val="single" w:sz="4" w:space="0" w:color="auto"/>
              <w:right w:val="single" w:sz="12" w:space="0" w:color="auto"/>
            </w:tcBorders>
            <w:hideMark/>
          </w:tcPr>
          <w:p w14:paraId="545D1375" w14:textId="77777777" w:rsidR="001530C0" w:rsidRDefault="001530C0" w:rsidP="009A3B7E">
            <w:pPr>
              <w:jc w:val="both"/>
            </w:pPr>
            <w:r>
              <w:t>MŽP, MPO, MD</w:t>
            </w:r>
          </w:p>
        </w:tc>
      </w:tr>
      <w:tr w:rsidR="005B021D" w14:paraId="1BC7E31D" w14:textId="77777777" w:rsidTr="003447F9">
        <w:trPr>
          <w:trHeight w:val="52"/>
        </w:trPr>
        <w:tc>
          <w:tcPr>
            <w:tcW w:w="1068" w:type="pct"/>
            <w:tcBorders>
              <w:top w:val="single" w:sz="4" w:space="0" w:color="auto"/>
              <w:left w:val="single" w:sz="12" w:space="0" w:color="auto"/>
              <w:bottom w:val="single" w:sz="12" w:space="0" w:color="auto"/>
              <w:right w:val="single" w:sz="12" w:space="0" w:color="auto"/>
            </w:tcBorders>
            <w:hideMark/>
          </w:tcPr>
          <w:p w14:paraId="1CD27837" w14:textId="77777777" w:rsidR="001530C0" w:rsidRDefault="001530C0" w:rsidP="009A3B7E">
            <w:pPr>
              <w:jc w:val="both"/>
            </w:pPr>
            <w:r>
              <w:t>Termín</w:t>
            </w:r>
          </w:p>
        </w:tc>
        <w:tc>
          <w:tcPr>
            <w:tcW w:w="3932" w:type="pct"/>
            <w:tcBorders>
              <w:top w:val="single" w:sz="4" w:space="0" w:color="auto"/>
              <w:left w:val="single" w:sz="12" w:space="0" w:color="auto"/>
              <w:bottom w:val="single" w:sz="12" w:space="0" w:color="auto"/>
              <w:right w:val="single" w:sz="12" w:space="0" w:color="auto"/>
            </w:tcBorders>
            <w:hideMark/>
          </w:tcPr>
          <w:p w14:paraId="515A99B7" w14:textId="77777777" w:rsidR="001530C0" w:rsidRDefault="001530C0" w:rsidP="009A3B7E">
            <w:pPr>
              <w:jc w:val="both"/>
            </w:pPr>
            <w:r>
              <w:t>Průběžně od roku 2020</w:t>
            </w:r>
          </w:p>
        </w:tc>
      </w:tr>
    </w:tbl>
    <w:p w14:paraId="5E609D02" w14:textId="77777777" w:rsidR="001530C0" w:rsidRDefault="001530C0" w:rsidP="009A3B7E">
      <w:pPr>
        <w:jc w:val="both"/>
      </w:pPr>
    </w:p>
    <w:p w14:paraId="3B744EE3" w14:textId="77777777" w:rsidR="001530C0" w:rsidRDefault="001530C0" w:rsidP="009A3B7E">
      <w:pPr>
        <w:spacing w:before="0" w:after="0"/>
        <w:jc w:val="both"/>
      </w:pPr>
      <w:r>
        <w:br w:type="page"/>
      </w:r>
    </w:p>
    <w:p w14:paraId="78032949" w14:textId="057AACBD" w:rsidR="001530C0" w:rsidRDefault="001530C0" w:rsidP="009A3B7E">
      <w:pPr>
        <w:pStyle w:val="Nadpis3"/>
        <w:jc w:val="both"/>
      </w:pPr>
      <w:bookmarkStart w:id="131" w:name="_Toc21589196"/>
      <w:r>
        <w:t xml:space="preserve">V7 </w:t>
      </w:r>
      <w:r w:rsidRPr="004F1AAA">
        <w:t>Zintenzivnit bilaterální spolupráci se sousedními zeměmi v</w:t>
      </w:r>
      <w:r w:rsidR="005A1247">
        <w:t> </w:t>
      </w:r>
      <w:r w:rsidRPr="004F1AAA">
        <w:t>oblasti vodíkové mobility</w:t>
      </w:r>
      <w:bookmarkEnd w:id="131"/>
    </w:p>
    <w:tbl>
      <w:tblPr>
        <w:tblStyle w:val="Mkatabulky4"/>
        <w:tblpPr w:leftFromText="141" w:rightFromText="141" w:vertAnchor="text" w:horzAnchor="margin" w:tblpY="2"/>
        <w:tblW w:w="4885"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31"/>
        <w:gridCol w:w="6903"/>
      </w:tblGrid>
      <w:tr w:rsidR="001530C0" w14:paraId="27B96644" w14:textId="77777777" w:rsidTr="00B502A0">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vAlign w:val="center"/>
            <w:hideMark/>
          </w:tcPr>
          <w:p w14:paraId="2C53D905" w14:textId="413035A3" w:rsidR="001530C0" w:rsidRDefault="001530C0" w:rsidP="005A1247">
            <w:pPr>
              <w:spacing w:before="60" w:after="60"/>
              <w:jc w:val="both"/>
              <w:rPr>
                <w:b/>
              </w:rPr>
            </w:pPr>
            <w:r>
              <w:rPr>
                <w:b/>
                <w:color w:val="FFFFFF" w:themeColor="background1"/>
              </w:rPr>
              <w:t>V7 Zintenzivnit bilaterální spolupráci se sousedními zeměmi v</w:t>
            </w:r>
            <w:r w:rsidR="005A1247">
              <w:rPr>
                <w:b/>
                <w:color w:val="FFFFFF" w:themeColor="background1"/>
              </w:rPr>
              <w:t> </w:t>
            </w:r>
            <w:r>
              <w:rPr>
                <w:b/>
                <w:color w:val="FFFFFF" w:themeColor="background1"/>
              </w:rPr>
              <w:t>oblasti vodíkové mobility</w:t>
            </w:r>
            <w:r>
              <w:t xml:space="preserve"> </w:t>
            </w:r>
          </w:p>
        </w:tc>
      </w:tr>
      <w:tr w:rsidR="0030784F" w14:paraId="2CDF0487" w14:textId="77777777" w:rsidTr="0030784F">
        <w:trPr>
          <w:trHeight w:val="52"/>
        </w:trPr>
        <w:tc>
          <w:tcPr>
            <w:tcW w:w="1093" w:type="pct"/>
            <w:tcBorders>
              <w:top w:val="single" w:sz="12" w:space="0" w:color="auto"/>
              <w:left w:val="single" w:sz="12" w:space="0" w:color="auto"/>
              <w:bottom w:val="single" w:sz="4" w:space="0" w:color="auto"/>
              <w:right w:val="single" w:sz="12" w:space="0" w:color="auto"/>
            </w:tcBorders>
            <w:hideMark/>
          </w:tcPr>
          <w:p w14:paraId="0E950331" w14:textId="77777777" w:rsidR="001530C0" w:rsidRDefault="001530C0" w:rsidP="009A3B7E">
            <w:pPr>
              <w:jc w:val="both"/>
            </w:pPr>
            <w:r>
              <w:t>Návaznost na strategický cíl</w:t>
            </w:r>
          </w:p>
        </w:tc>
        <w:tc>
          <w:tcPr>
            <w:tcW w:w="3905" w:type="pct"/>
            <w:tcBorders>
              <w:top w:val="single" w:sz="12" w:space="0" w:color="auto"/>
              <w:left w:val="single" w:sz="12" w:space="0" w:color="auto"/>
              <w:bottom w:val="single" w:sz="4" w:space="0" w:color="auto"/>
              <w:right w:val="single" w:sz="12" w:space="0" w:color="auto"/>
            </w:tcBorders>
            <w:vAlign w:val="center"/>
            <w:hideMark/>
          </w:tcPr>
          <w:p w14:paraId="05A82308" w14:textId="5309DCA4" w:rsidR="001530C0" w:rsidRDefault="001530C0" w:rsidP="009A3B7E">
            <w:pPr>
              <w:jc w:val="both"/>
            </w:pPr>
            <w:r>
              <w:t>Rozvoj mezinárodní spolupráce v</w:t>
            </w:r>
            <w:r w:rsidR="005A1247">
              <w:t> </w:t>
            </w:r>
            <w:r>
              <w:t>oblasti vodíkové mobility</w:t>
            </w:r>
            <w:r w:rsidR="008E3A56">
              <w:t xml:space="preserve"> (kap. 4.3.3.)</w:t>
            </w:r>
          </w:p>
          <w:p w14:paraId="1E548E2D" w14:textId="77777777" w:rsidR="001530C0" w:rsidRDefault="001530C0" w:rsidP="009A3B7E">
            <w:pPr>
              <w:jc w:val="both"/>
            </w:pPr>
          </w:p>
        </w:tc>
      </w:tr>
      <w:tr w:rsidR="0030784F" w14:paraId="3A7071CD"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02BD8105" w14:textId="77777777" w:rsidR="001530C0" w:rsidRDefault="001530C0" w:rsidP="009A3B7E">
            <w:pPr>
              <w:jc w:val="both"/>
            </w:pPr>
            <w:r>
              <w:t xml:space="preserve">Cíl opatření </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3B0B455A" w14:textId="5ED46D4F" w:rsidR="001530C0" w:rsidRDefault="001530C0" w:rsidP="005A1247">
            <w:pPr>
              <w:jc w:val="both"/>
            </w:pPr>
            <w:r>
              <w:t>Cílem je rozvíjet přeshraniční spolupráce především mezi ČR a</w:t>
            </w:r>
            <w:r w:rsidR="005A1247">
              <w:t> </w:t>
            </w:r>
            <w:r>
              <w:t>Německem, dále pak Slovenskem, Rakouskem, Maďarskem a</w:t>
            </w:r>
            <w:r w:rsidR="005A1247">
              <w:t> </w:t>
            </w:r>
            <w:r>
              <w:t>Polskem v</w:t>
            </w:r>
            <w:r w:rsidR="005A1247">
              <w:t> </w:t>
            </w:r>
            <w:r>
              <w:t xml:space="preserve">oblasti vodíkové mobility  </w:t>
            </w:r>
          </w:p>
        </w:tc>
      </w:tr>
      <w:tr w:rsidR="0030784F" w14:paraId="5D2E7F4D"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06CAA9BB" w14:textId="77777777" w:rsidR="001530C0" w:rsidRDefault="001530C0" w:rsidP="009A3B7E">
            <w:pPr>
              <w:jc w:val="both"/>
            </w:pPr>
            <w:r>
              <w:t>Popis opatření</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27DE1FC3" w14:textId="77777777" w:rsidR="001530C0" w:rsidRDefault="001530C0" w:rsidP="009A3B7E">
            <w:pPr>
              <w:jc w:val="both"/>
            </w:pPr>
            <w:r>
              <w:t>Ve vztahu Německem již byla spolupráce nastartována (zejména na úrovni stakeholderů – HYTEP), do budoucna se nabízí možnost posunout tuto spolupráci na ministerskou úroveň, případně zapojit zástupce státní správy se do existujících struktur.</w:t>
            </w:r>
          </w:p>
          <w:p w14:paraId="0F75317E" w14:textId="0A5E83B6" w:rsidR="001530C0" w:rsidRDefault="001530C0" w:rsidP="009A3B7E">
            <w:pPr>
              <w:jc w:val="both"/>
            </w:pPr>
            <w:r>
              <w:t>Pokračovat v</w:t>
            </w:r>
            <w:r w:rsidR="005A1247">
              <w:t> </w:t>
            </w:r>
            <w:r>
              <w:t>nastavené spolupráci s</w:t>
            </w:r>
            <w:r w:rsidR="005A1247">
              <w:t> </w:t>
            </w:r>
            <w:r>
              <w:t>Německem v</w:t>
            </w:r>
            <w:r w:rsidR="005A1247">
              <w:t> </w:t>
            </w:r>
            <w:r>
              <w:t>rámci projektu „Vodíkového údolí“.</w:t>
            </w:r>
          </w:p>
          <w:p w14:paraId="1DF86459" w14:textId="068AEA1D" w:rsidR="001530C0" w:rsidRDefault="001530C0" w:rsidP="005A1247">
            <w:pPr>
              <w:jc w:val="both"/>
            </w:pPr>
            <w:r>
              <w:t>Ve vztahu ke Slovensku byla zatím rozvíjena spíše obecná spolupráce odpovědných ministerstev v</w:t>
            </w:r>
            <w:r w:rsidR="005A1247">
              <w:t> </w:t>
            </w:r>
            <w:r>
              <w:t>oblasti čisté mobility, které by do budoucna mělo zaštítit podepsání společného memoranda o</w:t>
            </w:r>
            <w:r w:rsidR="005A1247">
              <w:t> </w:t>
            </w:r>
            <w:r>
              <w:t xml:space="preserve">spolupráci. </w:t>
            </w:r>
          </w:p>
        </w:tc>
      </w:tr>
      <w:tr w:rsidR="0030784F" w14:paraId="293BD348"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5BD68610" w14:textId="3DDAB1C8" w:rsidR="001530C0" w:rsidRDefault="001530C0" w:rsidP="005A1247">
            <w:pPr>
              <w:jc w:val="both"/>
            </w:pPr>
            <w:r>
              <w:t>Příklad z</w:t>
            </w:r>
            <w:r w:rsidR="005A1247">
              <w:t> </w:t>
            </w:r>
            <w:r>
              <w:t>praxe</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4FE1EC87" w14:textId="77777777" w:rsidR="001530C0" w:rsidRDefault="001530C0" w:rsidP="009A3B7E">
            <w:pPr>
              <w:jc w:val="both"/>
            </w:pPr>
            <w:r>
              <w:t xml:space="preserve">Mezinárodní rozměr spolupráce velmi dobře funguje např. mezi státy BENELUXU či některými skandinávskými zeměmi.  </w:t>
            </w:r>
          </w:p>
        </w:tc>
      </w:tr>
      <w:tr w:rsidR="0030784F" w14:paraId="0B58E695"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77253BA2" w14:textId="77777777" w:rsidR="001530C0" w:rsidRDefault="001530C0" w:rsidP="009A3B7E">
            <w:pPr>
              <w:jc w:val="both"/>
            </w:pPr>
            <w:r>
              <w:t>Rozpočtový dopad / financování</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6A6DA4D1" w14:textId="77777777" w:rsidR="001530C0" w:rsidRDefault="001530C0" w:rsidP="009A3B7E">
            <w:pPr>
              <w:jc w:val="both"/>
            </w:pPr>
            <w:r>
              <w:t xml:space="preserve">MD/MŽP (jen náklady na ZPC) </w:t>
            </w:r>
          </w:p>
        </w:tc>
      </w:tr>
      <w:tr w:rsidR="0030784F" w14:paraId="4FB06389"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6C9290E2" w14:textId="77777777" w:rsidR="001530C0" w:rsidRDefault="001530C0" w:rsidP="009A3B7E">
            <w:pPr>
              <w:jc w:val="both"/>
            </w:pPr>
            <w:r>
              <w:t>Odpovědnost</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4DCD1521" w14:textId="77777777" w:rsidR="001530C0" w:rsidRDefault="001530C0" w:rsidP="009A3B7E">
            <w:pPr>
              <w:jc w:val="both"/>
            </w:pPr>
            <w:r>
              <w:t>MD</w:t>
            </w:r>
          </w:p>
        </w:tc>
      </w:tr>
      <w:tr w:rsidR="0030784F" w14:paraId="436A2299" w14:textId="77777777" w:rsidTr="0030784F">
        <w:trPr>
          <w:trHeight w:val="52"/>
        </w:trPr>
        <w:tc>
          <w:tcPr>
            <w:tcW w:w="1093" w:type="pct"/>
            <w:tcBorders>
              <w:top w:val="single" w:sz="4" w:space="0" w:color="auto"/>
              <w:left w:val="single" w:sz="12" w:space="0" w:color="auto"/>
              <w:bottom w:val="single" w:sz="4" w:space="0" w:color="auto"/>
              <w:right w:val="single" w:sz="12" w:space="0" w:color="auto"/>
            </w:tcBorders>
            <w:hideMark/>
          </w:tcPr>
          <w:p w14:paraId="3CE762B9" w14:textId="77777777" w:rsidR="001530C0" w:rsidRDefault="001530C0" w:rsidP="009A3B7E">
            <w:pPr>
              <w:jc w:val="both"/>
            </w:pPr>
            <w:r>
              <w:t>Spolupráce</w:t>
            </w:r>
          </w:p>
        </w:tc>
        <w:tc>
          <w:tcPr>
            <w:tcW w:w="3905" w:type="pct"/>
            <w:tcBorders>
              <w:top w:val="single" w:sz="4" w:space="0" w:color="auto"/>
              <w:left w:val="single" w:sz="12" w:space="0" w:color="auto"/>
              <w:bottom w:val="single" w:sz="4" w:space="0" w:color="auto"/>
              <w:right w:val="single" w:sz="12" w:space="0" w:color="auto"/>
            </w:tcBorders>
            <w:vAlign w:val="center"/>
            <w:hideMark/>
          </w:tcPr>
          <w:p w14:paraId="13C338E3" w14:textId="69DD1590" w:rsidR="001530C0" w:rsidRDefault="001530C0" w:rsidP="005A1247">
            <w:pPr>
              <w:jc w:val="both"/>
            </w:pPr>
            <w:r>
              <w:t>MŽP, MPO, MD, kraje a</w:t>
            </w:r>
            <w:r w:rsidR="005A1247">
              <w:t> </w:t>
            </w:r>
            <w:r>
              <w:t>samosprávné celky</w:t>
            </w:r>
          </w:p>
        </w:tc>
      </w:tr>
      <w:tr w:rsidR="0030784F" w14:paraId="2890D5CC" w14:textId="77777777" w:rsidTr="0030784F">
        <w:trPr>
          <w:trHeight w:val="52"/>
        </w:trPr>
        <w:tc>
          <w:tcPr>
            <w:tcW w:w="1093" w:type="pct"/>
            <w:tcBorders>
              <w:top w:val="single" w:sz="4" w:space="0" w:color="auto"/>
              <w:left w:val="single" w:sz="12" w:space="0" w:color="auto"/>
              <w:bottom w:val="single" w:sz="12" w:space="0" w:color="auto"/>
              <w:right w:val="single" w:sz="12" w:space="0" w:color="auto"/>
            </w:tcBorders>
            <w:hideMark/>
          </w:tcPr>
          <w:p w14:paraId="59BE2205" w14:textId="77777777" w:rsidR="001530C0" w:rsidRDefault="001530C0" w:rsidP="009A3B7E">
            <w:pPr>
              <w:jc w:val="both"/>
            </w:pPr>
            <w:r>
              <w:t>Termín</w:t>
            </w:r>
          </w:p>
        </w:tc>
        <w:tc>
          <w:tcPr>
            <w:tcW w:w="3905" w:type="pct"/>
            <w:tcBorders>
              <w:top w:val="single" w:sz="4" w:space="0" w:color="auto"/>
              <w:left w:val="single" w:sz="12" w:space="0" w:color="auto"/>
              <w:bottom w:val="single" w:sz="12" w:space="0" w:color="auto"/>
              <w:right w:val="single" w:sz="12" w:space="0" w:color="auto"/>
            </w:tcBorders>
            <w:vAlign w:val="center"/>
            <w:hideMark/>
          </w:tcPr>
          <w:p w14:paraId="6E2BFCDE" w14:textId="77777777" w:rsidR="001530C0" w:rsidRDefault="001530C0" w:rsidP="009A3B7E">
            <w:pPr>
              <w:jc w:val="both"/>
            </w:pPr>
            <w:r>
              <w:t>Průběžně od roku 2020</w:t>
            </w:r>
          </w:p>
        </w:tc>
      </w:tr>
    </w:tbl>
    <w:p w14:paraId="5766C468" w14:textId="77777777" w:rsidR="001530C0" w:rsidRDefault="001530C0" w:rsidP="009A3B7E">
      <w:pPr>
        <w:jc w:val="both"/>
      </w:pPr>
    </w:p>
    <w:p w14:paraId="1C89A6B2" w14:textId="77777777" w:rsidR="001530C0" w:rsidRDefault="001530C0" w:rsidP="009A3B7E">
      <w:pPr>
        <w:spacing w:before="0" w:after="0"/>
        <w:jc w:val="both"/>
      </w:pPr>
      <w:r>
        <w:br w:type="page"/>
      </w:r>
    </w:p>
    <w:p w14:paraId="67CCB721" w14:textId="77777777" w:rsidR="001530C0" w:rsidRDefault="001530C0" w:rsidP="009A3B7E">
      <w:pPr>
        <w:pStyle w:val="Nadpis2"/>
        <w:jc w:val="both"/>
      </w:pPr>
      <w:bookmarkStart w:id="132" w:name="_Toc21589197"/>
      <w:bookmarkStart w:id="133" w:name="_Toc34387160"/>
      <w:r w:rsidRPr="00F661F3">
        <w:t>Opatření širšího rázu pro zlepšení struktury vozového parku</w:t>
      </w:r>
      <w:bookmarkEnd w:id="132"/>
      <w:bookmarkEnd w:id="133"/>
    </w:p>
    <w:p w14:paraId="339A5D3B" w14:textId="441774E7" w:rsidR="00F71C88" w:rsidRDefault="00F71C88" w:rsidP="00F71C88">
      <w:pPr>
        <w:pStyle w:val="Nadpis3"/>
        <w:jc w:val="both"/>
      </w:pPr>
      <w:bookmarkStart w:id="134" w:name="_Toc21589198"/>
      <w:r>
        <w:t>S</w:t>
      </w:r>
      <w:r w:rsidR="00DA4FB6">
        <w:t>29</w:t>
      </w:r>
      <w:r>
        <w:t xml:space="preserve"> </w:t>
      </w:r>
      <w:r w:rsidRPr="009C10B9">
        <w:t>Nastartování podpory železniční dopravy</w:t>
      </w:r>
      <w:r>
        <w:t xml:space="preserve"> na alternativní paliva</w:t>
      </w:r>
    </w:p>
    <w:tbl>
      <w:tblPr>
        <w:tblStyle w:val="Mkatabulky4"/>
        <w:tblpPr w:leftFromText="141" w:rightFromText="141" w:vertAnchor="text" w:horzAnchor="margin" w:tblpY="2"/>
        <w:tblW w:w="5000" w:type="pct"/>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70"/>
        <w:gridCol w:w="7172"/>
      </w:tblGrid>
      <w:tr w:rsidR="00F71C88" w14:paraId="08AA5AA4" w14:textId="77777777" w:rsidTr="003447F9">
        <w:trPr>
          <w:trHeight w:val="52"/>
        </w:trPr>
        <w:tc>
          <w:tcPr>
            <w:tcW w:w="5000" w:type="pct"/>
            <w:gridSpan w:val="2"/>
            <w:tcBorders>
              <w:top w:val="single" w:sz="12" w:space="0" w:color="auto"/>
              <w:left w:val="single" w:sz="12" w:space="0" w:color="auto"/>
              <w:bottom w:val="single" w:sz="12" w:space="0" w:color="auto"/>
              <w:right w:val="single" w:sz="12" w:space="0" w:color="auto"/>
            </w:tcBorders>
            <w:shd w:val="clear" w:color="auto" w:fill="548DD4"/>
            <w:hideMark/>
          </w:tcPr>
          <w:p w14:paraId="43F77E05" w14:textId="58C462CC" w:rsidR="00F71C88" w:rsidRDefault="00F71C88" w:rsidP="00D560A5">
            <w:pPr>
              <w:spacing w:before="60" w:after="60"/>
              <w:jc w:val="both"/>
              <w:rPr>
                <w:b/>
              </w:rPr>
            </w:pPr>
            <w:r>
              <w:rPr>
                <w:b/>
                <w:color w:val="FFFFFF" w:themeColor="background1"/>
              </w:rPr>
              <w:t>S</w:t>
            </w:r>
            <w:r w:rsidR="00DA4FB6">
              <w:rPr>
                <w:b/>
                <w:color w:val="FFFFFF" w:themeColor="background1"/>
              </w:rPr>
              <w:t>29</w:t>
            </w:r>
            <w:r>
              <w:rPr>
                <w:b/>
                <w:color w:val="FFFFFF" w:themeColor="background1"/>
              </w:rPr>
              <w:t xml:space="preserve"> Nastartování podpory železniční dopravy na alternativní paliva</w:t>
            </w:r>
          </w:p>
        </w:tc>
      </w:tr>
      <w:tr w:rsidR="00F71C88" w14:paraId="76BB5C4B"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hideMark/>
          </w:tcPr>
          <w:p w14:paraId="0A63EA5F" w14:textId="77777777" w:rsidR="00F71C88" w:rsidRDefault="00F71C88" w:rsidP="00B502A0">
            <w:pPr>
              <w:jc w:val="both"/>
            </w:pPr>
            <w:r>
              <w:t xml:space="preserve">Cíl opatření </w:t>
            </w:r>
          </w:p>
        </w:tc>
        <w:tc>
          <w:tcPr>
            <w:tcW w:w="3966" w:type="pct"/>
            <w:tcBorders>
              <w:top w:val="single" w:sz="4" w:space="0" w:color="auto"/>
              <w:left w:val="single" w:sz="12" w:space="0" w:color="auto"/>
              <w:bottom w:val="single" w:sz="4" w:space="0" w:color="auto"/>
              <w:right w:val="single" w:sz="12" w:space="0" w:color="auto"/>
            </w:tcBorders>
            <w:hideMark/>
          </w:tcPr>
          <w:p w14:paraId="3622F91B" w14:textId="1A969C70" w:rsidR="00F71C88" w:rsidRDefault="00F71C88" w:rsidP="005A1247">
            <w:pPr>
              <w:spacing w:before="60" w:after="60"/>
              <w:jc w:val="both"/>
            </w:pPr>
            <w:r>
              <w:t>Cílem opatření je snížení emisí z</w:t>
            </w:r>
            <w:r w:rsidR="005A1247">
              <w:t> </w:t>
            </w:r>
            <w:r>
              <w:t>provozu na neelektrifikovaných tratích prostřednictvím nastartování rozvoje železničních vozidel na alternativní paliva prostřednictvím pilotního projektu</w:t>
            </w:r>
            <w:r w:rsidR="008E3A56">
              <w:t xml:space="preserve"> (kap. 6.2.)</w:t>
            </w:r>
          </w:p>
        </w:tc>
      </w:tr>
      <w:tr w:rsidR="00F71C88" w14:paraId="44A0B355"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hideMark/>
          </w:tcPr>
          <w:p w14:paraId="0CD0A123" w14:textId="77777777" w:rsidR="00F71C88" w:rsidRDefault="00F71C88" w:rsidP="00B502A0">
            <w:pPr>
              <w:jc w:val="both"/>
            </w:pPr>
            <w:r>
              <w:t>Popis opatření</w:t>
            </w:r>
          </w:p>
        </w:tc>
        <w:tc>
          <w:tcPr>
            <w:tcW w:w="3966" w:type="pct"/>
            <w:tcBorders>
              <w:top w:val="single" w:sz="4" w:space="0" w:color="auto"/>
              <w:left w:val="single" w:sz="12" w:space="0" w:color="auto"/>
              <w:bottom w:val="single" w:sz="4" w:space="0" w:color="auto"/>
              <w:right w:val="single" w:sz="12" w:space="0" w:color="auto"/>
            </w:tcBorders>
            <w:hideMark/>
          </w:tcPr>
          <w:p w14:paraId="3AC260CE" w14:textId="7BA13348" w:rsidR="00F71C88" w:rsidRDefault="00F71C88" w:rsidP="00B502A0">
            <w:pPr>
              <w:spacing w:before="60" w:after="60"/>
              <w:jc w:val="both"/>
            </w:pPr>
            <w:r>
              <w:t>Zajistit vypracování studie podrobně zobrazující využitelnost a</w:t>
            </w:r>
            <w:r w:rsidR="005A1247">
              <w:t> </w:t>
            </w:r>
            <w:r>
              <w:t>efektivitu vodíku v</w:t>
            </w:r>
            <w:r w:rsidR="005A1247">
              <w:t> </w:t>
            </w:r>
            <w:r>
              <w:t>rámci železniční mobility, a</w:t>
            </w:r>
            <w:r w:rsidR="005A1247">
              <w:t> </w:t>
            </w:r>
            <w:r>
              <w:t>predikci počtu vodíkových souprav do roku 2030, s</w:t>
            </w:r>
            <w:r w:rsidR="005A1247">
              <w:t> </w:t>
            </w:r>
            <w:r>
              <w:t>výhledem na 2050 v</w:t>
            </w:r>
            <w:r w:rsidR="005A1247">
              <w:t> </w:t>
            </w:r>
            <w:r>
              <w:t>České republice.</w:t>
            </w:r>
          </w:p>
          <w:p w14:paraId="4E08954D" w14:textId="77777777" w:rsidR="00F71C88" w:rsidRDefault="00F71C88" w:rsidP="00B502A0">
            <w:pPr>
              <w:spacing w:before="60" w:after="60"/>
              <w:jc w:val="both"/>
            </w:pPr>
            <w:r w:rsidRPr="004F183B">
              <w:t>Příprava norem homologace vodíkových železničních vlaků.</w:t>
            </w:r>
          </w:p>
          <w:p w14:paraId="3A549C57" w14:textId="7BDFEF5F" w:rsidR="00F71C88" w:rsidRDefault="00F71C88" w:rsidP="00B502A0">
            <w:pPr>
              <w:spacing w:before="60" w:after="60"/>
              <w:jc w:val="both"/>
            </w:pPr>
            <w:r>
              <w:t>Stanovení mechanismu dotací na realizaci pilotních projektů vodíkových vlaků na základě výsledků vypracované studie a</w:t>
            </w:r>
            <w:r w:rsidR="005A1247">
              <w:t> </w:t>
            </w:r>
            <w:r>
              <w:t>případně i</w:t>
            </w:r>
            <w:r w:rsidR="005A1247">
              <w:t> </w:t>
            </w:r>
            <w:r>
              <w:t>dvouzdrojovýc</w:t>
            </w:r>
            <w:r w:rsidR="00944EFB">
              <w:t xml:space="preserve">h železničních vozidel (EMU) (s </w:t>
            </w:r>
            <w:r>
              <w:t>využitím existujících aktivit Centra kompetence drážních vozidel).</w:t>
            </w:r>
          </w:p>
          <w:p w14:paraId="5AFE88A0" w14:textId="77777777" w:rsidR="00F71C88" w:rsidRDefault="00F71C88" w:rsidP="00B502A0">
            <w:pPr>
              <w:spacing w:before="60" w:after="60"/>
              <w:jc w:val="both"/>
            </w:pPr>
            <w:r>
              <w:t>Příprava norem homologace vodíkových železničních vlaků.</w:t>
            </w:r>
          </w:p>
          <w:p w14:paraId="71CC45DA" w14:textId="63BC8DF0" w:rsidR="00F71C88" w:rsidRDefault="00F71C88" w:rsidP="005A1247">
            <w:pPr>
              <w:spacing w:before="60" w:after="60"/>
              <w:jc w:val="both"/>
            </w:pPr>
            <w:r>
              <w:t>Koordinace zavedení vodíkové železniční dopravy s</w:t>
            </w:r>
            <w:r w:rsidR="005A1247">
              <w:t> </w:t>
            </w:r>
            <w:r>
              <w:t>výstavbou neveřejných stanic.</w:t>
            </w:r>
          </w:p>
        </w:tc>
      </w:tr>
      <w:tr w:rsidR="00F71C88" w14:paraId="07ADFCBB"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hideMark/>
          </w:tcPr>
          <w:p w14:paraId="640C9686" w14:textId="710D5F0C" w:rsidR="00F71C88" w:rsidRDefault="00F71C88" w:rsidP="005A1247">
            <w:pPr>
              <w:jc w:val="both"/>
            </w:pPr>
            <w:r>
              <w:t>Využití opatření v</w:t>
            </w:r>
            <w:r w:rsidR="005A1247">
              <w:t> </w:t>
            </w:r>
            <w:r>
              <w:t>Evropě/ ve světě</w:t>
            </w:r>
          </w:p>
        </w:tc>
        <w:tc>
          <w:tcPr>
            <w:tcW w:w="3966" w:type="pct"/>
            <w:tcBorders>
              <w:top w:val="single" w:sz="4" w:space="0" w:color="auto"/>
              <w:left w:val="single" w:sz="12" w:space="0" w:color="auto"/>
              <w:bottom w:val="single" w:sz="4" w:space="0" w:color="auto"/>
              <w:right w:val="single" w:sz="12" w:space="0" w:color="auto"/>
            </w:tcBorders>
            <w:hideMark/>
          </w:tcPr>
          <w:p w14:paraId="51F779EE" w14:textId="258CB7B7" w:rsidR="00F71C88" w:rsidRDefault="00F71C88" w:rsidP="00B502A0">
            <w:pPr>
              <w:spacing w:before="60" w:after="60"/>
              <w:jc w:val="both"/>
            </w:pPr>
            <w:r>
              <w:t>Německo – aktuální provoz 1 vodíkové soupravy a</w:t>
            </w:r>
            <w:r w:rsidR="005A1247">
              <w:t> </w:t>
            </w:r>
            <w:r>
              <w:t>dodání dalších 13 vodíkových vlakových souprav do konce roku 2021.</w:t>
            </w:r>
          </w:p>
          <w:p w14:paraId="1E0D84D7" w14:textId="55EF8F6C" w:rsidR="00F71C88" w:rsidRDefault="00F71C88" w:rsidP="005A1247">
            <w:pPr>
              <w:spacing w:before="60" w:after="60"/>
              <w:jc w:val="both"/>
            </w:pPr>
            <w:r>
              <w:t>Velká Británie – plán provozu prvního vodíkového vlaku v</w:t>
            </w:r>
            <w:r w:rsidR="005A1247">
              <w:t> </w:t>
            </w:r>
            <w:r>
              <w:t>roce 2022</w:t>
            </w:r>
          </w:p>
        </w:tc>
      </w:tr>
      <w:tr w:rsidR="00F71C88" w14:paraId="1A03E064"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tcPr>
          <w:p w14:paraId="38C5567E" w14:textId="77777777" w:rsidR="00F71C88" w:rsidRDefault="00F71C88" w:rsidP="00B502A0">
            <w:pPr>
              <w:jc w:val="both"/>
            </w:pPr>
            <w:r w:rsidRPr="00F615EB">
              <w:t>Rozpočtový dopad / financování</w:t>
            </w:r>
          </w:p>
        </w:tc>
        <w:tc>
          <w:tcPr>
            <w:tcW w:w="3966" w:type="pct"/>
            <w:tcBorders>
              <w:top w:val="single" w:sz="4" w:space="0" w:color="auto"/>
              <w:left w:val="single" w:sz="12" w:space="0" w:color="auto"/>
              <w:bottom w:val="single" w:sz="4" w:space="0" w:color="auto"/>
              <w:right w:val="single" w:sz="12" w:space="0" w:color="auto"/>
            </w:tcBorders>
          </w:tcPr>
          <w:p w14:paraId="05940155" w14:textId="378E39C8" w:rsidR="00F71C88" w:rsidRDefault="00F71C88" w:rsidP="00B502A0">
            <w:pPr>
              <w:jc w:val="both"/>
            </w:pPr>
            <w:r w:rsidRPr="00F615EB">
              <w:t>Modernizační fond (</w:t>
            </w:r>
            <w:r w:rsidR="00314CBE">
              <w:t>v případě disponibility zdrojů</w:t>
            </w:r>
            <w:r w:rsidRPr="00F615EB">
              <w:t>)</w:t>
            </w:r>
          </w:p>
        </w:tc>
      </w:tr>
      <w:tr w:rsidR="00F71C88" w14:paraId="1C67E9E2"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hideMark/>
          </w:tcPr>
          <w:p w14:paraId="21C40CE2" w14:textId="77777777" w:rsidR="00F71C88" w:rsidRDefault="00F71C88" w:rsidP="00B502A0">
            <w:pPr>
              <w:jc w:val="both"/>
            </w:pPr>
            <w:r>
              <w:t>Odpovědnost</w:t>
            </w:r>
          </w:p>
        </w:tc>
        <w:tc>
          <w:tcPr>
            <w:tcW w:w="3966" w:type="pct"/>
            <w:tcBorders>
              <w:top w:val="single" w:sz="4" w:space="0" w:color="auto"/>
              <w:left w:val="single" w:sz="12" w:space="0" w:color="auto"/>
              <w:bottom w:val="single" w:sz="4" w:space="0" w:color="auto"/>
              <w:right w:val="single" w:sz="12" w:space="0" w:color="auto"/>
            </w:tcBorders>
            <w:hideMark/>
          </w:tcPr>
          <w:p w14:paraId="792F088C" w14:textId="4E4DEC07" w:rsidR="00F71C88" w:rsidRDefault="00F71C88" w:rsidP="005A1247">
            <w:pPr>
              <w:jc w:val="both"/>
            </w:pPr>
            <w:r>
              <w:t>MD (analytická fáze), MPO (implementační fáze)</w:t>
            </w:r>
            <w:r w:rsidR="00314CBE">
              <w:t>, MŽP (</w:t>
            </w:r>
            <w:r w:rsidR="00314CBE" w:rsidRPr="00823214">
              <w:t>v případě disponibility finančních prostředků v</w:t>
            </w:r>
            <w:r w:rsidR="005A1247">
              <w:t> </w:t>
            </w:r>
            <w:r w:rsidR="00314CBE" w:rsidRPr="00823214">
              <w:t>Modernizačním fondu)</w:t>
            </w:r>
          </w:p>
        </w:tc>
      </w:tr>
      <w:tr w:rsidR="00F71C88" w14:paraId="7C768124" w14:textId="77777777" w:rsidTr="003447F9">
        <w:trPr>
          <w:trHeight w:val="52"/>
        </w:trPr>
        <w:tc>
          <w:tcPr>
            <w:tcW w:w="1034" w:type="pct"/>
            <w:tcBorders>
              <w:top w:val="single" w:sz="4" w:space="0" w:color="auto"/>
              <w:left w:val="single" w:sz="12" w:space="0" w:color="auto"/>
              <w:bottom w:val="single" w:sz="4" w:space="0" w:color="auto"/>
              <w:right w:val="single" w:sz="12" w:space="0" w:color="auto"/>
            </w:tcBorders>
            <w:hideMark/>
          </w:tcPr>
          <w:p w14:paraId="598442DD" w14:textId="77777777" w:rsidR="00F71C88" w:rsidRDefault="00F71C88" w:rsidP="00B502A0">
            <w:pPr>
              <w:jc w:val="both"/>
            </w:pPr>
            <w:r>
              <w:t>Spolupráce</w:t>
            </w:r>
          </w:p>
        </w:tc>
        <w:tc>
          <w:tcPr>
            <w:tcW w:w="3966" w:type="pct"/>
            <w:tcBorders>
              <w:top w:val="single" w:sz="4" w:space="0" w:color="auto"/>
              <w:left w:val="single" w:sz="12" w:space="0" w:color="auto"/>
              <w:bottom w:val="single" w:sz="4" w:space="0" w:color="auto"/>
              <w:right w:val="single" w:sz="12" w:space="0" w:color="auto"/>
            </w:tcBorders>
            <w:hideMark/>
          </w:tcPr>
          <w:p w14:paraId="4206083A" w14:textId="77777777" w:rsidR="00F71C88" w:rsidRDefault="00F71C88" w:rsidP="00B502A0">
            <w:pPr>
              <w:jc w:val="both"/>
            </w:pPr>
            <w:r>
              <w:t>HYTEP</w:t>
            </w:r>
          </w:p>
        </w:tc>
      </w:tr>
      <w:tr w:rsidR="00F71C88" w14:paraId="62F208AD" w14:textId="77777777" w:rsidTr="003447F9">
        <w:trPr>
          <w:trHeight w:val="52"/>
        </w:trPr>
        <w:tc>
          <w:tcPr>
            <w:tcW w:w="1034" w:type="pct"/>
            <w:tcBorders>
              <w:top w:val="single" w:sz="4" w:space="0" w:color="auto"/>
              <w:left w:val="single" w:sz="12" w:space="0" w:color="auto"/>
              <w:bottom w:val="single" w:sz="12" w:space="0" w:color="auto"/>
              <w:right w:val="single" w:sz="12" w:space="0" w:color="auto"/>
            </w:tcBorders>
            <w:hideMark/>
          </w:tcPr>
          <w:p w14:paraId="69454DBE" w14:textId="77777777" w:rsidR="00F71C88" w:rsidRDefault="00F71C88" w:rsidP="00B502A0">
            <w:pPr>
              <w:jc w:val="both"/>
            </w:pPr>
            <w:r>
              <w:t>Termín</w:t>
            </w:r>
          </w:p>
        </w:tc>
        <w:tc>
          <w:tcPr>
            <w:tcW w:w="3966" w:type="pct"/>
            <w:tcBorders>
              <w:top w:val="single" w:sz="4" w:space="0" w:color="auto"/>
              <w:left w:val="single" w:sz="12" w:space="0" w:color="auto"/>
              <w:bottom w:val="single" w:sz="12" w:space="0" w:color="auto"/>
              <w:right w:val="single" w:sz="12" w:space="0" w:color="auto"/>
            </w:tcBorders>
            <w:hideMark/>
          </w:tcPr>
          <w:p w14:paraId="22C4620B" w14:textId="77777777" w:rsidR="00F71C88" w:rsidRDefault="00F71C88" w:rsidP="00B502A0">
            <w:pPr>
              <w:jc w:val="both"/>
            </w:pPr>
            <w:r>
              <w:t>2020-2027</w:t>
            </w:r>
          </w:p>
        </w:tc>
      </w:tr>
    </w:tbl>
    <w:p w14:paraId="7A43B607" w14:textId="77777777" w:rsidR="00F71C88" w:rsidRDefault="00F71C88" w:rsidP="00F71C88">
      <w:pPr>
        <w:jc w:val="both"/>
      </w:pPr>
    </w:p>
    <w:p w14:paraId="12AB1AF0" w14:textId="77777777" w:rsidR="00F71C88" w:rsidRDefault="00F71C88" w:rsidP="00F71C88">
      <w:pPr>
        <w:spacing w:before="0" w:after="0"/>
        <w:jc w:val="both"/>
      </w:pPr>
      <w:r>
        <w:br w:type="page"/>
      </w:r>
    </w:p>
    <w:p w14:paraId="49352E59" w14:textId="373B5A4F" w:rsidR="001530C0" w:rsidRDefault="001530C0" w:rsidP="003447F9">
      <w:pPr>
        <w:pStyle w:val="Nadpis3"/>
        <w:spacing w:after="120"/>
        <w:jc w:val="both"/>
      </w:pPr>
      <w:r>
        <w:t>E1</w:t>
      </w:r>
      <w:r w:rsidR="00DA4FB6">
        <w:t>9</w:t>
      </w:r>
      <w:r>
        <w:t xml:space="preserve"> </w:t>
      </w:r>
      <w:r w:rsidRPr="00F661F3">
        <w:t>Vyjasnit daňové souvislosti pro poskytnutí wallboxu (případně dalšího příslušenství) zaměstnanci v</w:t>
      </w:r>
      <w:r w:rsidR="005A1247">
        <w:t> </w:t>
      </w:r>
      <w:r w:rsidRPr="00F661F3">
        <w:t>souvislosti s</w:t>
      </w:r>
      <w:r w:rsidR="005A1247">
        <w:t> </w:t>
      </w:r>
      <w:r w:rsidRPr="00F661F3">
        <w:t>poskytnutím elektromobilu jako služebního vozidla pro služební i</w:t>
      </w:r>
      <w:r w:rsidR="005A1247">
        <w:t> </w:t>
      </w:r>
      <w:r w:rsidRPr="00F661F3">
        <w:t>soukromé účely pro účely dobíjení v</w:t>
      </w:r>
      <w:r w:rsidR="005A1247">
        <w:t> </w:t>
      </w:r>
      <w:r w:rsidRPr="00F661F3">
        <w:t>místě bydliště</w:t>
      </w:r>
      <w:bookmarkEnd w:id="134"/>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1530C0" w14:paraId="64712E8C" w14:textId="77777777" w:rsidTr="003447F9">
        <w:tc>
          <w:tcPr>
            <w:tcW w:w="934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183FD8E9" w14:textId="4E46B5F3" w:rsidR="001530C0" w:rsidRDefault="001530C0" w:rsidP="005A1247">
            <w:pPr>
              <w:spacing w:before="0" w:after="0"/>
              <w:jc w:val="both"/>
              <w:rPr>
                <w:rFonts w:cs="Arial"/>
                <w:b/>
                <w:color w:val="FFFFFF" w:themeColor="background1"/>
              </w:rPr>
            </w:pPr>
            <w:r>
              <w:rPr>
                <w:rFonts w:cs="Arial"/>
                <w:b/>
                <w:color w:val="FFFFFF" w:themeColor="background1"/>
              </w:rPr>
              <w:t>E1</w:t>
            </w:r>
            <w:r w:rsidR="00DA4FB6">
              <w:rPr>
                <w:rFonts w:cs="Arial"/>
                <w:b/>
                <w:color w:val="FFFFFF" w:themeColor="background1"/>
              </w:rPr>
              <w:t>9</w:t>
            </w:r>
            <w:r>
              <w:rPr>
                <w:rFonts w:cs="Arial"/>
                <w:b/>
                <w:color w:val="FFFFFF" w:themeColor="background1"/>
              </w:rPr>
              <w:t xml:space="preserve"> Vyjasnit daňové souvislosti pro poskytnutí wallboxu (případně dalšího příslušenství) zaměstnanci v</w:t>
            </w:r>
            <w:r w:rsidR="005A1247">
              <w:rPr>
                <w:rFonts w:cs="Arial"/>
                <w:b/>
                <w:color w:val="FFFFFF" w:themeColor="background1"/>
              </w:rPr>
              <w:t> </w:t>
            </w:r>
            <w:r>
              <w:rPr>
                <w:rFonts w:cs="Arial"/>
                <w:b/>
                <w:color w:val="FFFFFF" w:themeColor="background1"/>
              </w:rPr>
              <w:t>souvislosti s</w:t>
            </w:r>
            <w:r w:rsidR="005A1247">
              <w:rPr>
                <w:rFonts w:cs="Arial"/>
                <w:b/>
                <w:color w:val="FFFFFF" w:themeColor="background1"/>
              </w:rPr>
              <w:t> </w:t>
            </w:r>
            <w:r>
              <w:rPr>
                <w:rFonts w:cs="Arial"/>
                <w:b/>
                <w:color w:val="FFFFFF" w:themeColor="background1"/>
              </w:rPr>
              <w:t>poskytnutím elektromobilu jako služebního vozidla pro služební i</w:t>
            </w:r>
            <w:r w:rsidR="005A1247">
              <w:rPr>
                <w:rFonts w:cs="Arial"/>
                <w:b/>
                <w:color w:val="FFFFFF" w:themeColor="background1"/>
              </w:rPr>
              <w:t> </w:t>
            </w:r>
            <w:r>
              <w:rPr>
                <w:rFonts w:cs="Arial"/>
                <w:b/>
                <w:color w:val="FFFFFF" w:themeColor="background1"/>
              </w:rPr>
              <w:t>soukromé účely pro účely dobíjení v</w:t>
            </w:r>
            <w:r w:rsidR="005A1247">
              <w:rPr>
                <w:rFonts w:cs="Arial"/>
                <w:b/>
                <w:color w:val="FFFFFF" w:themeColor="background1"/>
              </w:rPr>
              <w:t> </w:t>
            </w:r>
            <w:r>
              <w:rPr>
                <w:rFonts w:cs="Arial"/>
                <w:b/>
                <w:color w:val="FFFFFF" w:themeColor="background1"/>
              </w:rPr>
              <w:t>místě bydliště</w:t>
            </w:r>
          </w:p>
        </w:tc>
      </w:tr>
      <w:tr w:rsidR="00B604D6" w14:paraId="08660450" w14:textId="77777777" w:rsidTr="003447F9">
        <w:tc>
          <w:tcPr>
            <w:tcW w:w="1984" w:type="dxa"/>
            <w:tcBorders>
              <w:top w:val="single" w:sz="12" w:space="0" w:color="auto"/>
              <w:left w:val="single" w:sz="12" w:space="0" w:color="auto"/>
              <w:bottom w:val="single" w:sz="4" w:space="0" w:color="auto"/>
              <w:right w:val="single" w:sz="12" w:space="0" w:color="auto"/>
            </w:tcBorders>
            <w:hideMark/>
          </w:tcPr>
          <w:p w14:paraId="65138AC5"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Návaznost na strategický cíl</w:t>
            </w:r>
          </w:p>
        </w:tc>
        <w:tc>
          <w:tcPr>
            <w:tcW w:w="7357" w:type="dxa"/>
            <w:tcBorders>
              <w:top w:val="single" w:sz="12" w:space="0" w:color="auto"/>
              <w:left w:val="single" w:sz="12" w:space="0" w:color="auto"/>
              <w:bottom w:val="single" w:sz="4" w:space="0" w:color="auto"/>
              <w:right w:val="single" w:sz="12" w:space="0" w:color="auto"/>
            </w:tcBorders>
            <w:hideMark/>
          </w:tcPr>
          <w:p w14:paraId="39BFA692"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Rozvoj trhu elektrických vozidel</w:t>
            </w:r>
            <w:r w:rsidR="008E3A56" w:rsidRPr="00944EFB">
              <w:rPr>
                <w:rFonts w:cs="Arial"/>
                <w:sz w:val="22"/>
                <w:szCs w:val="22"/>
              </w:rPr>
              <w:t xml:space="preserve"> (kap. 2.4.1.)</w:t>
            </w:r>
          </w:p>
        </w:tc>
      </w:tr>
      <w:tr w:rsidR="00B604D6" w14:paraId="4B5F13A0"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4CC0194C"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Cíl opatření</w:t>
            </w:r>
          </w:p>
        </w:tc>
        <w:tc>
          <w:tcPr>
            <w:tcW w:w="7357" w:type="dxa"/>
            <w:tcBorders>
              <w:top w:val="single" w:sz="4" w:space="0" w:color="auto"/>
              <w:left w:val="single" w:sz="12" w:space="0" w:color="auto"/>
              <w:bottom w:val="single" w:sz="4" w:space="0" w:color="auto"/>
              <w:right w:val="single" w:sz="12" w:space="0" w:color="auto"/>
            </w:tcBorders>
            <w:hideMark/>
          </w:tcPr>
          <w:p w14:paraId="00976735" w14:textId="716DF071" w:rsidR="001530C0" w:rsidRPr="00944EFB" w:rsidRDefault="001530C0" w:rsidP="005A1247">
            <w:pPr>
              <w:pStyle w:val="Normln10"/>
              <w:spacing w:before="0" w:line="240" w:lineRule="auto"/>
              <w:rPr>
                <w:rFonts w:cs="Arial"/>
                <w:sz w:val="22"/>
                <w:szCs w:val="22"/>
              </w:rPr>
            </w:pPr>
            <w:r w:rsidRPr="00944EFB">
              <w:rPr>
                <w:rFonts w:cs="Arial"/>
                <w:sz w:val="22"/>
                <w:szCs w:val="22"/>
              </w:rPr>
              <w:t>Cílem opatření je zajištění stanoviska MF a</w:t>
            </w:r>
            <w:r w:rsidR="005A1247">
              <w:rPr>
                <w:rFonts w:cs="Arial"/>
                <w:sz w:val="22"/>
                <w:szCs w:val="22"/>
              </w:rPr>
              <w:t> </w:t>
            </w:r>
            <w:r w:rsidRPr="00944EFB">
              <w:rPr>
                <w:rFonts w:cs="Arial"/>
                <w:sz w:val="22"/>
                <w:szCs w:val="22"/>
              </w:rPr>
              <w:t>MPSV k</w:t>
            </w:r>
            <w:r w:rsidR="005A1247">
              <w:rPr>
                <w:rFonts w:cs="Arial"/>
                <w:sz w:val="22"/>
                <w:szCs w:val="22"/>
              </w:rPr>
              <w:t> </w:t>
            </w:r>
            <w:r w:rsidRPr="00944EFB">
              <w:rPr>
                <w:rFonts w:cs="Arial"/>
                <w:sz w:val="22"/>
                <w:szCs w:val="22"/>
              </w:rPr>
              <w:t>režimu wallboxů a</w:t>
            </w:r>
            <w:r w:rsidR="005A1247">
              <w:rPr>
                <w:rFonts w:cs="Arial"/>
                <w:sz w:val="22"/>
                <w:szCs w:val="22"/>
              </w:rPr>
              <w:t> </w:t>
            </w:r>
            <w:r w:rsidRPr="00944EFB">
              <w:rPr>
                <w:rFonts w:cs="Arial"/>
                <w:sz w:val="22"/>
                <w:szCs w:val="22"/>
              </w:rPr>
              <w:t>dalšího příslušenství poskytnutých zaměstnavatelem zaměstnanci, resp. wallboxů a</w:t>
            </w:r>
            <w:r w:rsidR="005A1247">
              <w:rPr>
                <w:rFonts w:cs="Arial"/>
                <w:sz w:val="22"/>
                <w:szCs w:val="22"/>
              </w:rPr>
              <w:t> </w:t>
            </w:r>
            <w:r w:rsidRPr="00944EFB">
              <w:rPr>
                <w:rFonts w:cs="Arial"/>
                <w:sz w:val="22"/>
                <w:szCs w:val="22"/>
              </w:rPr>
              <w:t>dalšího příslušenství vlastněných zaměstnancem a</w:t>
            </w:r>
            <w:r w:rsidR="005A1247">
              <w:rPr>
                <w:rFonts w:cs="Arial"/>
                <w:sz w:val="22"/>
                <w:szCs w:val="22"/>
              </w:rPr>
              <w:t> </w:t>
            </w:r>
            <w:r w:rsidRPr="00944EFB">
              <w:rPr>
                <w:rFonts w:cs="Arial"/>
                <w:sz w:val="22"/>
                <w:szCs w:val="22"/>
              </w:rPr>
              <w:t>použitých pro dobíjení služebního vozidla z</w:t>
            </w:r>
            <w:r w:rsidR="005A1247">
              <w:rPr>
                <w:rFonts w:cs="Arial"/>
                <w:sz w:val="22"/>
                <w:szCs w:val="22"/>
              </w:rPr>
              <w:t> </w:t>
            </w:r>
            <w:r w:rsidRPr="00944EFB">
              <w:rPr>
                <w:rFonts w:cs="Arial"/>
                <w:sz w:val="22"/>
                <w:szCs w:val="22"/>
              </w:rPr>
              <w:t>hlediska zdanění a</w:t>
            </w:r>
            <w:r w:rsidR="005A1247">
              <w:rPr>
                <w:rFonts w:cs="Arial"/>
                <w:sz w:val="22"/>
                <w:szCs w:val="22"/>
              </w:rPr>
              <w:t> </w:t>
            </w:r>
            <w:r w:rsidRPr="00944EFB">
              <w:rPr>
                <w:rFonts w:cs="Arial"/>
                <w:sz w:val="22"/>
                <w:szCs w:val="22"/>
              </w:rPr>
              <w:t>pojistného.</w:t>
            </w:r>
          </w:p>
        </w:tc>
      </w:tr>
      <w:tr w:rsidR="00B604D6" w14:paraId="24F70387"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1980C3E2"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Popis opatření</w:t>
            </w:r>
          </w:p>
        </w:tc>
        <w:tc>
          <w:tcPr>
            <w:tcW w:w="7357" w:type="dxa"/>
            <w:tcBorders>
              <w:top w:val="single" w:sz="4" w:space="0" w:color="auto"/>
              <w:left w:val="single" w:sz="12" w:space="0" w:color="auto"/>
              <w:bottom w:val="single" w:sz="4" w:space="0" w:color="auto"/>
              <w:right w:val="single" w:sz="12" w:space="0" w:color="auto"/>
            </w:tcBorders>
            <w:hideMark/>
          </w:tcPr>
          <w:p w14:paraId="7BE78379" w14:textId="54EB4ADE" w:rsidR="001530C0" w:rsidRPr="00944EFB" w:rsidRDefault="001530C0" w:rsidP="00B502A0">
            <w:pPr>
              <w:pStyle w:val="Normln10"/>
              <w:spacing w:before="0" w:line="240" w:lineRule="auto"/>
              <w:rPr>
                <w:rFonts w:cs="Arial"/>
                <w:sz w:val="22"/>
                <w:szCs w:val="22"/>
              </w:rPr>
            </w:pPr>
            <w:r w:rsidRPr="00944EFB">
              <w:rPr>
                <w:rFonts w:cs="Arial"/>
                <w:sz w:val="22"/>
                <w:szCs w:val="22"/>
              </w:rPr>
              <w:t>Pro účely zdanění zákon o</w:t>
            </w:r>
            <w:r w:rsidR="005A1247">
              <w:rPr>
                <w:rFonts w:cs="Arial"/>
                <w:sz w:val="22"/>
                <w:szCs w:val="22"/>
              </w:rPr>
              <w:t> </w:t>
            </w:r>
            <w:r w:rsidRPr="00944EFB">
              <w:rPr>
                <w:rFonts w:cs="Arial"/>
                <w:sz w:val="22"/>
                <w:szCs w:val="22"/>
              </w:rPr>
              <w:t>daních z</w:t>
            </w:r>
            <w:r w:rsidR="005A1247">
              <w:rPr>
                <w:rFonts w:cs="Arial"/>
                <w:sz w:val="22"/>
                <w:szCs w:val="22"/>
              </w:rPr>
              <w:t> </w:t>
            </w:r>
            <w:r w:rsidRPr="00944EFB">
              <w:rPr>
                <w:rFonts w:cs="Arial"/>
                <w:sz w:val="22"/>
                <w:szCs w:val="22"/>
              </w:rPr>
              <w:t>příjmů stanoví, že v</w:t>
            </w:r>
            <w:r w:rsidR="005A1247">
              <w:rPr>
                <w:rFonts w:cs="Arial"/>
                <w:sz w:val="22"/>
                <w:szCs w:val="22"/>
              </w:rPr>
              <w:t> </w:t>
            </w:r>
            <w:r w:rsidRPr="00944EFB">
              <w:rPr>
                <w:rFonts w:cs="Arial"/>
                <w:sz w:val="22"/>
                <w:szCs w:val="22"/>
              </w:rPr>
              <w:t>případě bezplatného poskytnutí vozidla zaměstnavatelem zaměstnanci k</w:t>
            </w:r>
            <w:r w:rsidR="005A1247">
              <w:rPr>
                <w:rFonts w:cs="Arial"/>
                <w:sz w:val="22"/>
                <w:szCs w:val="22"/>
              </w:rPr>
              <w:t> </w:t>
            </w:r>
            <w:r w:rsidRPr="00944EFB">
              <w:rPr>
                <w:rFonts w:cs="Arial"/>
                <w:sz w:val="22"/>
                <w:szCs w:val="22"/>
              </w:rPr>
              <w:t>používání pro soukromé i</w:t>
            </w:r>
            <w:r w:rsidR="005A1247">
              <w:rPr>
                <w:rFonts w:cs="Arial"/>
                <w:sz w:val="22"/>
                <w:szCs w:val="22"/>
              </w:rPr>
              <w:t> </w:t>
            </w:r>
            <w:r w:rsidRPr="00944EFB">
              <w:rPr>
                <w:rFonts w:cs="Arial"/>
                <w:sz w:val="22"/>
                <w:szCs w:val="22"/>
              </w:rPr>
              <w:t>služební účely se za příjem zaměstnance považuje částka ve výši 1% vstupní ceny vozidla za každý i</w:t>
            </w:r>
            <w:r w:rsidR="005A1247">
              <w:rPr>
                <w:rFonts w:cs="Arial"/>
                <w:sz w:val="22"/>
                <w:szCs w:val="22"/>
              </w:rPr>
              <w:t> </w:t>
            </w:r>
            <w:r w:rsidRPr="00944EFB">
              <w:rPr>
                <w:rFonts w:cs="Arial"/>
                <w:sz w:val="22"/>
                <w:szCs w:val="22"/>
              </w:rPr>
              <w:t>započatý měsíc. Ve vztahu k</w:t>
            </w:r>
            <w:r w:rsidR="005A1247">
              <w:rPr>
                <w:rFonts w:cs="Arial"/>
                <w:sz w:val="22"/>
                <w:szCs w:val="22"/>
              </w:rPr>
              <w:t> </w:t>
            </w:r>
            <w:r w:rsidRPr="00944EFB">
              <w:rPr>
                <w:rFonts w:cs="Arial"/>
                <w:sz w:val="22"/>
                <w:szCs w:val="22"/>
              </w:rPr>
              <w:t>domácím dobíjecím stanicím (tzv. wallboxům, tedy zařízením umožňujícím bezpečné a</w:t>
            </w:r>
            <w:r w:rsidR="005A1247">
              <w:rPr>
                <w:rFonts w:cs="Arial"/>
                <w:sz w:val="22"/>
                <w:szCs w:val="22"/>
              </w:rPr>
              <w:t> </w:t>
            </w:r>
            <w:r w:rsidRPr="00944EFB">
              <w:rPr>
                <w:rFonts w:cs="Arial"/>
                <w:sz w:val="22"/>
                <w:szCs w:val="22"/>
              </w:rPr>
              <w:t>optimální dobíjení), případně dalšímu příslušenství (například dobíjecí kabely), žádná zvláštní úprava neexistuje, a</w:t>
            </w:r>
            <w:r w:rsidR="005A1247">
              <w:rPr>
                <w:rFonts w:cs="Arial"/>
                <w:sz w:val="22"/>
                <w:szCs w:val="22"/>
              </w:rPr>
              <w:t> </w:t>
            </w:r>
            <w:r w:rsidRPr="00944EFB">
              <w:rPr>
                <w:rFonts w:cs="Arial"/>
                <w:sz w:val="22"/>
                <w:szCs w:val="22"/>
              </w:rPr>
              <w:t>proto vznikají interpretační nejasnosti.</w:t>
            </w:r>
          </w:p>
          <w:p w14:paraId="05E56BE7" w14:textId="140888E0" w:rsidR="00DD4D5A" w:rsidRPr="00944EFB" w:rsidRDefault="00DD4D5A" w:rsidP="00B502A0">
            <w:pPr>
              <w:pStyle w:val="Normln10"/>
              <w:spacing w:before="0" w:line="240" w:lineRule="auto"/>
              <w:rPr>
                <w:rFonts w:cs="Arial"/>
                <w:sz w:val="22"/>
                <w:szCs w:val="22"/>
              </w:rPr>
            </w:pPr>
            <w:r w:rsidRPr="00944EFB">
              <w:rPr>
                <w:rFonts w:cs="Arial"/>
                <w:bCs/>
                <w:sz w:val="22"/>
                <w:szCs w:val="22"/>
              </w:rPr>
              <w:t>Je potřebné nejprve vyjasnit současné možnosti, jak uplatnit výdaj na dobíjení elektromobilu a</w:t>
            </w:r>
            <w:r w:rsidR="005A1247">
              <w:rPr>
                <w:rFonts w:cs="Arial"/>
                <w:bCs/>
                <w:sz w:val="22"/>
                <w:szCs w:val="22"/>
              </w:rPr>
              <w:t> </w:t>
            </w:r>
            <w:r w:rsidRPr="00944EFB">
              <w:rPr>
                <w:rFonts w:cs="Arial"/>
                <w:bCs/>
                <w:sz w:val="22"/>
                <w:szCs w:val="22"/>
              </w:rPr>
              <w:t>jakým způsobem stanovit náhradu zaměstnanci za domácí nabíjení. Obdobné souvislosti je třeba vyřešit i</w:t>
            </w:r>
            <w:r w:rsidR="005A1247">
              <w:rPr>
                <w:rFonts w:cs="Arial"/>
                <w:bCs/>
                <w:sz w:val="22"/>
                <w:szCs w:val="22"/>
              </w:rPr>
              <w:t> </w:t>
            </w:r>
            <w:r w:rsidRPr="00944EFB">
              <w:rPr>
                <w:rFonts w:cs="Arial"/>
                <w:bCs/>
                <w:sz w:val="22"/>
                <w:szCs w:val="22"/>
              </w:rPr>
              <w:t>ve vztahu k</w:t>
            </w:r>
            <w:r w:rsidR="005A1247">
              <w:rPr>
                <w:rFonts w:cs="Arial"/>
                <w:bCs/>
                <w:sz w:val="22"/>
                <w:szCs w:val="22"/>
              </w:rPr>
              <w:t> </w:t>
            </w:r>
            <w:r w:rsidRPr="00944EFB">
              <w:rPr>
                <w:rFonts w:cs="Arial"/>
                <w:bCs/>
                <w:sz w:val="22"/>
                <w:szCs w:val="22"/>
              </w:rPr>
              <w:t>poskytnutí tzv. wallboxů (tj. technických prvků pro domácí nabíjení). Nebude-li situace uspokojivě řešitelná dle stávajících právních předpisů, bude zapotřebí realizovat návrh na jejich změnu.</w:t>
            </w:r>
          </w:p>
          <w:p w14:paraId="4D693F3B" w14:textId="3E5B6443" w:rsidR="001530C0" w:rsidRPr="00944EFB" w:rsidRDefault="001530C0" w:rsidP="00B502A0">
            <w:pPr>
              <w:pStyle w:val="Normln10"/>
              <w:spacing w:before="0" w:line="240" w:lineRule="auto"/>
              <w:rPr>
                <w:rFonts w:cs="Arial"/>
                <w:sz w:val="22"/>
                <w:szCs w:val="22"/>
              </w:rPr>
            </w:pPr>
            <w:r w:rsidRPr="00944EFB">
              <w:rPr>
                <w:rFonts w:cs="Arial"/>
                <w:sz w:val="22"/>
                <w:szCs w:val="22"/>
              </w:rPr>
              <w:t>Je třeba zajistit jasný postoj daňové správy a</w:t>
            </w:r>
            <w:r w:rsidR="005A1247">
              <w:rPr>
                <w:rFonts w:cs="Arial"/>
                <w:sz w:val="22"/>
                <w:szCs w:val="22"/>
              </w:rPr>
              <w:t> </w:t>
            </w:r>
            <w:r w:rsidRPr="00944EFB">
              <w:rPr>
                <w:rFonts w:cs="Arial"/>
                <w:sz w:val="22"/>
                <w:szCs w:val="22"/>
              </w:rPr>
              <w:t>MPSV k</w:t>
            </w:r>
            <w:r w:rsidR="005A1247">
              <w:rPr>
                <w:rFonts w:cs="Arial"/>
                <w:sz w:val="22"/>
                <w:szCs w:val="22"/>
              </w:rPr>
              <w:t> </w:t>
            </w:r>
            <w:r w:rsidRPr="00944EFB">
              <w:rPr>
                <w:rFonts w:cs="Arial"/>
                <w:sz w:val="22"/>
                <w:szCs w:val="22"/>
              </w:rPr>
              <w:t>otázce, co do charakteru (součást věci, příslušenství věci, samostatná věc) a</w:t>
            </w:r>
            <w:r w:rsidR="005A1247">
              <w:rPr>
                <w:rFonts w:cs="Arial"/>
                <w:sz w:val="22"/>
                <w:szCs w:val="22"/>
              </w:rPr>
              <w:t> </w:t>
            </w:r>
            <w:r w:rsidRPr="00944EFB">
              <w:rPr>
                <w:rFonts w:cs="Arial"/>
                <w:sz w:val="22"/>
                <w:szCs w:val="22"/>
              </w:rPr>
              <w:t>dopadů na zaměstnance z</w:t>
            </w:r>
            <w:r w:rsidR="005A1247">
              <w:rPr>
                <w:rFonts w:cs="Arial"/>
                <w:sz w:val="22"/>
                <w:szCs w:val="22"/>
              </w:rPr>
              <w:t> </w:t>
            </w:r>
            <w:r w:rsidRPr="00944EFB">
              <w:rPr>
                <w:rFonts w:cs="Arial"/>
                <w:sz w:val="22"/>
                <w:szCs w:val="22"/>
              </w:rPr>
              <w:t>hlediska zdanění a</w:t>
            </w:r>
            <w:r w:rsidR="005A1247">
              <w:rPr>
                <w:rFonts w:cs="Arial"/>
                <w:sz w:val="22"/>
                <w:szCs w:val="22"/>
              </w:rPr>
              <w:t> </w:t>
            </w:r>
            <w:r w:rsidRPr="00944EFB">
              <w:rPr>
                <w:rFonts w:cs="Arial"/>
                <w:sz w:val="22"/>
                <w:szCs w:val="22"/>
              </w:rPr>
              <w:t>pojištění.</w:t>
            </w:r>
          </w:p>
          <w:p w14:paraId="59AB8AC1" w14:textId="12F77979" w:rsidR="001530C0" w:rsidRPr="00944EFB" w:rsidRDefault="001530C0" w:rsidP="007E7A32">
            <w:pPr>
              <w:pStyle w:val="Normln10"/>
              <w:spacing w:before="0" w:line="240" w:lineRule="auto"/>
              <w:rPr>
                <w:rFonts w:cs="Arial"/>
                <w:sz w:val="22"/>
                <w:szCs w:val="22"/>
              </w:rPr>
            </w:pPr>
          </w:p>
        </w:tc>
      </w:tr>
      <w:tr w:rsidR="00B604D6" w14:paraId="5005ADFC"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334F1DB9"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Rozpočtový dopad / financování</w:t>
            </w:r>
          </w:p>
        </w:tc>
        <w:tc>
          <w:tcPr>
            <w:tcW w:w="7357" w:type="dxa"/>
            <w:tcBorders>
              <w:top w:val="single" w:sz="4" w:space="0" w:color="auto"/>
              <w:left w:val="single" w:sz="12" w:space="0" w:color="auto"/>
              <w:bottom w:val="single" w:sz="4" w:space="0" w:color="auto"/>
              <w:right w:val="single" w:sz="12" w:space="0" w:color="auto"/>
            </w:tcBorders>
            <w:vAlign w:val="center"/>
          </w:tcPr>
          <w:p w14:paraId="7D340736" w14:textId="61569F74" w:rsidR="001530C0" w:rsidRPr="00944EFB" w:rsidRDefault="00DD4D5A" w:rsidP="005A1247">
            <w:pPr>
              <w:pStyle w:val="Normln10"/>
              <w:spacing w:before="0" w:line="240" w:lineRule="auto"/>
              <w:jc w:val="left"/>
              <w:rPr>
                <w:rFonts w:cs="Arial"/>
                <w:sz w:val="22"/>
                <w:szCs w:val="22"/>
              </w:rPr>
            </w:pPr>
            <w:r w:rsidRPr="00944EFB">
              <w:rPr>
                <w:rFonts w:cs="Arial"/>
                <w:sz w:val="22"/>
                <w:szCs w:val="22"/>
              </w:rPr>
              <w:t>Opatření je navrhováno v</w:t>
            </w:r>
            <w:r w:rsidR="005A1247">
              <w:rPr>
                <w:rFonts w:cs="Arial"/>
                <w:sz w:val="22"/>
                <w:szCs w:val="22"/>
              </w:rPr>
              <w:t> </w:t>
            </w:r>
            <w:r w:rsidRPr="00944EFB">
              <w:rPr>
                <w:rFonts w:cs="Arial"/>
                <w:sz w:val="22"/>
                <w:szCs w:val="22"/>
              </w:rPr>
              <w:t>zásadě jako rozpočtově neutrální, tj. se zanedbatelnými rozpočtovými dopady</w:t>
            </w:r>
          </w:p>
        </w:tc>
      </w:tr>
      <w:tr w:rsidR="00B604D6" w14:paraId="43FE27EA"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04F070B2"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Odpovědnost</w:t>
            </w:r>
          </w:p>
        </w:tc>
        <w:tc>
          <w:tcPr>
            <w:tcW w:w="7357" w:type="dxa"/>
            <w:tcBorders>
              <w:top w:val="single" w:sz="4" w:space="0" w:color="auto"/>
              <w:left w:val="single" w:sz="12" w:space="0" w:color="auto"/>
              <w:bottom w:val="single" w:sz="4" w:space="0" w:color="auto"/>
              <w:right w:val="single" w:sz="12" w:space="0" w:color="auto"/>
            </w:tcBorders>
            <w:hideMark/>
          </w:tcPr>
          <w:p w14:paraId="17200F78"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MF</w:t>
            </w:r>
          </w:p>
        </w:tc>
      </w:tr>
      <w:tr w:rsidR="00B604D6" w14:paraId="22D865C5"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084E1421"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Spolupráce</w:t>
            </w:r>
          </w:p>
        </w:tc>
        <w:tc>
          <w:tcPr>
            <w:tcW w:w="7357" w:type="dxa"/>
            <w:tcBorders>
              <w:top w:val="single" w:sz="4" w:space="0" w:color="auto"/>
              <w:left w:val="single" w:sz="12" w:space="0" w:color="auto"/>
              <w:bottom w:val="single" w:sz="4" w:space="0" w:color="auto"/>
              <w:right w:val="single" w:sz="12" w:space="0" w:color="auto"/>
            </w:tcBorders>
            <w:hideMark/>
          </w:tcPr>
          <w:p w14:paraId="3666DA7B" w14:textId="744CE9BB" w:rsidR="001530C0" w:rsidRPr="00944EFB" w:rsidRDefault="001530C0" w:rsidP="005A1247">
            <w:pPr>
              <w:pStyle w:val="Normln10"/>
              <w:spacing w:before="0" w:line="240" w:lineRule="auto"/>
              <w:rPr>
                <w:rFonts w:cs="Arial"/>
                <w:sz w:val="22"/>
                <w:szCs w:val="22"/>
              </w:rPr>
            </w:pPr>
            <w:r w:rsidRPr="00944EFB">
              <w:rPr>
                <w:rFonts w:cs="Arial"/>
                <w:sz w:val="22"/>
                <w:szCs w:val="22"/>
              </w:rPr>
              <w:t>MPSV, AutoSAP, SDA, Svaz průmyslu a</w:t>
            </w:r>
            <w:r w:rsidR="005A1247">
              <w:rPr>
                <w:rFonts w:cs="Arial"/>
                <w:sz w:val="22"/>
                <w:szCs w:val="22"/>
              </w:rPr>
              <w:t> </w:t>
            </w:r>
            <w:r w:rsidRPr="00944EFB">
              <w:rPr>
                <w:rFonts w:cs="Arial"/>
                <w:sz w:val="22"/>
                <w:szCs w:val="22"/>
              </w:rPr>
              <w:t>dopravy, energetické společnosti</w:t>
            </w:r>
          </w:p>
        </w:tc>
      </w:tr>
      <w:tr w:rsidR="00B604D6" w14:paraId="56FF880D" w14:textId="77777777" w:rsidTr="003447F9">
        <w:tc>
          <w:tcPr>
            <w:tcW w:w="1984" w:type="dxa"/>
            <w:tcBorders>
              <w:top w:val="single" w:sz="4" w:space="0" w:color="auto"/>
              <w:left w:val="single" w:sz="12" w:space="0" w:color="auto"/>
              <w:bottom w:val="single" w:sz="12" w:space="0" w:color="auto"/>
              <w:right w:val="single" w:sz="12" w:space="0" w:color="auto"/>
            </w:tcBorders>
            <w:hideMark/>
          </w:tcPr>
          <w:p w14:paraId="62C4FC2C"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tcPr>
          <w:p w14:paraId="3A0B1A5F" w14:textId="77777777" w:rsidR="001530C0" w:rsidRPr="00944EFB" w:rsidRDefault="001530C0" w:rsidP="00B502A0">
            <w:pPr>
              <w:pStyle w:val="Normln10"/>
              <w:spacing w:before="0" w:line="240" w:lineRule="auto"/>
              <w:rPr>
                <w:rFonts w:cs="Arial"/>
                <w:sz w:val="22"/>
                <w:szCs w:val="22"/>
              </w:rPr>
            </w:pPr>
            <w:r w:rsidRPr="00944EFB">
              <w:rPr>
                <w:rFonts w:cs="Arial"/>
                <w:sz w:val="22"/>
                <w:szCs w:val="22"/>
              </w:rPr>
              <w:t>2020</w:t>
            </w:r>
          </w:p>
        </w:tc>
      </w:tr>
    </w:tbl>
    <w:p w14:paraId="241336E3" w14:textId="77777777" w:rsidR="001530C0" w:rsidRDefault="001530C0" w:rsidP="009A3B7E">
      <w:pPr>
        <w:spacing w:before="0" w:after="0"/>
        <w:jc w:val="both"/>
      </w:pPr>
      <w:r>
        <w:br w:type="page"/>
      </w:r>
    </w:p>
    <w:p w14:paraId="102D65FA" w14:textId="6A463B5E" w:rsidR="001530C0" w:rsidRDefault="00DA4FB6" w:rsidP="009A3B7E">
      <w:pPr>
        <w:pStyle w:val="Nadpis3"/>
        <w:jc w:val="both"/>
      </w:pPr>
      <w:bookmarkStart w:id="135" w:name="_Toc21589199"/>
      <w:r>
        <w:t>E20</w:t>
      </w:r>
      <w:r w:rsidR="001530C0">
        <w:t xml:space="preserve"> </w:t>
      </w:r>
      <w:r w:rsidR="001530C0" w:rsidRPr="00F661F3">
        <w:t>Zajištění vhodných podmínek a</w:t>
      </w:r>
      <w:r w:rsidR="005A1247">
        <w:t> </w:t>
      </w:r>
      <w:r w:rsidR="001530C0" w:rsidRPr="00F661F3">
        <w:t>podpory pro výstavbu a</w:t>
      </w:r>
      <w:r w:rsidR="005A1247">
        <w:t> </w:t>
      </w:r>
      <w:r w:rsidR="001530C0" w:rsidRPr="00F661F3">
        <w:t>provoz dobíjecí infrastruktury</w:t>
      </w:r>
      <w:bookmarkEnd w:id="135"/>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1530C0" w14:paraId="048B78B4" w14:textId="77777777" w:rsidTr="003447F9">
        <w:tc>
          <w:tcPr>
            <w:tcW w:w="934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38ADF48C" w14:textId="77754D36" w:rsidR="001530C0" w:rsidRPr="00D31A59" w:rsidRDefault="00DA4FB6" w:rsidP="005A1247">
            <w:pPr>
              <w:spacing w:before="60" w:after="60"/>
              <w:jc w:val="both"/>
              <w:rPr>
                <w:rFonts w:cs="Arial"/>
                <w:b/>
                <w:color w:val="FFFFFF" w:themeColor="background1"/>
              </w:rPr>
            </w:pPr>
            <w:r>
              <w:rPr>
                <w:rFonts w:cs="Arial"/>
                <w:b/>
                <w:color w:val="FFFFFF" w:themeColor="background1"/>
              </w:rPr>
              <w:t>E20</w:t>
            </w:r>
            <w:r w:rsidR="001530C0">
              <w:rPr>
                <w:rFonts w:cs="Arial"/>
                <w:b/>
                <w:color w:val="FFFFFF" w:themeColor="background1"/>
              </w:rPr>
              <w:t xml:space="preserve"> </w:t>
            </w:r>
            <w:r w:rsidR="001530C0" w:rsidRPr="00D31A59">
              <w:rPr>
                <w:rFonts w:cs="Arial"/>
                <w:b/>
                <w:color w:val="FFFFFF" w:themeColor="background1"/>
              </w:rPr>
              <w:t>Zajištění vhodných podmínek a</w:t>
            </w:r>
            <w:r w:rsidR="005A1247">
              <w:rPr>
                <w:rFonts w:cs="Arial"/>
                <w:b/>
                <w:color w:val="FFFFFF" w:themeColor="background1"/>
              </w:rPr>
              <w:t> </w:t>
            </w:r>
            <w:r w:rsidR="001530C0" w:rsidRPr="00D31A59">
              <w:rPr>
                <w:rFonts w:cs="Arial"/>
                <w:b/>
                <w:color w:val="FFFFFF" w:themeColor="background1"/>
              </w:rPr>
              <w:t>podpory pro výstavbu a</w:t>
            </w:r>
            <w:r w:rsidR="005A1247">
              <w:rPr>
                <w:rFonts w:cs="Arial"/>
                <w:b/>
                <w:color w:val="FFFFFF" w:themeColor="background1"/>
              </w:rPr>
              <w:t> </w:t>
            </w:r>
            <w:r w:rsidR="001530C0" w:rsidRPr="00D31A59">
              <w:rPr>
                <w:rFonts w:cs="Arial"/>
                <w:b/>
                <w:color w:val="FFFFFF" w:themeColor="background1"/>
              </w:rPr>
              <w:t>provoz dobíjecí infrastruktury</w:t>
            </w:r>
          </w:p>
        </w:tc>
      </w:tr>
      <w:tr w:rsidR="00D8771D" w14:paraId="42BB6F2C" w14:textId="77777777" w:rsidTr="003447F9">
        <w:tc>
          <w:tcPr>
            <w:tcW w:w="1984" w:type="dxa"/>
            <w:tcBorders>
              <w:top w:val="single" w:sz="12" w:space="0" w:color="auto"/>
              <w:left w:val="single" w:sz="12" w:space="0" w:color="auto"/>
              <w:bottom w:val="single" w:sz="4" w:space="0" w:color="auto"/>
              <w:right w:val="single" w:sz="12" w:space="0" w:color="auto"/>
            </w:tcBorders>
            <w:hideMark/>
          </w:tcPr>
          <w:p w14:paraId="75A23CB2" w14:textId="77777777" w:rsidR="001530C0" w:rsidRDefault="001530C0" w:rsidP="009A3B7E">
            <w:pPr>
              <w:pStyle w:val="Normln10"/>
              <w:rPr>
                <w:rFonts w:cs="Arial"/>
                <w:sz w:val="22"/>
                <w:szCs w:val="22"/>
              </w:rPr>
            </w:pPr>
            <w:r>
              <w:rPr>
                <w:rFonts w:cs="Arial"/>
                <w:sz w:val="22"/>
                <w:szCs w:val="22"/>
              </w:rPr>
              <w:t>Návaznost na strategický cíl</w:t>
            </w:r>
          </w:p>
        </w:tc>
        <w:tc>
          <w:tcPr>
            <w:tcW w:w="7357" w:type="dxa"/>
            <w:tcBorders>
              <w:top w:val="single" w:sz="12" w:space="0" w:color="auto"/>
              <w:left w:val="single" w:sz="12" w:space="0" w:color="auto"/>
              <w:bottom w:val="single" w:sz="4" w:space="0" w:color="auto"/>
              <w:right w:val="single" w:sz="12" w:space="0" w:color="auto"/>
            </w:tcBorders>
          </w:tcPr>
          <w:p w14:paraId="6BFF786A" w14:textId="77777777" w:rsidR="001530C0" w:rsidRDefault="001530C0" w:rsidP="009A3B7E">
            <w:pPr>
              <w:pStyle w:val="Normln10"/>
              <w:rPr>
                <w:rFonts w:cs="Arial"/>
                <w:sz w:val="22"/>
                <w:szCs w:val="22"/>
              </w:rPr>
            </w:pPr>
            <w:r>
              <w:rPr>
                <w:rFonts w:cs="Arial"/>
                <w:sz w:val="22"/>
                <w:szCs w:val="22"/>
              </w:rPr>
              <w:t>Rozvoj infrastruktury dobíjecích stanic</w:t>
            </w:r>
            <w:r w:rsidR="008E3A56">
              <w:rPr>
                <w:rFonts w:cs="Arial"/>
                <w:sz w:val="22"/>
                <w:szCs w:val="22"/>
              </w:rPr>
              <w:t xml:space="preserve"> (kap. 2.4.2.)</w:t>
            </w:r>
          </w:p>
        </w:tc>
      </w:tr>
      <w:tr w:rsidR="00D8771D" w14:paraId="3A14FBD2"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2BA4BDC8" w14:textId="77777777" w:rsidR="001530C0" w:rsidRDefault="001530C0" w:rsidP="009A3B7E">
            <w:pPr>
              <w:pStyle w:val="Normln10"/>
              <w:rPr>
                <w:rFonts w:cs="Arial"/>
                <w:sz w:val="22"/>
                <w:szCs w:val="22"/>
              </w:rPr>
            </w:pPr>
            <w:r>
              <w:rPr>
                <w:rFonts w:cs="Arial"/>
                <w:sz w:val="22"/>
                <w:szCs w:val="22"/>
              </w:rPr>
              <w:t>Cíl opatření</w:t>
            </w:r>
          </w:p>
        </w:tc>
        <w:tc>
          <w:tcPr>
            <w:tcW w:w="7357" w:type="dxa"/>
            <w:tcBorders>
              <w:top w:val="single" w:sz="4" w:space="0" w:color="auto"/>
              <w:left w:val="single" w:sz="12" w:space="0" w:color="auto"/>
              <w:bottom w:val="single" w:sz="4" w:space="0" w:color="auto"/>
              <w:right w:val="single" w:sz="12" w:space="0" w:color="auto"/>
            </w:tcBorders>
            <w:hideMark/>
          </w:tcPr>
          <w:p w14:paraId="6A11707B" w14:textId="16A43362" w:rsidR="001530C0" w:rsidRDefault="001530C0" w:rsidP="005A1247">
            <w:pPr>
              <w:pStyle w:val="Normln10"/>
              <w:rPr>
                <w:rFonts w:cs="Arial"/>
                <w:sz w:val="22"/>
                <w:szCs w:val="22"/>
              </w:rPr>
            </w:pPr>
            <w:r>
              <w:rPr>
                <w:rFonts w:cs="Arial"/>
                <w:sz w:val="22"/>
                <w:szCs w:val="22"/>
              </w:rPr>
              <w:t>Na základě zmapování distribuční sítě vn a</w:t>
            </w:r>
            <w:r w:rsidR="005A1247">
              <w:rPr>
                <w:rFonts w:cs="Arial"/>
                <w:sz w:val="22"/>
                <w:szCs w:val="22"/>
              </w:rPr>
              <w:t> </w:t>
            </w:r>
            <w:r>
              <w:rPr>
                <w:rFonts w:cs="Arial"/>
                <w:sz w:val="22"/>
                <w:szCs w:val="22"/>
              </w:rPr>
              <w:t>nn a</w:t>
            </w:r>
            <w:r w:rsidR="005A1247">
              <w:rPr>
                <w:rFonts w:cs="Arial"/>
                <w:sz w:val="22"/>
                <w:szCs w:val="22"/>
              </w:rPr>
              <w:t> </w:t>
            </w:r>
            <w:r>
              <w:rPr>
                <w:rFonts w:cs="Arial"/>
                <w:sz w:val="22"/>
                <w:szCs w:val="22"/>
              </w:rPr>
              <w:t>její připravenosti na připojení dobíjecích stanic v</w:t>
            </w:r>
            <w:r w:rsidR="005A1247">
              <w:rPr>
                <w:rFonts w:cs="Arial"/>
                <w:sz w:val="22"/>
                <w:szCs w:val="22"/>
              </w:rPr>
              <w:t> </w:t>
            </w:r>
            <w:r>
              <w:rPr>
                <w:rFonts w:cs="Arial"/>
                <w:sz w:val="22"/>
                <w:szCs w:val="22"/>
              </w:rPr>
              <w:t>rozsahu středního a</w:t>
            </w:r>
            <w:r w:rsidR="005A1247">
              <w:rPr>
                <w:rFonts w:cs="Arial"/>
                <w:sz w:val="22"/>
                <w:szCs w:val="22"/>
              </w:rPr>
              <w:t> </w:t>
            </w:r>
            <w:r>
              <w:rPr>
                <w:rFonts w:cs="Arial"/>
                <w:sz w:val="22"/>
                <w:szCs w:val="22"/>
              </w:rPr>
              <w:t>vysokého scénáře 2030 a</w:t>
            </w:r>
            <w:r w:rsidR="005A1247">
              <w:rPr>
                <w:rFonts w:cs="Arial"/>
                <w:sz w:val="22"/>
                <w:szCs w:val="22"/>
              </w:rPr>
              <w:t> </w:t>
            </w:r>
            <w:r>
              <w:rPr>
                <w:rFonts w:cs="Arial"/>
                <w:sz w:val="22"/>
                <w:szCs w:val="22"/>
              </w:rPr>
              <w:t>2040, které je provedeno v</w:t>
            </w:r>
            <w:r w:rsidR="005A1247">
              <w:rPr>
                <w:rFonts w:cs="Arial"/>
                <w:sz w:val="22"/>
                <w:szCs w:val="22"/>
              </w:rPr>
              <w:t> </w:t>
            </w:r>
            <w:r>
              <w:rPr>
                <w:rFonts w:cs="Arial"/>
                <w:sz w:val="22"/>
                <w:szCs w:val="22"/>
              </w:rPr>
              <w:t>rámci plnění NAP SG, navrhnout podmínky provozování veřejných i</w:t>
            </w:r>
            <w:r w:rsidR="005A1247">
              <w:rPr>
                <w:rFonts w:cs="Arial"/>
                <w:sz w:val="22"/>
                <w:szCs w:val="22"/>
              </w:rPr>
              <w:t> </w:t>
            </w:r>
            <w:r>
              <w:rPr>
                <w:rFonts w:cs="Arial"/>
                <w:sz w:val="22"/>
                <w:szCs w:val="22"/>
              </w:rPr>
              <w:t xml:space="preserve">neveřejných dobíjecích stanic pro cílový stav dobíjecí infrastruktury (včetně řízení </w:t>
            </w:r>
            <w:r w:rsidR="00F14B46">
              <w:rPr>
                <w:rFonts w:cs="Arial"/>
                <w:sz w:val="22"/>
                <w:szCs w:val="22"/>
              </w:rPr>
              <w:t>do</w:t>
            </w:r>
            <w:r>
              <w:rPr>
                <w:rFonts w:cs="Arial"/>
                <w:sz w:val="22"/>
                <w:szCs w:val="22"/>
              </w:rPr>
              <w:t>bíjecího výkonu v</w:t>
            </w:r>
            <w:r w:rsidR="005A1247">
              <w:rPr>
                <w:rFonts w:cs="Arial"/>
                <w:sz w:val="22"/>
                <w:szCs w:val="22"/>
              </w:rPr>
              <w:t> </w:t>
            </w:r>
            <w:r>
              <w:rPr>
                <w:rFonts w:cs="Arial"/>
                <w:sz w:val="22"/>
                <w:szCs w:val="22"/>
              </w:rPr>
              <w:t>případě nedostatku kapacity popř. jako součást zvýšení flexibility v</w:t>
            </w:r>
            <w:r w:rsidR="005A1247">
              <w:rPr>
                <w:rFonts w:cs="Arial"/>
                <w:sz w:val="22"/>
                <w:szCs w:val="22"/>
              </w:rPr>
              <w:t> </w:t>
            </w:r>
            <w:r>
              <w:rPr>
                <w:rFonts w:cs="Arial"/>
                <w:sz w:val="22"/>
                <w:szCs w:val="22"/>
              </w:rPr>
              <w:t>distribuční síti).</w:t>
            </w:r>
          </w:p>
        </w:tc>
      </w:tr>
      <w:tr w:rsidR="00D8771D" w14:paraId="360BBA05"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520D78A9" w14:textId="77777777" w:rsidR="001530C0" w:rsidRDefault="001530C0" w:rsidP="009A3B7E">
            <w:pPr>
              <w:pStyle w:val="Normln10"/>
              <w:rPr>
                <w:rFonts w:cs="Arial"/>
                <w:sz w:val="22"/>
                <w:szCs w:val="22"/>
              </w:rPr>
            </w:pPr>
            <w:r>
              <w:rPr>
                <w:rFonts w:cs="Arial"/>
                <w:sz w:val="22"/>
                <w:szCs w:val="22"/>
              </w:rPr>
              <w:t>Popis opatření</w:t>
            </w:r>
          </w:p>
        </w:tc>
        <w:tc>
          <w:tcPr>
            <w:tcW w:w="7357" w:type="dxa"/>
            <w:tcBorders>
              <w:top w:val="single" w:sz="4" w:space="0" w:color="auto"/>
              <w:left w:val="single" w:sz="12" w:space="0" w:color="auto"/>
              <w:bottom w:val="single" w:sz="4" w:space="0" w:color="auto"/>
              <w:right w:val="single" w:sz="12" w:space="0" w:color="auto"/>
            </w:tcBorders>
            <w:hideMark/>
          </w:tcPr>
          <w:p w14:paraId="69DACF46" w14:textId="37433480" w:rsidR="001530C0" w:rsidRDefault="001530C0" w:rsidP="009A3B7E">
            <w:pPr>
              <w:pStyle w:val="Normln10"/>
              <w:rPr>
                <w:rFonts w:cs="Arial"/>
                <w:sz w:val="22"/>
                <w:szCs w:val="22"/>
              </w:rPr>
            </w:pPr>
            <w:r>
              <w:rPr>
                <w:rFonts w:cs="Arial"/>
                <w:sz w:val="22"/>
                <w:szCs w:val="22"/>
              </w:rPr>
              <w:t>Ve spolupráci s</w:t>
            </w:r>
            <w:r w:rsidR="005A1247">
              <w:rPr>
                <w:rFonts w:cs="Arial"/>
                <w:sz w:val="22"/>
                <w:szCs w:val="22"/>
              </w:rPr>
              <w:t> </w:t>
            </w:r>
            <w:r>
              <w:rPr>
                <w:rFonts w:cs="Arial"/>
                <w:sz w:val="22"/>
                <w:szCs w:val="22"/>
              </w:rPr>
              <w:t>NAP SG identifikovat možná úzká hrdla na jednotlivých napěťových hladinách, vypracovat a</w:t>
            </w:r>
            <w:r w:rsidR="005A1247">
              <w:rPr>
                <w:rFonts w:cs="Arial"/>
                <w:sz w:val="22"/>
                <w:szCs w:val="22"/>
              </w:rPr>
              <w:t> </w:t>
            </w:r>
            <w:r>
              <w:rPr>
                <w:rFonts w:cs="Arial"/>
                <w:sz w:val="22"/>
                <w:szCs w:val="22"/>
              </w:rPr>
              <w:t xml:space="preserve">předložit ministerstvu (MPO) Akční plán rozvoje </w:t>
            </w:r>
            <w:r w:rsidR="00F14B46">
              <w:rPr>
                <w:rFonts w:cs="Arial"/>
                <w:sz w:val="22"/>
                <w:szCs w:val="22"/>
              </w:rPr>
              <w:t>do</w:t>
            </w:r>
            <w:r>
              <w:rPr>
                <w:rFonts w:cs="Arial"/>
                <w:sz w:val="22"/>
                <w:szCs w:val="22"/>
              </w:rPr>
              <w:t>bíjecí infrastruktury do roku 2040 obsahující:</w:t>
            </w:r>
          </w:p>
          <w:p w14:paraId="0A4E8F25" w14:textId="00E15C24" w:rsidR="001530C0" w:rsidRDefault="001530C0" w:rsidP="009A3B7E">
            <w:pPr>
              <w:pStyle w:val="Normln10"/>
              <w:numPr>
                <w:ilvl w:val="0"/>
                <w:numId w:val="61"/>
              </w:numPr>
              <w:rPr>
                <w:rFonts w:cs="Arial"/>
                <w:sz w:val="22"/>
                <w:szCs w:val="22"/>
              </w:rPr>
            </w:pPr>
            <w:r>
              <w:rPr>
                <w:rFonts w:cs="Arial"/>
                <w:sz w:val="22"/>
                <w:szCs w:val="22"/>
              </w:rPr>
              <w:t>Optimální rozmístění dobíjecích stanic podle kritérií stanovených v</w:t>
            </w:r>
            <w:r w:rsidR="005A1247">
              <w:rPr>
                <w:rFonts w:cs="Arial"/>
                <w:sz w:val="22"/>
                <w:szCs w:val="22"/>
              </w:rPr>
              <w:t> </w:t>
            </w:r>
            <w:r>
              <w:rPr>
                <w:rFonts w:cs="Arial"/>
                <w:sz w:val="22"/>
                <w:szCs w:val="22"/>
              </w:rPr>
              <w:t>NAP CM.</w:t>
            </w:r>
          </w:p>
          <w:p w14:paraId="02D62256" w14:textId="77777777" w:rsidR="001530C0" w:rsidRDefault="001530C0" w:rsidP="009A3B7E">
            <w:pPr>
              <w:pStyle w:val="Normln10"/>
              <w:numPr>
                <w:ilvl w:val="0"/>
                <w:numId w:val="61"/>
              </w:numPr>
              <w:rPr>
                <w:rFonts w:cs="Arial"/>
                <w:sz w:val="22"/>
                <w:szCs w:val="22"/>
              </w:rPr>
            </w:pPr>
            <w:r>
              <w:rPr>
                <w:rFonts w:cs="Arial"/>
                <w:sz w:val="22"/>
                <w:szCs w:val="22"/>
              </w:rPr>
              <w:t xml:space="preserve">Návrh technických standardů pro připojení </w:t>
            </w:r>
            <w:r w:rsidR="00F14B46">
              <w:rPr>
                <w:rFonts w:cs="Arial"/>
                <w:sz w:val="22"/>
                <w:szCs w:val="22"/>
              </w:rPr>
              <w:t>do</w:t>
            </w:r>
            <w:r>
              <w:rPr>
                <w:rFonts w:cs="Arial"/>
                <w:sz w:val="22"/>
                <w:szCs w:val="22"/>
              </w:rPr>
              <w:t>bíjecích stanic.</w:t>
            </w:r>
          </w:p>
          <w:p w14:paraId="6BEFF0F1" w14:textId="01EFE0FD" w:rsidR="001530C0" w:rsidRDefault="001530C0" w:rsidP="009A3B7E">
            <w:pPr>
              <w:pStyle w:val="Normln10"/>
              <w:numPr>
                <w:ilvl w:val="0"/>
                <w:numId w:val="61"/>
              </w:numPr>
              <w:rPr>
                <w:rFonts w:cs="Arial"/>
                <w:sz w:val="22"/>
                <w:szCs w:val="22"/>
              </w:rPr>
            </w:pPr>
            <w:r>
              <w:rPr>
                <w:rFonts w:cs="Arial"/>
                <w:sz w:val="22"/>
                <w:szCs w:val="22"/>
              </w:rPr>
              <w:t>Soubor opatření a</w:t>
            </w:r>
            <w:r w:rsidR="005A1247">
              <w:rPr>
                <w:rFonts w:cs="Arial"/>
                <w:sz w:val="22"/>
                <w:szCs w:val="22"/>
              </w:rPr>
              <w:t> </w:t>
            </w:r>
            <w:r>
              <w:rPr>
                <w:rFonts w:cs="Arial"/>
                <w:sz w:val="22"/>
                <w:szCs w:val="22"/>
              </w:rPr>
              <w:t>odhad investic potřebných pro naplnění obou scénářů uvažovaných v</w:t>
            </w:r>
            <w:r w:rsidR="005A1247">
              <w:rPr>
                <w:rFonts w:cs="Arial"/>
                <w:sz w:val="22"/>
                <w:szCs w:val="22"/>
              </w:rPr>
              <w:t> </w:t>
            </w:r>
            <w:r>
              <w:rPr>
                <w:rFonts w:cs="Arial"/>
                <w:sz w:val="22"/>
                <w:szCs w:val="22"/>
              </w:rPr>
              <w:t>NAP SG včetně dočasných opatření umožňujících připojení i</w:t>
            </w:r>
            <w:r w:rsidR="005A1247">
              <w:rPr>
                <w:rFonts w:cs="Arial"/>
                <w:sz w:val="22"/>
                <w:szCs w:val="22"/>
              </w:rPr>
              <w:t> </w:t>
            </w:r>
            <w:r>
              <w:rPr>
                <w:rFonts w:cs="Arial"/>
                <w:sz w:val="22"/>
                <w:szCs w:val="22"/>
              </w:rPr>
              <w:t>ve slabých místech sítě.</w:t>
            </w:r>
          </w:p>
          <w:p w14:paraId="6EFB3421" w14:textId="4849DD10" w:rsidR="001530C0" w:rsidRDefault="001530C0" w:rsidP="005A1247">
            <w:pPr>
              <w:pStyle w:val="Normln10"/>
              <w:numPr>
                <w:ilvl w:val="0"/>
                <w:numId w:val="61"/>
              </w:numPr>
              <w:rPr>
                <w:rFonts w:cs="Arial"/>
                <w:sz w:val="22"/>
                <w:szCs w:val="22"/>
              </w:rPr>
            </w:pPr>
            <w:r>
              <w:rPr>
                <w:rFonts w:cs="Arial"/>
                <w:sz w:val="22"/>
                <w:szCs w:val="22"/>
              </w:rPr>
              <w:t>Minimální technická a</w:t>
            </w:r>
            <w:r w:rsidR="005A1247">
              <w:rPr>
                <w:rFonts w:cs="Arial"/>
                <w:sz w:val="22"/>
                <w:szCs w:val="22"/>
              </w:rPr>
              <w:t> </w:t>
            </w:r>
            <w:r>
              <w:rPr>
                <w:rFonts w:cs="Arial"/>
                <w:sz w:val="22"/>
                <w:szCs w:val="22"/>
              </w:rPr>
              <w:t>tarifní opatření pro řízení dobíjení u</w:t>
            </w:r>
            <w:r w:rsidR="005A1247">
              <w:rPr>
                <w:rFonts w:cs="Arial"/>
                <w:sz w:val="22"/>
                <w:szCs w:val="22"/>
              </w:rPr>
              <w:t> </w:t>
            </w:r>
            <w:r>
              <w:rPr>
                <w:rFonts w:cs="Arial"/>
                <w:sz w:val="22"/>
                <w:szCs w:val="22"/>
              </w:rPr>
              <w:t>veřejných i</w:t>
            </w:r>
            <w:r w:rsidR="005A1247">
              <w:rPr>
                <w:rFonts w:cs="Arial"/>
                <w:sz w:val="22"/>
                <w:szCs w:val="22"/>
              </w:rPr>
              <w:t> </w:t>
            </w:r>
            <w:r>
              <w:rPr>
                <w:rFonts w:cs="Arial"/>
                <w:sz w:val="22"/>
                <w:szCs w:val="22"/>
              </w:rPr>
              <w:t>neveřejných stanic.</w:t>
            </w:r>
          </w:p>
        </w:tc>
      </w:tr>
      <w:tr w:rsidR="00D8771D" w14:paraId="1052505C"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7AEC182C" w14:textId="77777777" w:rsidR="001530C0" w:rsidRDefault="001530C0" w:rsidP="009A3B7E">
            <w:pPr>
              <w:pStyle w:val="Normln10"/>
              <w:rPr>
                <w:rFonts w:cs="Arial"/>
                <w:sz w:val="22"/>
                <w:szCs w:val="22"/>
              </w:rPr>
            </w:pPr>
            <w:r>
              <w:rPr>
                <w:rFonts w:cs="Arial"/>
                <w:sz w:val="22"/>
                <w:szCs w:val="22"/>
              </w:rPr>
              <w:t>Vazba na další opatření</w:t>
            </w:r>
          </w:p>
        </w:tc>
        <w:tc>
          <w:tcPr>
            <w:tcW w:w="7357" w:type="dxa"/>
            <w:tcBorders>
              <w:top w:val="single" w:sz="4" w:space="0" w:color="auto"/>
              <w:left w:val="single" w:sz="12" w:space="0" w:color="auto"/>
              <w:bottom w:val="single" w:sz="4" w:space="0" w:color="auto"/>
              <w:right w:val="single" w:sz="12" w:space="0" w:color="auto"/>
            </w:tcBorders>
          </w:tcPr>
          <w:p w14:paraId="4E683F54" w14:textId="77777777" w:rsidR="001530C0" w:rsidRDefault="001530C0" w:rsidP="009A3B7E">
            <w:pPr>
              <w:pStyle w:val="Normln10"/>
              <w:rPr>
                <w:rFonts w:cs="Arial"/>
                <w:sz w:val="22"/>
                <w:szCs w:val="22"/>
              </w:rPr>
            </w:pPr>
            <w:r>
              <w:rPr>
                <w:rFonts w:cs="Arial"/>
                <w:sz w:val="22"/>
                <w:szCs w:val="22"/>
              </w:rPr>
              <w:t>NAP SG A25</w:t>
            </w:r>
          </w:p>
        </w:tc>
      </w:tr>
      <w:tr w:rsidR="00D8771D" w14:paraId="6CFC6C44"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40E1A0E7" w14:textId="77777777" w:rsidR="001530C0" w:rsidRDefault="001530C0" w:rsidP="009A3B7E">
            <w:pPr>
              <w:pStyle w:val="Normln10"/>
              <w:rPr>
                <w:rFonts w:cs="Arial"/>
                <w:sz w:val="22"/>
                <w:szCs w:val="22"/>
              </w:rPr>
            </w:pPr>
            <w:r>
              <w:rPr>
                <w:rFonts w:cs="Arial"/>
                <w:sz w:val="22"/>
                <w:szCs w:val="22"/>
              </w:rPr>
              <w:t>Rozpočtový dopad / financování</w:t>
            </w:r>
          </w:p>
        </w:tc>
        <w:tc>
          <w:tcPr>
            <w:tcW w:w="7357" w:type="dxa"/>
            <w:tcBorders>
              <w:top w:val="single" w:sz="4" w:space="0" w:color="auto"/>
              <w:left w:val="single" w:sz="12" w:space="0" w:color="auto"/>
              <w:bottom w:val="single" w:sz="4" w:space="0" w:color="auto"/>
              <w:right w:val="single" w:sz="12" w:space="0" w:color="auto"/>
            </w:tcBorders>
          </w:tcPr>
          <w:p w14:paraId="2AE6A2B3" w14:textId="77777777" w:rsidR="001530C0" w:rsidRDefault="001530C0" w:rsidP="009A3B7E">
            <w:pPr>
              <w:pStyle w:val="Normln10"/>
              <w:rPr>
                <w:rFonts w:cs="Arial"/>
                <w:sz w:val="22"/>
                <w:szCs w:val="22"/>
              </w:rPr>
            </w:pPr>
            <w:r>
              <w:rPr>
                <w:rFonts w:cs="Arial"/>
                <w:sz w:val="22"/>
                <w:szCs w:val="22"/>
              </w:rPr>
              <w:t>Není</w:t>
            </w:r>
          </w:p>
        </w:tc>
      </w:tr>
      <w:tr w:rsidR="00D8771D" w14:paraId="3EA2F5D3"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2AD2523C" w14:textId="77777777" w:rsidR="001530C0" w:rsidRDefault="001530C0" w:rsidP="009A3B7E">
            <w:pPr>
              <w:pStyle w:val="Normln10"/>
              <w:rPr>
                <w:rFonts w:cs="Arial"/>
                <w:sz w:val="22"/>
                <w:szCs w:val="22"/>
              </w:rPr>
            </w:pPr>
            <w:r>
              <w:rPr>
                <w:rFonts w:cs="Arial"/>
                <w:sz w:val="22"/>
                <w:szCs w:val="22"/>
              </w:rPr>
              <w:t>Odpovědnost</w:t>
            </w:r>
          </w:p>
        </w:tc>
        <w:tc>
          <w:tcPr>
            <w:tcW w:w="7357" w:type="dxa"/>
            <w:tcBorders>
              <w:top w:val="single" w:sz="4" w:space="0" w:color="auto"/>
              <w:left w:val="single" w:sz="12" w:space="0" w:color="auto"/>
              <w:bottom w:val="single" w:sz="4" w:space="0" w:color="auto"/>
              <w:right w:val="single" w:sz="12" w:space="0" w:color="auto"/>
            </w:tcBorders>
            <w:hideMark/>
          </w:tcPr>
          <w:p w14:paraId="61A98011" w14:textId="77777777" w:rsidR="001530C0" w:rsidRDefault="001530C0" w:rsidP="009A3B7E">
            <w:pPr>
              <w:pStyle w:val="Normln10"/>
              <w:rPr>
                <w:rFonts w:cs="Arial"/>
                <w:sz w:val="22"/>
                <w:szCs w:val="22"/>
              </w:rPr>
            </w:pPr>
            <w:r w:rsidRPr="00D31A59">
              <w:rPr>
                <w:rFonts w:cs="Arial"/>
                <w:sz w:val="22"/>
                <w:szCs w:val="22"/>
              </w:rPr>
              <w:t>MPO</w:t>
            </w:r>
          </w:p>
        </w:tc>
      </w:tr>
      <w:tr w:rsidR="00D8771D" w14:paraId="5040F476"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0CBD7DD7" w14:textId="77777777" w:rsidR="001530C0" w:rsidRDefault="001530C0" w:rsidP="009A3B7E">
            <w:pPr>
              <w:pStyle w:val="Normln10"/>
              <w:rPr>
                <w:rFonts w:cs="Arial"/>
                <w:sz w:val="22"/>
                <w:szCs w:val="22"/>
              </w:rPr>
            </w:pPr>
            <w:r>
              <w:rPr>
                <w:rFonts w:cs="Arial"/>
                <w:sz w:val="22"/>
                <w:szCs w:val="22"/>
              </w:rPr>
              <w:t>Spolupráce</w:t>
            </w:r>
          </w:p>
        </w:tc>
        <w:tc>
          <w:tcPr>
            <w:tcW w:w="7357" w:type="dxa"/>
            <w:tcBorders>
              <w:top w:val="single" w:sz="4" w:space="0" w:color="auto"/>
              <w:left w:val="single" w:sz="12" w:space="0" w:color="auto"/>
              <w:bottom w:val="single" w:sz="4" w:space="0" w:color="auto"/>
              <w:right w:val="single" w:sz="12" w:space="0" w:color="auto"/>
            </w:tcBorders>
          </w:tcPr>
          <w:p w14:paraId="5C9160F1" w14:textId="77777777" w:rsidR="001530C0" w:rsidRDefault="001530C0" w:rsidP="009A3B7E">
            <w:pPr>
              <w:pStyle w:val="Normln10"/>
              <w:rPr>
                <w:rFonts w:cs="Arial"/>
                <w:sz w:val="22"/>
                <w:szCs w:val="22"/>
              </w:rPr>
            </w:pPr>
            <w:r>
              <w:rPr>
                <w:rFonts w:cs="Arial"/>
                <w:sz w:val="22"/>
                <w:szCs w:val="22"/>
              </w:rPr>
              <w:t xml:space="preserve">PDS, provozovatelé </w:t>
            </w:r>
            <w:r w:rsidR="00F14B46">
              <w:rPr>
                <w:rFonts w:cs="Arial"/>
                <w:sz w:val="22"/>
                <w:szCs w:val="22"/>
              </w:rPr>
              <w:t>do</w:t>
            </w:r>
            <w:r>
              <w:rPr>
                <w:rFonts w:cs="Arial"/>
                <w:sz w:val="22"/>
                <w:szCs w:val="22"/>
              </w:rPr>
              <w:t>bíjecí infrastruktury</w:t>
            </w:r>
          </w:p>
        </w:tc>
      </w:tr>
      <w:tr w:rsidR="00D8771D" w14:paraId="46CD1F3A" w14:textId="77777777" w:rsidTr="003447F9">
        <w:tc>
          <w:tcPr>
            <w:tcW w:w="1984" w:type="dxa"/>
            <w:tcBorders>
              <w:top w:val="single" w:sz="4" w:space="0" w:color="auto"/>
              <w:left w:val="single" w:sz="12" w:space="0" w:color="auto"/>
              <w:bottom w:val="single" w:sz="12" w:space="0" w:color="auto"/>
              <w:right w:val="single" w:sz="12" w:space="0" w:color="auto"/>
            </w:tcBorders>
            <w:hideMark/>
          </w:tcPr>
          <w:p w14:paraId="66EF36D2" w14:textId="77777777" w:rsidR="001530C0" w:rsidRDefault="001530C0" w:rsidP="009A3B7E">
            <w:pPr>
              <w:pStyle w:val="Normln10"/>
              <w:rPr>
                <w:rFonts w:cs="Arial"/>
                <w:sz w:val="22"/>
                <w:szCs w:val="22"/>
              </w:rPr>
            </w:pPr>
            <w:r>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hideMark/>
          </w:tcPr>
          <w:p w14:paraId="0216FBF9" w14:textId="77777777" w:rsidR="001530C0" w:rsidRDefault="001530C0" w:rsidP="009A3B7E">
            <w:pPr>
              <w:pStyle w:val="Normln10"/>
              <w:rPr>
                <w:rFonts w:cs="Arial"/>
                <w:sz w:val="22"/>
                <w:szCs w:val="22"/>
              </w:rPr>
            </w:pPr>
            <w:r>
              <w:rPr>
                <w:rFonts w:cs="Arial"/>
                <w:sz w:val="22"/>
                <w:szCs w:val="22"/>
              </w:rPr>
              <w:t>12/2022</w:t>
            </w:r>
          </w:p>
        </w:tc>
      </w:tr>
    </w:tbl>
    <w:p w14:paraId="4633CE83" w14:textId="77777777" w:rsidR="001530C0" w:rsidRDefault="001530C0" w:rsidP="009A3B7E">
      <w:pPr>
        <w:jc w:val="both"/>
      </w:pPr>
    </w:p>
    <w:p w14:paraId="4C864B49" w14:textId="77777777" w:rsidR="001530C0" w:rsidRDefault="001530C0" w:rsidP="009A3B7E">
      <w:pPr>
        <w:spacing w:before="0" w:after="0"/>
        <w:jc w:val="both"/>
        <w:rPr>
          <w:rFonts w:cs="Arial"/>
          <w:b/>
          <w:bCs/>
          <w:iCs/>
          <w:sz w:val="24"/>
          <w:szCs w:val="28"/>
        </w:rPr>
      </w:pPr>
      <w:r>
        <w:br w:type="page"/>
      </w:r>
    </w:p>
    <w:p w14:paraId="5703053D" w14:textId="61ACAF44" w:rsidR="00F71C88" w:rsidRPr="00655A08" w:rsidRDefault="00DA4FB6" w:rsidP="00F71C88">
      <w:pPr>
        <w:pStyle w:val="Nadpis3"/>
        <w:jc w:val="both"/>
      </w:pPr>
      <w:bookmarkStart w:id="136" w:name="_Toc21589200"/>
      <w:r>
        <w:t>E21</w:t>
      </w:r>
      <w:r w:rsidR="00F71C88">
        <w:t xml:space="preserve"> </w:t>
      </w:r>
      <w:r w:rsidR="00F71C88" w:rsidRPr="00F37AD7">
        <w:t>Analýza příležitostí spojených se zaváděním dynamického dobíjení v</w:t>
      </w:r>
      <w:r w:rsidR="005A1247">
        <w:t> </w:t>
      </w:r>
      <w:r w:rsidR="00F71C88" w:rsidRPr="00F37AD7">
        <w:t>ČR</w:t>
      </w:r>
    </w:p>
    <w:tbl>
      <w:tblPr>
        <w:tblpPr w:leftFromText="142" w:rightFromText="142" w:vertAnchor="text" w:horzAnchor="margin" w:tblpY="285"/>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7357"/>
      </w:tblGrid>
      <w:tr w:rsidR="00F71C88" w14:paraId="7BA3121E" w14:textId="77777777" w:rsidTr="003447F9">
        <w:tc>
          <w:tcPr>
            <w:tcW w:w="9341"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29ECC735" w14:textId="216AB9A1" w:rsidR="00F71C88" w:rsidRDefault="00DA4FB6" w:rsidP="005A1247">
            <w:pPr>
              <w:spacing w:before="60" w:after="60"/>
              <w:jc w:val="both"/>
              <w:rPr>
                <w:rFonts w:cs="Arial"/>
                <w:b/>
                <w:color w:val="FFFFFF" w:themeColor="background1"/>
              </w:rPr>
            </w:pPr>
            <w:r>
              <w:rPr>
                <w:rFonts w:cs="Arial"/>
                <w:b/>
                <w:color w:val="FFFFFF" w:themeColor="background1"/>
              </w:rPr>
              <w:t>E21</w:t>
            </w:r>
            <w:r w:rsidR="00F71C88">
              <w:rPr>
                <w:rFonts w:cs="Arial"/>
                <w:b/>
                <w:color w:val="FFFFFF" w:themeColor="background1"/>
              </w:rPr>
              <w:t xml:space="preserve"> Analýza příležitostí spojených se zaváděním dynamického dobíjení v</w:t>
            </w:r>
            <w:r w:rsidR="005A1247">
              <w:rPr>
                <w:rFonts w:cs="Arial"/>
                <w:b/>
                <w:color w:val="FFFFFF" w:themeColor="background1"/>
              </w:rPr>
              <w:t> </w:t>
            </w:r>
            <w:r w:rsidR="00F71C88">
              <w:rPr>
                <w:rFonts w:cs="Arial"/>
                <w:b/>
                <w:color w:val="FFFFFF" w:themeColor="background1"/>
              </w:rPr>
              <w:t>ČR</w:t>
            </w:r>
          </w:p>
        </w:tc>
      </w:tr>
      <w:tr w:rsidR="00F71C88" w14:paraId="509DAF31" w14:textId="77777777" w:rsidTr="003447F9">
        <w:tc>
          <w:tcPr>
            <w:tcW w:w="1984" w:type="dxa"/>
            <w:tcBorders>
              <w:top w:val="single" w:sz="12" w:space="0" w:color="auto"/>
              <w:left w:val="single" w:sz="12" w:space="0" w:color="auto"/>
              <w:bottom w:val="single" w:sz="4" w:space="0" w:color="auto"/>
              <w:right w:val="single" w:sz="12" w:space="0" w:color="auto"/>
            </w:tcBorders>
            <w:hideMark/>
          </w:tcPr>
          <w:p w14:paraId="39FB0F3F" w14:textId="77777777" w:rsidR="00F71C88" w:rsidRDefault="00F71C88" w:rsidP="00B502A0">
            <w:pPr>
              <w:pStyle w:val="Normln10"/>
              <w:rPr>
                <w:rFonts w:cs="Arial"/>
                <w:sz w:val="22"/>
                <w:szCs w:val="22"/>
              </w:rPr>
            </w:pPr>
            <w:r>
              <w:rPr>
                <w:rFonts w:cs="Arial"/>
                <w:sz w:val="22"/>
                <w:szCs w:val="22"/>
              </w:rPr>
              <w:t>Návaznost na strategický cíl</w:t>
            </w:r>
          </w:p>
        </w:tc>
        <w:tc>
          <w:tcPr>
            <w:tcW w:w="7357" w:type="dxa"/>
            <w:tcBorders>
              <w:top w:val="single" w:sz="12" w:space="0" w:color="auto"/>
              <w:left w:val="single" w:sz="12" w:space="0" w:color="auto"/>
              <w:bottom w:val="single" w:sz="4" w:space="0" w:color="auto"/>
              <w:right w:val="single" w:sz="12" w:space="0" w:color="auto"/>
            </w:tcBorders>
            <w:hideMark/>
          </w:tcPr>
          <w:p w14:paraId="6F84B196" w14:textId="2B5615F5" w:rsidR="00F71C88" w:rsidRDefault="00F71C88" w:rsidP="005A1247">
            <w:pPr>
              <w:pStyle w:val="Normln10"/>
              <w:spacing w:line="240" w:lineRule="auto"/>
              <w:rPr>
                <w:rFonts w:cs="Arial"/>
                <w:sz w:val="22"/>
                <w:szCs w:val="22"/>
              </w:rPr>
            </w:pPr>
            <w:r w:rsidRPr="00F37AD7">
              <w:rPr>
                <w:rFonts w:cs="Arial"/>
                <w:sz w:val="22"/>
                <w:szCs w:val="22"/>
              </w:rPr>
              <w:t>Vytváření rámce pro výzkum a</w:t>
            </w:r>
            <w:r w:rsidR="005A1247">
              <w:rPr>
                <w:rFonts w:cs="Arial"/>
                <w:sz w:val="22"/>
                <w:szCs w:val="22"/>
              </w:rPr>
              <w:t> </w:t>
            </w:r>
            <w:r w:rsidRPr="00F37AD7">
              <w:rPr>
                <w:rFonts w:cs="Arial"/>
                <w:sz w:val="22"/>
                <w:szCs w:val="22"/>
              </w:rPr>
              <w:t>vývoj v</w:t>
            </w:r>
            <w:r w:rsidR="005A1247">
              <w:rPr>
                <w:rFonts w:cs="Arial"/>
                <w:sz w:val="22"/>
                <w:szCs w:val="22"/>
              </w:rPr>
              <w:t> </w:t>
            </w:r>
            <w:r w:rsidRPr="00F37AD7">
              <w:rPr>
                <w:rFonts w:cs="Arial"/>
                <w:sz w:val="22"/>
                <w:szCs w:val="22"/>
              </w:rPr>
              <w:t>oblasti elektromobility</w:t>
            </w:r>
            <w:r w:rsidR="008E3A56">
              <w:rPr>
                <w:rFonts w:cs="Arial"/>
                <w:sz w:val="22"/>
                <w:szCs w:val="22"/>
              </w:rPr>
              <w:t xml:space="preserve"> (kap. 2.4.4.)</w:t>
            </w:r>
          </w:p>
        </w:tc>
      </w:tr>
      <w:tr w:rsidR="00F71C88" w14:paraId="6680BFC5"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4C56D3A0" w14:textId="77777777" w:rsidR="00F71C88" w:rsidRDefault="00F71C88" w:rsidP="00B502A0">
            <w:pPr>
              <w:pStyle w:val="Normln10"/>
              <w:rPr>
                <w:rFonts w:cs="Arial"/>
                <w:sz w:val="22"/>
                <w:szCs w:val="22"/>
              </w:rPr>
            </w:pPr>
            <w:r>
              <w:rPr>
                <w:rFonts w:cs="Arial"/>
                <w:sz w:val="22"/>
                <w:szCs w:val="22"/>
              </w:rPr>
              <w:t>Cíl opatření</w:t>
            </w:r>
          </w:p>
        </w:tc>
        <w:tc>
          <w:tcPr>
            <w:tcW w:w="7357" w:type="dxa"/>
            <w:tcBorders>
              <w:top w:val="single" w:sz="4" w:space="0" w:color="auto"/>
              <w:left w:val="single" w:sz="12" w:space="0" w:color="auto"/>
              <w:bottom w:val="single" w:sz="4" w:space="0" w:color="auto"/>
              <w:right w:val="single" w:sz="12" w:space="0" w:color="auto"/>
            </w:tcBorders>
            <w:hideMark/>
          </w:tcPr>
          <w:p w14:paraId="3A017F63" w14:textId="2D09A2E4" w:rsidR="00F71C88" w:rsidRDefault="00F71C88" w:rsidP="005A1247">
            <w:pPr>
              <w:pStyle w:val="Normln10"/>
              <w:spacing w:line="240" w:lineRule="auto"/>
              <w:rPr>
                <w:rFonts w:cs="Arial"/>
                <w:sz w:val="22"/>
                <w:szCs w:val="22"/>
              </w:rPr>
            </w:pPr>
            <w:r>
              <w:rPr>
                <w:rFonts w:cs="Arial"/>
                <w:sz w:val="22"/>
                <w:szCs w:val="22"/>
              </w:rPr>
              <w:t>Cílem opatření je analyzovat příležitostí spojené se zaváděním dynamického dobíjení v</w:t>
            </w:r>
            <w:r w:rsidR="005A1247">
              <w:rPr>
                <w:rFonts w:cs="Arial"/>
                <w:sz w:val="22"/>
                <w:szCs w:val="22"/>
              </w:rPr>
              <w:t> </w:t>
            </w:r>
            <w:r>
              <w:rPr>
                <w:rFonts w:cs="Arial"/>
                <w:sz w:val="22"/>
                <w:szCs w:val="22"/>
              </w:rPr>
              <w:t>ČR, které by mělo za úkol blíže vyhodnotit výhody a</w:t>
            </w:r>
            <w:r w:rsidR="005A1247">
              <w:rPr>
                <w:rFonts w:cs="Arial"/>
                <w:sz w:val="22"/>
                <w:szCs w:val="22"/>
              </w:rPr>
              <w:t> </w:t>
            </w:r>
            <w:r>
              <w:rPr>
                <w:rFonts w:cs="Arial"/>
                <w:sz w:val="22"/>
                <w:szCs w:val="22"/>
              </w:rPr>
              <w:t>nevýhody jednotlivých technických řešení dynamického dobíjení a</w:t>
            </w:r>
            <w:r w:rsidR="005A1247">
              <w:rPr>
                <w:rFonts w:cs="Arial"/>
                <w:sz w:val="22"/>
                <w:szCs w:val="22"/>
              </w:rPr>
              <w:t> </w:t>
            </w:r>
            <w:r>
              <w:rPr>
                <w:rFonts w:cs="Arial"/>
                <w:sz w:val="22"/>
                <w:szCs w:val="22"/>
              </w:rPr>
              <w:t>vytipovat případné pilotní projekty, které by mohly být v</w:t>
            </w:r>
            <w:r w:rsidR="005A1247">
              <w:rPr>
                <w:rFonts w:cs="Arial"/>
                <w:sz w:val="22"/>
                <w:szCs w:val="22"/>
              </w:rPr>
              <w:t> </w:t>
            </w:r>
            <w:r>
              <w:rPr>
                <w:rFonts w:cs="Arial"/>
                <w:sz w:val="22"/>
                <w:szCs w:val="22"/>
              </w:rPr>
              <w:t>této oblasti v</w:t>
            </w:r>
            <w:r w:rsidR="005A1247">
              <w:rPr>
                <w:rFonts w:cs="Arial"/>
                <w:sz w:val="22"/>
                <w:szCs w:val="22"/>
              </w:rPr>
              <w:t> </w:t>
            </w:r>
            <w:r>
              <w:rPr>
                <w:rFonts w:cs="Arial"/>
                <w:sz w:val="22"/>
                <w:szCs w:val="22"/>
              </w:rPr>
              <w:t>budoucnosti realizovány.</w:t>
            </w:r>
          </w:p>
        </w:tc>
      </w:tr>
      <w:tr w:rsidR="00F71C88" w14:paraId="75A24F34"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7449DB5B" w14:textId="77777777" w:rsidR="00F71C88" w:rsidRDefault="00F71C88" w:rsidP="00B502A0">
            <w:pPr>
              <w:pStyle w:val="Normln10"/>
              <w:rPr>
                <w:rFonts w:cs="Arial"/>
                <w:sz w:val="22"/>
                <w:szCs w:val="22"/>
              </w:rPr>
            </w:pPr>
            <w:r>
              <w:rPr>
                <w:rFonts w:cs="Arial"/>
                <w:sz w:val="22"/>
                <w:szCs w:val="22"/>
              </w:rPr>
              <w:t>Popis opatření</w:t>
            </w:r>
            <w:r>
              <w:rPr>
                <w:rFonts w:cs="Arial"/>
                <w:sz w:val="22"/>
                <w:szCs w:val="22"/>
              </w:rPr>
              <w:tab/>
            </w:r>
          </w:p>
        </w:tc>
        <w:tc>
          <w:tcPr>
            <w:tcW w:w="7357" w:type="dxa"/>
            <w:tcBorders>
              <w:top w:val="single" w:sz="4" w:space="0" w:color="auto"/>
              <w:left w:val="single" w:sz="12" w:space="0" w:color="auto"/>
              <w:bottom w:val="single" w:sz="4" w:space="0" w:color="auto"/>
              <w:right w:val="single" w:sz="12" w:space="0" w:color="auto"/>
            </w:tcBorders>
            <w:hideMark/>
          </w:tcPr>
          <w:p w14:paraId="50711663" w14:textId="4F292409" w:rsidR="00F71C88" w:rsidRDefault="00F71C88" w:rsidP="00B502A0">
            <w:pPr>
              <w:pStyle w:val="Normln10"/>
              <w:spacing w:line="240" w:lineRule="auto"/>
              <w:rPr>
                <w:rFonts w:cs="Arial"/>
                <w:sz w:val="22"/>
                <w:szCs w:val="22"/>
              </w:rPr>
            </w:pPr>
            <w:r>
              <w:rPr>
                <w:rFonts w:cs="Arial"/>
                <w:sz w:val="22"/>
                <w:szCs w:val="22"/>
              </w:rPr>
              <w:t>Koncept dynamické dobíjení je v</w:t>
            </w:r>
            <w:r w:rsidR="005A1247">
              <w:rPr>
                <w:rFonts w:cs="Arial"/>
                <w:sz w:val="22"/>
                <w:szCs w:val="22"/>
              </w:rPr>
              <w:t> </w:t>
            </w:r>
            <w:r>
              <w:rPr>
                <w:rFonts w:cs="Arial"/>
                <w:sz w:val="22"/>
                <w:szCs w:val="22"/>
              </w:rPr>
              <w:t>tuto chvíli teprve v</w:t>
            </w:r>
            <w:r w:rsidR="005A1247">
              <w:rPr>
                <w:rFonts w:cs="Arial"/>
                <w:sz w:val="22"/>
                <w:szCs w:val="22"/>
              </w:rPr>
              <w:t> </w:t>
            </w:r>
            <w:r>
              <w:rPr>
                <w:rFonts w:cs="Arial"/>
                <w:sz w:val="22"/>
                <w:szCs w:val="22"/>
              </w:rPr>
              <w:t xml:space="preserve">počáteční fázi přípravy, přičemž není zřejmé, které technologické řešení převládne. Při současné úrovni poznání je možné tento koncept realizovat třemi technologickými řešeními: </w:t>
            </w:r>
          </w:p>
          <w:p w14:paraId="1D74B633" w14:textId="77777777" w:rsidR="00F71C88" w:rsidRDefault="00F71C88" w:rsidP="00B502A0">
            <w:pPr>
              <w:pStyle w:val="Normln10"/>
              <w:numPr>
                <w:ilvl w:val="0"/>
                <w:numId w:val="60"/>
              </w:numPr>
              <w:spacing w:line="240" w:lineRule="auto"/>
              <w:rPr>
                <w:rFonts w:cs="Arial"/>
                <w:sz w:val="22"/>
                <w:szCs w:val="22"/>
              </w:rPr>
            </w:pPr>
            <w:r>
              <w:rPr>
                <w:rFonts w:cs="Arial"/>
                <w:sz w:val="22"/>
                <w:szCs w:val="22"/>
              </w:rPr>
              <w:t>indukční dobíjení (vozidla jsou během jízdy průběžně dobíjena při využití elektromagnetického pole skrze dobíjecí indukční desky zapuštěné do silnice)</w:t>
            </w:r>
          </w:p>
          <w:p w14:paraId="217E7B07" w14:textId="7016D309" w:rsidR="00F71C88" w:rsidRDefault="00F71C88" w:rsidP="00B502A0">
            <w:pPr>
              <w:pStyle w:val="Normln10"/>
              <w:numPr>
                <w:ilvl w:val="0"/>
                <w:numId w:val="60"/>
              </w:numPr>
              <w:spacing w:line="240" w:lineRule="auto"/>
              <w:rPr>
                <w:rFonts w:cs="Arial"/>
                <w:sz w:val="22"/>
                <w:szCs w:val="22"/>
              </w:rPr>
            </w:pPr>
            <w:r>
              <w:rPr>
                <w:rFonts w:cs="Arial"/>
                <w:sz w:val="22"/>
                <w:szCs w:val="22"/>
              </w:rPr>
              <w:t>dobíjení vozidla z</w:t>
            </w:r>
            <w:r w:rsidR="005A1247">
              <w:rPr>
                <w:rFonts w:cs="Arial"/>
                <w:sz w:val="22"/>
                <w:szCs w:val="22"/>
              </w:rPr>
              <w:t> </w:t>
            </w:r>
            <w:r>
              <w:rPr>
                <w:rFonts w:cs="Arial"/>
                <w:sz w:val="22"/>
                <w:szCs w:val="22"/>
              </w:rPr>
              <w:t>trolejového vedení</w:t>
            </w:r>
          </w:p>
          <w:p w14:paraId="0C426D60" w14:textId="4BCB44E8" w:rsidR="00F71C88" w:rsidRDefault="00F71C88" w:rsidP="00B502A0">
            <w:pPr>
              <w:pStyle w:val="Normln10"/>
              <w:numPr>
                <w:ilvl w:val="0"/>
                <w:numId w:val="60"/>
              </w:numPr>
              <w:spacing w:line="240" w:lineRule="auto"/>
              <w:rPr>
                <w:rFonts w:cs="Arial"/>
                <w:sz w:val="22"/>
                <w:szCs w:val="22"/>
              </w:rPr>
            </w:pPr>
            <w:r>
              <w:rPr>
                <w:rFonts w:cs="Arial"/>
                <w:sz w:val="22"/>
                <w:szCs w:val="22"/>
              </w:rPr>
              <w:t>dobíjení pomocí sběrače, který je připojen k</w:t>
            </w:r>
            <w:r w:rsidR="005A1247">
              <w:rPr>
                <w:rFonts w:cs="Arial"/>
                <w:sz w:val="22"/>
                <w:szCs w:val="22"/>
              </w:rPr>
              <w:t> </w:t>
            </w:r>
            <w:r>
              <w:rPr>
                <w:rFonts w:cs="Arial"/>
                <w:sz w:val="22"/>
                <w:szCs w:val="22"/>
              </w:rPr>
              <w:t>elektrickému vedení umístěnému v</w:t>
            </w:r>
            <w:r w:rsidR="005A1247">
              <w:rPr>
                <w:rFonts w:cs="Arial"/>
                <w:sz w:val="22"/>
                <w:szCs w:val="22"/>
              </w:rPr>
              <w:t> </w:t>
            </w:r>
            <w:r>
              <w:rPr>
                <w:rFonts w:cs="Arial"/>
                <w:sz w:val="22"/>
                <w:szCs w:val="22"/>
              </w:rPr>
              <w:t xml:space="preserve">určitých pásech instalovaných ve vozovce. </w:t>
            </w:r>
          </w:p>
          <w:p w14:paraId="6B6AA755" w14:textId="61AF24D7" w:rsidR="00F71C88" w:rsidRDefault="00F71C88" w:rsidP="005A1247">
            <w:pPr>
              <w:pStyle w:val="Normln10"/>
              <w:spacing w:line="240" w:lineRule="auto"/>
              <w:rPr>
                <w:rFonts w:cs="Arial"/>
                <w:sz w:val="22"/>
                <w:szCs w:val="22"/>
              </w:rPr>
            </w:pPr>
            <w:r>
              <w:rPr>
                <w:rFonts w:cs="Arial"/>
                <w:sz w:val="22"/>
                <w:szCs w:val="22"/>
              </w:rPr>
              <w:t>Analýza by měla ověřit proveditelnost jednotlivých technologických možností (indukční dobíjení, trolejové vedení, dobíjení s</w:t>
            </w:r>
            <w:r w:rsidR="005A1247">
              <w:rPr>
                <w:rFonts w:cs="Arial"/>
                <w:sz w:val="22"/>
                <w:szCs w:val="22"/>
              </w:rPr>
              <w:t> </w:t>
            </w:r>
            <w:r>
              <w:rPr>
                <w:rFonts w:cs="Arial"/>
                <w:sz w:val="22"/>
                <w:szCs w:val="22"/>
              </w:rPr>
              <w:t>využitím sběrače) a</w:t>
            </w:r>
            <w:r w:rsidR="005A1247">
              <w:rPr>
                <w:rFonts w:cs="Arial"/>
                <w:sz w:val="22"/>
                <w:szCs w:val="22"/>
              </w:rPr>
              <w:t> </w:t>
            </w:r>
            <w:r>
              <w:rPr>
                <w:rFonts w:cs="Arial"/>
                <w:sz w:val="22"/>
                <w:szCs w:val="22"/>
              </w:rPr>
              <w:t>vytvořila podmínky pro širší nasazení nákladních elektrických vozidel po roce 2030.</w:t>
            </w:r>
          </w:p>
        </w:tc>
      </w:tr>
      <w:tr w:rsidR="00F71C88" w14:paraId="7049F287"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6EC56A4F" w14:textId="093E6ECB" w:rsidR="00F71C88" w:rsidRDefault="00F71C88" w:rsidP="005A1247">
            <w:pPr>
              <w:pStyle w:val="Normln10"/>
              <w:rPr>
                <w:rFonts w:cs="Arial"/>
                <w:sz w:val="22"/>
                <w:szCs w:val="22"/>
              </w:rPr>
            </w:pPr>
            <w:r>
              <w:rPr>
                <w:rFonts w:cs="Arial"/>
                <w:sz w:val="22"/>
                <w:szCs w:val="22"/>
              </w:rPr>
              <w:t>Příklad z</w:t>
            </w:r>
            <w:r w:rsidR="005A1247">
              <w:rPr>
                <w:rFonts w:cs="Arial"/>
                <w:sz w:val="22"/>
                <w:szCs w:val="22"/>
              </w:rPr>
              <w:t> </w:t>
            </w:r>
            <w:r>
              <w:rPr>
                <w:rFonts w:cs="Arial"/>
                <w:sz w:val="22"/>
                <w:szCs w:val="22"/>
              </w:rPr>
              <w:t>praxe</w:t>
            </w:r>
          </w:p>
        </w:tc>
        <w:tc>
          <w:tcPr>
            <w:tcW w:w="7357" w:type="dxa"/>
            <w:tcBorders>
              <w:top w:val="single" w:sz="4" w:space="0" w:color="auto"/>
              <w:left w:val="single" w:sz="12" w:space="0" w:color="auto"/>
              <w:bottom w:val="single" w:sz="4" w:space="0" w:color="auto"/>
              <w:right w:val="single" w:sz="12" w:space="0" w:color="auto"/>
            </w:tcBorders>
            <w:hideMark/>
          </w:tcPr>
          <w:p w14:paraId="268C529C" w14:textId="21B4CF4B" w:rsidR="00F71C88" w:rsidRDefault="00F71C88" w:rsidP="005A1247">
            <w:pPr>
              <w:pStyle w:val="Normln10"/>
              <w:spacing w:line="240" w:lineRule="auto"/>
              <w:rPr>
                <w:rFonts w:cs="Arial"/>
                <w:sz w:val="22"/>
                <w:szCs w:val="22"/>
              </w:rPr>
            </w:pPr>
            <w:r>
              <w:rPr>
                <w:rFonts w:cs="Arial"/>
                <w:sz w:val="22"/>
                <w:szCs w:val="22"/>
              </w:rPr>
              <w:t>Ve Švédsku a</w:t>
            </w:r>
            <w:r w:rsidR="005A1247">
              <w:rPr>
                <w:rFonts w:cs="Arial"/>
                <w:sz w:val="22"/>
                <w:szCs w:val="22"/>
              </w:rPr>
              <w:t> </w:t>
            </w:r>
            <w:r>
              <w:rPr>
                <w:rFonts w:cs="Arial"/>
                <w:sz w:val="22"/>
                <w:szCs w:val="22"/>
              </w:rPr>
              <w:t>Belgii je na několika velmi malých úsecích zkoušena technologie indukčního dobíjení a</w:t>
            </w:r>
            <w:r w:rsidR="005A1247">
              <w:rPr>
                <w:rFonts w:cs="Arial"/>
                <w:sz w:val="22"/>
                <w:szCs w:val="22"/>
              </w:rPr>
              <w:t> </w:t>
            </w:r>
            <w:r>
              <w:rPr>
                <w:rFonts w:cs="Arial"/>
                <w:sz w:val="22"/>
                <w:szCs w:val="22"/>
              </w:rPr>
              <w:t>to zatím se spíše neuspokojivými výsledky (vysoké nákladů/nízký přenos elektrické energie. V</w:t>
            </w:r>
            <w:r w:rsidR="005A1247">
              <w:rPr>
                <w:rFonts w:cs="Arial"/>
                <w:sz w:val="22"/>
                <w:szCs w:val="22"/>
              </w:rPr>
              <w:t> </w:t>
            </w:r>
            <w:r>
              <w:rPr>
                <w:rFonts w:cs="Arial"/>
                <w:sz w:val="22"/>
                <w:szCs w:val="22"/>
              </w:rPr>
              <w:t>Německu, Švédsku a</w:t>
            </w:r>
            <w:r w:rsidR="005A1247">
              <w:rPr>
                <w:rFonts w:cs="Arial"/>
                <w:sz w:val="22"/>
                <w:szCs w:val="22"/>
              </w:rPr>
              <w:t> </w:t>
            </w:r>
            <w:r>
              <w:rPr>
                <w:rFonts w:cs="Arial"/>
                <w:sz w:val="22"/>
                <w:szCs w:val="22"/>
              </w:rPr>
              <w:t>v Itálii byla pilotně zkoušena technologie klasického trolejového vedení. Výhodou této technologie je výrazně vyšší přenos elektrické energie. Technologie dobíjení pomocí sběrače připojeného k</w:t>
            </w:r>
            <w:r w:rsidR="005A1247">
              <w:rPr>
                <w:rFonts w:cs="Arial"/>
                <w:sz w:val="22"/>
                <w:szCs w:val="22"/>
              </w:rPr>
              <w:t> </w:t>
            </w:r>
            <w:r>
              <w:rPr>
                <w:rFonts w:cs="Arial"/>
                <w:sz w:val="22"/>
                <w:szCs w:val="22"/>
              </w:rPr>
              <w:t>elektrickému vedení umístěnému v</w:t>
            </w:r>
            <w:r w:rsidR="005A1247">
              <w:rPr>
                <w:rFonts w:cs="Arial"/>
                <w:sz w:val="22"/>
                <w:szCs w:val="22"/>
              </w:rPr>
              <w:t> </w:t>
            </w:r>
            <w:r>
              <w:rPr>
                <w:rFonts w:cs="Arial"/>
                <w:sz w:val="22"/>
                <w:szCs w:val="22"/>
              </w:rPr>
              <w:t>pásech instalovaných ve vozovce bylo zkoušeno v</w:t>
            </w:r>
            <w:r w:rsidR="005A1247">
              <w:rPr>
                <w:rFonts w:cs="Arial"/>
                <w:sz w:val="22"/>
                <w:szCs w:val="22"/>
              </w:rPr>
              <w:t> </w:t>
            </w:r>
            <w:r>
              <w:rPr>
                <w:rFonts w:cs="Arial"/>
                <w:sz w:val="22"/>
                <w:szCs w:val="22"/>
              </w:rPr>
              <w:t>omezené míře ve Švédsku s</w:t>
            </w:r>
            <w:r w:rsidR="005A1247">
              <w:rPr>
                <w:rFonts w:cs="Arial"/>
                <w:sz w:val="22"/>
                <w:szCs w:val="22"/>
              </w:rPr>
              <w:t> </w:t>
            </w:r>
            <w:r>
              <w:rPr>
                <w:rFonts w:cs="Arial"/>
                <w:sz w:val="22"/>
                <w:szCs w:val="22"/>
              </w:rPr>
              <w:t>vozidlem Volvo.</w:t>
            </w:r>
          </w:p>
        </w:tc>
      </w:tr>
      <w:tr w:rsidR="00F71C88" w14:paraId="1F99393D"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5FEA064C" w14:textId="77777777" w:rsidR="00F71C88" w:rsidRDefault="00F71C88" w:rsidP="00B502A0">
            <w:pPr>
              <w:pStyle w:val="Normln10"/>
              <w:rPr>
                <w:rFonts w:cs="Arial"/>
                <w:sz w:val="22"/>
                <w:szCs w:val="22"/>
              </w:rPr>
            </w:pPr>
            <w:r>
              <w:rPr>
                <w:rFonts w:cs="Arial"/>
                <w:sz w:val="22"/>
                <w:szCs w:val="22"/>
              </w:rPr>
              <w:t>Rozpočtový dopad / financování</w:t>
            </w:r>
          </w:p>
        </w:tc>
        <w:tc>
          <w:tcPr>
            <w:tcW w:w="7357" w:type="dxa"/>
            <w:tcBorders>
              <w:top w:val="single" w:sz="4" w:space="0" w:color="auto"/>
              <w:left w:val="single" w:sz="12" w:space="0" w:color="auto"/>
              <w:bottom w:val="single" w:sz="4" w:space="0" w:color="auto"/>
              <w:right w:val="single" w:sz="12" w:space="0" w:color="auto"/>
            </w:tcBorders>
            <w:hideMark/>
          </w:tcPr>
          <w:p w14:paraId="3000891F" w14:textId="5C6A6E29" w:rsidR="00F71C88" w:rsidRDefault="00F71C88" w:rsidP="005A1247">
            <w:pPr>
              <w:pStyle w:val="Normln10"/>
              <w:spacing w:line="240" w:lineRule="auto"/>
              <w:rPr>
                <w:rFonts w:cs="Arial"/>
                <w:sz w:val="22"/>
                <w:szCs w:val="22"/>
              </w:rPr>
            </w:pPr>
            <w:r>
              <w:rPr>
                <w:rFonts w:cs="Arial"/>
                <w:sz w:val="22"/>
                <w:szCs w:val="22"/>
              </w:rPr>
              <w:t>Opatření bude realizováno z</w:t>
            </w:r>
            <w:r w:rsidR="005A1247">
              <w:rPr>
                <w:rFonts w:cs="Arial"/>
                <w:sz w:val="22"/>
                <w:szCs w:val="22"/>
              </w:rPr>
              <w:t> </w:t>
            </w:r>
            <w:r>
              <w:rPr>
                <w:rFonts w:cs="Arial"/>
                <w:sz w:val="22"/>
                <w:szCs w:val="22"/>
              </w:rPr>
              <w:t>prostředků TA</w:t>
            </w:r>
            <w:r w:rsidR="00FA66DA">
              <w:rPr>
                <w:rFonts w:cs="Arial"/>
                <w:sz w:val="22"/>
                <w:szCs w:val="22"/>
              </w:rPr>
              <w:t xml:space="preserve"> </w:t>
            </w:r>
            <w:r>
              <w:rPr>
                <w:rFonts w:cs="Arial"/>
                <w:sz w:val="22"/>
                <w:szCs w:val="22"/>
              </w:rPr>
              <w:t>ČR (dotační program v</w:t>
            </w:r>
            <w:r w:rsidR="005A1247">
              <w:rPr>
                <w:rFonts w:cs="Arial"/>
                <w:sz w:val="22"/>
                <w:szCs w:val="22"/>
              </w:rPr>
              <w:t> </w:t>
            </w:r>
            <w:r>
              <w:rPr>
                <w:rFonts w:cs="Arial"/>
                <w:sz w:val="22"/>
                <w:szCs w:val="22"/>
              </w:rPr>
              <w:t>gesci MD).</w:t>
            </w:r>
          </w:p>
        </w:tc>
      </w:tr>
      <w:tr w:rsidR="00F71C88" w14:paraId="2C9472B5"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54359DDE" w14:textId="77777777" w:rsidR="00F71C88" w:rsidRDefault="00F71C88" w:rsidP="00B502A0">
            <w:pPr>
              <w:pStyle w:val="Normln10"/>
              <w:rPr>
                <w:rFonts w:cs="Arial"/>
                <w:sz w:val="22"/>
                <w:szCs w:val="22"/>
              </w:rPr>
            </w:pPr>
            <w:r>
              <w:rPr>
                <w:rFonts w:cs="Arial"/>
                <w:sz w:val="22"/>
                <w:szCs w:val="22"/>
              </w:rPr>
              <w:t>Odpovědnost</w:t>
            </w:r>
          </w:p>
        </w:tc>
        <w:tc>
          <w:tcPr>
            <w:tcW w:w="7357" w:type="dxa"/>
            <w:tcBorders>
              <w:top w:val="single" w:sz="4" w:space="0" w:color="auto"/>
              <w:left w:val="single" w:sz="12" w:space="0" w:color="auto"/>
              <w:bottom w:val="single" w:sz="4" w:space="0" w:color="auto"/>
              <w:right w:val="single" w:sz="12" w:space="0" w:color="auto"/>
            </w:tcBorders>
            <w:hideMark/>
          </w:tcPr>
          <w:p w14:paraId="27F63D25" w14:textId="77777777" w:rsidR="00F71C88" w:rsidRDefault="00F71C88" w:rsidP="00B502A0">
            <w:pPr>
              <w:pStyle w:val="Normln10"/>
              <w:spacing w:line="240" w:lineRule="auto"/>
              <w:rPr>
                <w:rFonts w:cs="Arial"/>
                <w:sz w:val="22"/>
                <w:szCs w:val="22"/>
              </w:rPr>
            </w:pPr>
            <w:r>
              <w:rPr>
                <w:rFonts w:cs="Arial"/>
                <w:sz w:val="22"/>
                <w:szCs w:val="22"/>
              </w:rPr>
              <w:t>MD</w:t>
            </w:r>
          </w:p>
        </w:tc>
      </w:tr>
      <w:tr w:rsidR="00F71C88" w14:paraId="2BE0F864" w14:textId="77777777" w:rsidTr="003447F9">
        <w:tc>
          <w:tcPr>
            <w:tcW w:w="1984" w:type="dxa"/>
            <w:tcBorders>
              <w:top w:val="single" w:sz="4" w:space="0" w:color="auto"/>
              <w:left w:val="single" w:sz="12" w:space="0" w:color="auto"/>
              <w:bottom w:val="single" w:sz="4" w:space="0" w:color="auto"/>
              <w:right w:val="single" w:sz="12" w:space="0" w:color="auto"/>
            </w:tcBorders>
            <w:hideMark/>
          </w:tcPr>
          <w:p w14:paraId="5601616B" w14:textId="77777777" w:rsidR="00F71C88" w:rsidRDefault="00F71C88" w:rsidP="00B502A0">
            <w:pPr>
              <w:pStyle w:val="Normln10"/>
              <w:rPr>
                <w:rFonts w:cs="Arial"/>
                <w:sz w:val="22"/>
                <w:szCs w:val="22"/>
              </w:rPr>
            </w:pPr>
            <w:r>
              <w:rPr>
                <w:rFonts w:cs="Arial"/>
                <w:sz w:val="22"/>
                <w:szCs w:val="22"/>
              </w:rPr>
              <w:t>Spolupráce</w:t>
            </w:r>
          </w:p>
        </w:tc>
        <w:tc>
          <w:tcPr>
            <w:tcW w:w="7357" w:type="dxa"/>
            <w:tcBorders>
              <w:top w:val="single" w:sz="4" w:space="0" w:color="auto"/>
              <w:left w:val="single" w:sz="12" w:space="0" w:color="auto"/>
              <w:bottom w:val="single" w:sz="4" w:space="0" w:color="auto"/>
              <w:right w:val="single" w:sz="12" w:space="0" w:color="auto"/>
            </w:tcBorders>
            <w:hideMark/>
          </w:tcPr>
          <w:p w14:paraId="0E0333A5" w14:textId="7B217895" w:rsidR="00F71C88" w:rsidRDefault="00F71C88" w:rsidP="005A1247">
            <w:pPr>
              <w:pStyle w:val="Normln10"/>
              <w:spacing w:line="240" w:lineRule="auto"/>
              <w:rPr>
                <w:rFonts w:cs="Arial"/>
                <w:sz w:val="22"/>
                <w:szCs w:val="22"/>
              </w:rPr>
            </w:pPr>
            <w:r>
              <w:rPr>
                <w:rFonts w:cs="Arial"/>
                <w:sz w:val="22"/>
                <w:szCs w:val="22"/>
              </w:rPr>
              <w:t>MPO, energetické a</w:t>
            </w:r>
            <w:r w:rsidR="005A1247">
              <w:rPr>
                <w:rFonts w:cs="Arial"/>
                <w:sz w:val="22"/>
                <w:szCs w:val="22"/>
              </w:rPr>
              <w:t> </w:t>
            </w:r>
            <w:r>
              <w:rPr>
                <w:rFonts w:cs="Arial"/>
                <w:sz w:val="22"/>
                <w:szCs w:val="22"/>
              </w:rPr>
              <w:t>distribuční společnosti</w:t>
            </w:r>
          </w:p>
        </w:tc>
      </w:tr>
      <w:tr w:rsidR="00F71C88" w14:paraId="17833497" w14:textId="77777777" w:rsidTr="003447F9">
        <w:tc>
          <w:tcPr>
            <w:tcW w:w="1984" w:type="dxa"/>
            <w:tcBorders>
              <w:top w:val="single" w:sz="4" w:space="0" w:color="auto"/>
              <w:left w:val="single" w:sz="12" w:space="0" w:color="auto"/>
              <w:bottom w:val="single" w:sz="12" w:space="0" w:color="auto"/>
              <w:right w:val="single" w:sz="12" w:space="0" w:color="auto"/>
            </w:tcBorders>
            <w:hideMark/>
          </w:tcPr>
          <w:p w14:paraId="70A5D7B0" w14:textId="77777777" w:rsidR="00F71C88" w:rsidRDefault="00F71C88" w:rsidP="00B502A0">
            <w:pPr>
              <w:pStyle w:val="Normln10"/>
              <w:rPr>
                <w:rFonts w:cs="Arial"/>
                <w:sz w:val="22"/>
                <w:szCs w:val="22"/>
              </w:rPr>
            </w:pPr>
            <w:r>
              <w:rPr>
                <w:rFonts w:cs="Arial"/>
                <w:sz w:val="22"/>
                <w:szCs w:val="22"/>
              </w:rPr>
              <w:t>Termín</w:t>
            </w:r>
          </w:p>
        </w:tc>
        <w:tc>
          <w:tcPr>
            <w:tcW w:w="7357" w:type="dxa"/>
            <w:tcBorders>
              <w:top w:val="single" w:sz="4" w:space="0" w:color="auto"/>
              <w:left w:val="single" w:sz="12" w:space="0" w:color="auto"/>
              <w:bottom w:val="single" w:sz="12" w:space="0" w:color="auto"/>
              <w:right w:val="single" w:sz="12" w:space="0" w:color="auto"/>
            </w:tcBorders>
            <w:hideMark/>
          </w:tcPr>
          <w:p w14:paraId="25506018" w14:textId="77777777" w:rsidR="00F71C88" w:rsidRDefault="00F71C88" w:rsidP="00B502A0">
            <w:pPr>
              <w:pStyle w:val="Normln10"/>
              <w:spacing w:line="240" w:lineRule="auto"/>
              <w:rPr>
                <w:rFonts w:cs="Arial"/>
                <w:sz w:val="22"/>
                <w:szCs w:val="22"/>
              </w:rPr>
            </w:pPr>
            <w:r>
              <w:rPr>
                <w:rFonts w:cs="Arial"/>
                <w:sz w:val="22"/>
                <w:szCs w:val="22"/>
              </w:rPr>
              <w:t>Analýza hotova 12/2023</w:t>
            </w:r>
          </w:p>
        </w:tc>
      </w:tr>
    </w:tbl>
    <w:p w14:paraId="1F853D5B" w14:textId="77777777" w:rsidR="00F71C88" w:rsidRDefault="00F71C88" w:rsidP="00F71C88">
      <w:pPr>
        <w:spacing w:before="0" w:after="0"/>
        <w:jc w:val="both"/>
      </w:pPr>
    </w:p>
    <w:p w14:paraId="558F7DE3" w14:textId="6E489B76" w:rsidR="001530C0" w:rsidRDefault="001530C0" w:rsidP="009A3B7E">
      <w:pPr>
        <w:pStyle w:val="Nadpis3"/>
        <w:jc w:val="both"/>
      </w:pPr>
      <w:r>
        <w:t>P</w:t>
      </w:r>
      <w:r w:rsidR="00F962CD">
        <w:t>6</w:t>
      </w:r>
      <w:r>
        <w:t xml:space="preserve"> Analýza potenciálu </w:t>
      </w:r>
      <w:r w:rsidRPr="00D57BBD">
        <w:t>výrob</w:t>
      </w:r>
      <w:r>
        <w:t>y</w:t>
      </w:r>
      <w:r w:rsidRPr="00D57BBD">
        <w:t xml:space="preserve"> pokročilého biometanu</w:t>
      </w:r>
      <w:bookmarkEnd w:id="136"/>
    </w:p>
    <w:tbl>
      <w:tblPr>
        <w:tblpPr w:leftFromText="142" w:rightFromText="142" w:vertAnchor="text" w:horzAnchor="margin" w:tblpY="285"/>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6"/>
        <w:gridCol w:w="7797"/>
      </w:tblGrid>
      <w:tr w:rsidR="001530C0" w14:paraId="4ED1BAD8" w14:textId="77777777" w:rsidTr="003447F9">
        <w:tc>
          <w:tcPr>
            <w:tcW w:w="9483" w:type="dxa"/>
            <w:gridSpan w:val="2"/>
            <w:tcBorders>
              <w:top w:val="single" w:sz="12" w:space="0" w:color="auto"/>
              <w:left w:val="single" w:sz="12" w:space="0" w:color="auto"/>
              <w:bottom w:val="single" w:sz="12" w:space="0" w:color="auto"/>
              <w:right w:val="single" w:sz="12" w:space="0" w:color="auto"/>
            </w:tcBorders>
            <w:shd w:val="clear" w:color="auto" w:fill="548DD4"/>
            <w:hideMark/>
          </w:tcPr>
          <w:p w14:paraId="7CDD3F48" w14:textId="77777777" w:rsidR="001530C0" w:rsidRDefault="001530C0" w:rsidP="00B502A0">
            <w:pPr>
              <w:tabs>
                <w:tab w:val="left" w:pos="1560"/>
              </w:tabs>
              <w:spacing w:before="60" w:after="60"/>
              <w:jc w:val="both"/>
              <w:rPr>
                <w:rFonts w:cs="Arial"/>
                <w:b/>
                <w:color w:val="FFFFFF" w:themeColor="background1"/>
              </w:rPr>
            </w:pPr>
            <w:r>
              <w:rPr>
                <w:rFonts w:cs="Arial"/>
                <w:b/>
                <w:color w:val="FFFFFF" w:themeColor="background1"/>
              </w:rPr>
              <w:t>P</w:t>
            </w:r>
            <w:r w:rsidR="00F962CD">
              <w:rPr>
                <w:rFonts w:cs="Arial"/>
                <w:b/>
                <w:color w:val="FFFFFF" w:themeColor="background1"/>
              </w:rPr>
              <w:t>6</w:t>
            </w:r>
            <w:r>
              <w:rPr>
                <w:rFonts w:cs="Arial"/>
                <w:b/>
                <w:color w:val="FFFFFF" w:themeColor="background1"/>
              </w:rPr>
              <w:t xml:space="preserve"> Analýza potenciálu výroby pokročilého biometanu </w:t>
            </w:r>
            <w:r>
              <w:rPr>
                <w:rFonts w:cs="Arial"/>
                <w:b/>
                <w:color w:val="FFFFFF" w:themeColor="background1"/>
              </w:rPr>
              <w:tab/>
            </w:r>
          </w:p>
        </w:tc>
      </w:tr>
      <w:tr w:rsidR="00E85FEF" w14:paraId="22784CCA" w14:textId="77777777" w:rsidTr="003447F9">
        <w:tc>
          <w:tcPr>
            <w:tcW w:w="1686" w:type="dxa"/>
            <w:tcBorders>
              <w:top w:val="single" w:sz="12" w:space="0" w:color="auto"/>
              <w:left w:val="single" w:sz="12" w:space="0" w:color="auto"/>
              <w:bottom w:val="single" w:sz="4" w:space="0" w:color="auto"/>
              <w:right w:val="single" w:sz="12" w:space="0" w:color="auto"/>
            </w:tcBorders>
            <w:hideMark/>
          </w:tcPr>
          <w:p w14:paraId="5EF9DCE3" w14:textId="77777777" w:rsidR="001530C0" w:rsidRPr="00D26ED2" w:rsidRDefault="001530C0" w:rsidP="009A3B7E">
            <w:pPr>
              <w:pStyle w:val="Normln10"/>
              <w:rPr>
                <w:rFonts w:cs="Arial"/>
              </w:rPr>
            </w:pPr>
            <w:r w:rsidRPr="00D26ED2">
              <w:rPr>
                <w:rFonts w:cs="Arial"/>
              </w:rPr>
              <w:t>Návaznost na strategický cíl</w:t>
            </w:r>
          </w:p>
        </w:tc>
        <w:tc>
          <w:tcPr>
            <w:tcW w:w="7797" w:type="dxa"/>
            <w:tcBorders>
              <w:top w:val="single" w:sz="12" w:space="0" w:color="auto"/>
              <w:left w:val="single" w:sz="12" w:space="0" w:color="auto"/>
              <w:bottom w:val="single" w:sz="4" w:space="0" w:color="auto"/>
              <w:right w:val="single" w:sz="12" w:space="0" w:color="auto"/>
            </w:tcBorders>
            <w:hideMark/>
          </w:tcPr>
          <w:p w14:paraId="329BEA4D" w14:textId="1E12E3FA" w:rsidR="001530C0" w:rsidRPr="00D26ED2" w:rsidRDefault="001530C0" w:rsidP="005A1247">
            <w:pPr>
              <w:pStyle w:val="Normln10"/>
              <w:spacing w:before="40" w:line="240" w:lineRule="auto"/>
              <w:rPr>
                <w:rFonts w:cs="Arial"/>
              </w:rPr>
            </w:pPr>
            <w:r w:rsidRPr="00D26ED2">
              <w:rPr>
                <w:rFonts w:cs="Arial"/>
              </w:rPr>
              <w:t>Rozvoj výroby biometanu pro využití v</w:t>
            </w:r>
            <w:r w:rsidR="005A1247">
              <w:rPr>
                <w:rFonts w:cs="Arial"/>
              </w:rPr>
              <w:t> </w:t>
            </w:r>
            <w:r w:rsidR="008E3A56" w:rsidRPr="00D26ED2">
              <w:rPr>
                <w:rFonts w:cs="Arial"/>
              </w:rPr>
              <w:t> </w:t>
            </w:r>
            <w:r w:rsidRPr="00D26ED2">
              <w:rPr>
                <w:rFonts w:cs="Arial"/>
              </w:rPr>
              <w:t>dopravě</w:t>
            </w:r>
            <w:r w:rsidR="008E3A56" w:rsidRPr="00D26ED2">
              <w:rPr>
                <w:rFonts w:cs="Arial"/>
              </w:rPr>
              <w:t xml:space="preserve"> (kap. 3.3.3.)</w:t>
            </w:r>
          </w:p>
        </w:tc>
      </w:tr>
      <w:tr w:rsidR="00E85FEF" w14:paraId="6EF11503" w14:textId="77777777" w:rsidTr="003447F9">
        <w:tc>
          <w:tcPr>
            <w:tcW w:w="1686" w:type="dxa"/>
            <w:tcBorders>
              <w:top w:val="single" w:sz="4" w:space="0" w:color="auto"/>
              <w:left w:val="single" w:sz="12" w:space="0" w:color="auto"/>
              <w:bottom w:val="single" w:sz="4" w:space="0" w:color="auto"/>
              <w:right w:val="single" w:sz="12" w:space="0" w:color="auto"/>
            </w:tcBorders>
            <w:hideMark/>
          </w:tcPr>
          <w:p w14:paraId="7C26996D" w14:textId="77777777" w:rsidR="001530C0" w:rsidRPr="00D26ED2" w:rsidRDefault="001530C0" w:rsidP="009A3B7E">
            <w:pPr>
              <w:pStyle w:val="Normln10"/>
              <w:rPr>
                <w:rFonts w:cs="Arial"/>
              </w:rPr>
            </w:pPr>
            <w:r w:rsidRPr="00D26ED2">
              <w:rPr>
                <w:rFonts w:cs="Arial"/>
              </w:rPr>
              <w:t>Cíl opatření</w:t>
            </w:r>
          </w:p>
        </w:tc>
        <w:tc>
          <w:tcPr>
            <w:tcW w:w="7797" w:type="dxa"/>
            <w:tcBorders>
              <w:top w:val="single" w:sz="4" w:space="0" w:color="auto"/>
              <w:left w:val="single" w:sz="12" w:space="0" w:color="auto"/>
              <w:bottom w:val="single" w:sz="4" w:space="0" w:color="auto"/>
              <w:right w:val="single" w:sz="12" w:space="0" w:color="auto"/>
            </w:tcBorders>
            <w:hideMark/>
          </w:tcPr>
          <w:p w14:paraId="6FD8E5B4" w14:textId="2ABD26C2" w:rsidR="001530C0" w:rsidRPr="00D26ED2" w:rsidRDefault="001530C0" w:rsidP="005A1247">
            <w:pPr>
              <w:pStyle w:val="Normln10"/>
              <w:spacing w:before="40" w:line="240" w:lineRule="auto"/>
              <w:rPr>
                <w:rFonts w:cs="Arial"/>
              </w:rPr>
            </w:pPr>
            <w:r w:rsidRPr="00D26ED2">
              <w:rPr>
                <w:rFonts w:cs="Arial"/>
              </w:rPr>
              <w:t>Dekarbonizace dopravy, snížení CO</w:t>
            </w:r>
            <w:r w:rsidRPr="00D26ED2">
              <w:rPr>
                <w:rFonts w:cs="Arial"/>
                <w:vertAlign w:val="subscript"/>
              </w:rPr>
              <w:t>2</w:t>
            </w:r>
            <w:r w:rsidRPr="00D26ED2">
              <w:rPr>
                <w:rFonts w:cs="Arial"/>
              </w:rPr>
              <w:t xml:space="preserve"> „ozeleněním“ zemního plynu pokročilým biometanem. Cílem opatření je vytvořit takové rámcové podmínky, aby pro výrobu biometanu byly postupně v</w:t>
            </w:r>
            <w:r w:rsidR="005A1247">
              <w:rPr>
                <w:rFonts w:cs="Arial"/>
              </w:rPr>
              <w:t> </w:t>
            </w:r>
            <w:r w:rsidRPr="00D26ED2">
              <w:rPr>
                <w:rFonts w:cs="Arial"/>
              </w:rPr>
              <w:t xml:space="preserve">míře odpovídající </w:t>
            </w:r>
            <w:r w:rsidR="00FB3866" w:rsidRPr="00D26ED2">
              <w:rPr>
                <w:rFonts w:cs="Arial"/>
              </w:rPr>
              <w:t>Vnitrostátnímu plánu ČR v</w:t>
            </w:r>
            <w:r w:rsidR="005A1247">
              <w:rPr>
                <w:rFonts w:cs="Arial"/>
              </w:rPr>
              <w:t> </w:t>
            </w:r>
            <w:r w:rsidR="00FB3866" w:rsidRPr="00D26ED2">
              <w:rPr>
                <w:rFonts w:cs="Arial"/>
              </w:rPr>
              <w:t>oblasti energetiky a</w:t>
            </w:r>
            <w:r w:rsidR="005A1247">
              <w:rPr>
                <w:rFonts w:cs="Arial"/>
              </w:rPr>
              <w:t> </w:t>
            </w:r>
            <w:r w:rsidR="00FB3866" w:rsidRPr="00D26ED2">
              <w:rPr>
                <w:rFonts w:cs="Arial"/>
              </w:rPr>
              <w:t>klimatu</w:t>
            </w:r>
            <w:r w:rsidRPr="00D26ED2">
              <w:rPr>
                <w:rFonts w:cs="Arial"/>
              </w:rPr>
              <w:t xml:space="preserve"> využívány vstupy, které umožní biometan považovat za pokročilé biopalivo.</w:t>
            </w:r>
          </w:p>
        </w:tc>
      </w:tr>
      <w:tr w:rsidR="00E85FEF" w14:paraId="5DB09BAF" w14:textId="77777777" w:rsidTr="003447F9">
        <w:tc>
          <w:tcPr>
            <w:tcW w:w="1686" w:type="dxa"/>
            <w:tcBorders>
              <w:top w:val="single" w:sz="4" w:space="0" w:color="auto"/>
              <w:left w:val="single" w:sz="12" w:space="0" w:color="auto"/>
              <w:bottom w:val="single" w:sz="4" w:space="0" w:color="auto"/>
              <w:right w:val="single" w:sz="12" w:space="0" w:color="auto"/>
            </w:tcBorders>
            <w:hideMark/>
          </w:tcPr>
          <w:p w14:paraId="31C00036" w14:textId="77777777" w:rsidR="001530C0" w:rsidRPr="00D26ED2" w:rsidRDefault="001530C0" w:rsidP="009A3B7E">
            <w:pPr>
              <w:pStyle w:val="Normln10"/>
              <w:rPr>
                <w:rFonts w:cs="Arial"/>
              </w:rPr>
            </w:pPr>
            <w:r w:rsidRPr="00D26ED2">
              <w:rPr>
                <w:rFonts w:cs="Arial"/>
              </w:rPr>
              <w:t>Popis opatření</w:t>
            </w:r>
          </w:p>
        </w:tc>
        <w:tc>
          <w:tcPr>
            <w:tcW w:w="7797" w:type="dxa"/>
            <w:tcBorders>
              <w:top w:val="single" w:sz="4" w:space="0" w:color="auto"/>
              <w:left w:val="single" w:sz="12" w:space="0" w:color="auto"/>
              <w:bottom w:val="single" w:sz="4" w:space="0" w:color="auto"/>
              <w:right w:val="single" w:sz="12" w:space="0" w:color="auto"/>
            </w:tcBorders>
            <w:hideMark/>
          </w:tcPr>
          <w:p w14:paraId="2DD4F5A7" w14:textId="42BFCF21" w:rsidR="001530C0" w:rsidRPr="00944EFB" w:rsidRDefault="001530C0" w:rsidP="00B502A0">
            <w:pPr>
              <w:pStyle w:val="Normln10"/>
              <w:spacing w:before="0" w:line="240" w:lineRule="auto"/>
              <w:rPr>
                <w:rFonts w:cs="Arial"/>
              </w:rPr>
            </w:pPr>
            <w:r w:rsidRPr="00944EFB">
              <w:rPr>
                <w:rFonts w:cs="Arial"/>
              </w:rPr>
              <w:t>Ve snaze dosáhnout plnění sektorového cíle OZE v</w:t>
            </w:r>
            <w:r w:rsidR="005A1247">
              <w:rPr>
                <w:rFonts w:cs="Arial"/>
              </w:rPr>
              <w:t> </w:t>
            </w:r>
            <w:r w:rsidRPr="00944EFB">
              <w:rPr>
                <w:rFonts w:cs="Arial"/>
              </w:rPr>
              <w:t>dopravě je nezbytné výrazně v</w:t>
            </w:r>
            <w:r w:rsidR="005A1247">
              <w:rPr>
                <w:rFonts w:cs="Arial"/>
              </w:rPr>
              <w:t> </w:t>
            </w:r>
            <w:r w:rsidRPr="00944EFB">
              <w:rPr>
                <w:rFonts w:cs="Arial"/>
              </w:rPr>
              <w:t>ČR rozšířit výrobu biometanu ze surovin, které umožní dvojnásobné započítávání jejich energetického obsahu (uvádí je příloha č. IX Směrnice EP a</w:t>
            </w:r>
            <w:r w:rsidR="005A1247">
              <w:rPr>
                <w:rFonts w:cs="Arial"/>
              </w:rPr>
              <w:t> </w:t>
            </w:r>
            <w:r w:rsidRPr="00944EFB">
              <w:rPr>
                <w:rFonts w:cs="Arial"/>
              </w:rPr>
              <w:t xml:space="preserve">Rady č. 2018/2001). </w:t>
            </w:r>
          </w:p>
          <w:p w14:paraId="5DE0DFEF" w14:textId="63AEEE56" w:rsidR="001530C0" w:rsidRPr="00944EFB" w:rsidRDefault="001530C0" w:rsidP="00B502A0">
            <w:pPr>
              <w:pStyle w:val="Normln10"/>
              <w:spacing w:before="0" w:line="240" w:lineRule="auto"/>
              <w:rPr>
                <w:rFonts w:cs="Arial"/>
              </w:rPr>
            </w:pPr>
            <w:r w:rsidRPr="00944EFB">
              <w:rPr>
                <w:rFonts w:cs="Arial"/>
              </w:rPr>
              <w:t>V podmínkách ČR bude nutné orientovat se v</w:t>
            </w:r>
            <w:r w:rsidR="005A1247">
              <w:rPr>
                <w:rFonts w:cs="Arial"/>
              </w:rPr>
              <w:t> </w:t>
            </w:r>
            <w:r w:rsidRPr="00944EFB">
              <w:rPr>
                <w:rFonts w:cs="Arial"/>
              </w:rPr>
              <w:t>první etapě na surovinové zdroje uvedené v</w:t>
            </w:r>
            <w:r w:rsidR="005A1247">
              <w:rPr>
                <w:rFonts w:cs="Arial"/>
              </w:rPr>
              <w:t> </w:t>
            </w:r>
            <w:r w:rsidRPr="00944EFB">
              <w:rPr>
                <w:rFonts w:cs="Arial"/>
              </w:rPr>
              <w:t>příloze č. IX Směrnice, které jsou již dnes využívány ve výrobnách bioplynu pro výrobu elektřiny a</w:t>
            </w:r>
            <w:r w:rsidR="005A1247">
              <w:rPr>
                <w:rFonts w:cs="Arial"/>
              </w:rPr>
              <w:t> </w:t>
            </w:r>
            <w:r w:rsidRPr="00944EFB">
              <w:rPr>
                <w:rFonts w:cs="Arial"/>
              </w:rPr>
              <w:t>tepla. Nové bioplynové stanice budované na zpracování komunálních bioodpadů bude nutné v</w:t>
            </w:r>
            <w:r w:rsidR="005A1247">
              <w:rPr>
                <w:rFonts w:cs="Arial"/>
              </w:rPr>
              <w:t> </w:t>
            </w:r>
            <w:r w:rsidRPr="00944EFB">
              <w:rPr>
                <w:rFonts w:cs="Arial"/>
              </w:rPr>
              <w:t>co největší míře koncipovat právě jako výrobny biometanu. Producenti biologicky rozložitelných odpadů by měli být vhodnou regulací a</w:t>
            </w:r>
            <w:r w:rsidR="005A1247">
              <w:rPr>
                <w:rFonts w:cs="Arial"/>
              </w:rPr>
              <w:t> </w:t>
            </w:r>
            <w:r w:rsidRPr="00944EFB">
              <w:rPr>
                <w:rFonts w:cs="Arial"/>
              </w:rPr>
              <w:t>motivačními nástroji více vedeni k</w:t>
            </w:r>
            <w:r w:rsidR="005A1247">
              <w:rPr>
                <w:rFonts w:cs="Arial"/>
              </w:rPr>
              <w:t> </w:t>
            </w:r>
            <w:r w:rsidRPr="00944EFB">
              <w:rPr>
                <w:rFonts w:cs="Arial"/>
              </w:rPr>
              <w:t>jejich zpracování v</w:t>
            </w:r>
            <w:r w:rsidR="005A1247">
              <w:rPr>
                <w:rFonts w:cs="Arial"/>
              </w:rPr>
              <w:t> </w:t>
            </w:r>
            <w:r w:rsidRPr="00944EFB">
              <w:rPr>
                <w:rFonts w:cs="Arial"/>
              </w:rPr>
              <w:t>již existujících zemědělských bioplynových stanicích (např. po vzoru Dánska). Je žádoucí maximálně využívat gastroodpad (organické odpady z</w:t>
            </w:r>
            <w:r w:rsidR="005A1247">
              <w:rPr>
                <w:rFonts w:cs="Arial"/>
              </w:rPr>
              <w:t> </w:t>
            </w:r>
            <w:r w:rsidRPr="00944EFB">
              <w:rPr>
                <w:rFonts w:cs="Arial"/>
              </w:rPr>
              <w:t>potravinářského průmyslu, stravovacích provozů a</w:t>
            </w:r>
            <w:r w:rsidR="005A1247">
              <w:rPr>
                <w:rFonts w:cs="Arial"/>
              </w:rPr>
              <w:t> </w:t>
            </w:r>
            <w:r w:rsidRPr="00944EFB">
              <w:rPr>
                <w:rFonts w:cs="Arial"/>
              </w:rPr>
              <w:t xml:space="preserve">obchodu). </w:t>
            </w:r>
            <w:r w:rsidR="00D31D34" w:rsidRPr="00944EFB">
              <w:rPr>
                <w:rFonts w:cs="Arial"/>
              </w:rPr>
              <w:t>Z</w:t>
            </w:r>
            <w:r w:rsidRPr="00944EFB">
              <w:rPr>
                <w:rFonts w:cs="Arial"/>
              </w:rPr>
              <w:t>de by vhodným opatřením byla povinnost biologicky rozložitelný odpad takto přednostně zpracovat a</w:t>
            </w:r>
            <w:r w:rsidR="005A1247">
              <w:rPr>
                <w:rFonts w:cs="Arial"/>
              </w:rPr>
              <w:t> </w:t>
            </w:r>
            <w:r w:rsidRPr="00944EFB">
              <w:rPr>
                <w:rFonts w:cs="Arial"/>
              </w:rPr>
              <w:t>znevýhodnit nevyhovující způsob likvidace bioodpadu na skládkách odpadu a</w:t>
            </w:r>
            <w:r w:rsidR="005A1247">
              <w:rPr>
                <w:rFonts w:cs="Arial"/>
              </w:rPr>
              <w:t> </w:t>
            </w:r>
            <w:r w:rsidRPr="00944EFB">
              <w:rPr>
                <w:rFonts w:cs="Arial"/>
              </w:rPr>
              <w:t>ve spalovnách. Velký výrobní potenciál pro pokročilý biometan má i</w:t>
            </w:r>
            <w:r w:rsidR="005A1247">
              <w:rPr>
                <w:rFonts w:cs="Arial"/>
              </w:rPr>
              <w:t> </w:t>
            </w:r>
            <w:r w:rsidRPr="00944EFB">
              <w:rPr>
                <w:rFonts w:cs="Arial"/>
              </w:rPr>
              <w:t>odpadní voda z</w:t>
            </w:r>
            <w:r w:rsidR="005A1247">
              <w:rPr>
                <w:rFonts w:cs="Arial"/>
              </w:rPr>
              <w:t> </w:t>
            </w:r>
            <w:r w:rsidRPr="00944EFB">
              <w:rPr>
                <w:rFonts w:cs="Arial"/>
              </w:rPr>
              <w:t>papírenského průmyslu a</w:t>
            </w:r>
            <w:r w:rsidR="005A1247">
              <w:rPr>
                <w:rFonts w:cs="Arial"/>
              </w:rPr>
              <w:t> </w:t>
            </w:r>
            <w:r w:rsidRPr="00944EFB">
              <w:rPr>
                <w:rFonts w:cs="Arial"/>
              </w:rPr>
              <w:t>v</w:t>
            </w:r>
            <w:r w:rsidR="000F2439" w:rsidRPr="00944EFB">
              <w:rPr>
                <w:rFonts w:cs="Arial"/>
              </w:rPr>
              <w:t> </w:t>
            </w:r>
            <w:r w:rsidRPr="00944EFB">
              <w:rPr>
                <w:rFonts w:cs="Arial"/>
              </w:rPr>
              <w:t>průběhu příští dekády statková hnojiva (kejda, chlévská mrva).</w:t>
            </w:r>
          </w:p>
          <w:p w14:paraId="16FBAC9E" w14:textId="3C121951" w:rsidR="001530C0" w:rsidRPr="00944EFB" w:rsidRDefault="001530C0" w:rsidP="00B502A0">
            <w:pPr>
              <w:pStyle w:val="Normln10"/>
              <w:spacing w:before="0" w:line="240" w:lineRule="auto"/>
              <w:rPr>
                <w:rFonts w:cs="Arial"/>
              </w:rPr>
            </w:pPr>
            <w:r w:rsidRPr="00944EFB">
              <w:rPr>
                <w:rFonts w:cs="Arial"/>
              </w:rPr>
              <w:t>Opatření spočívá v</w:t>
            </w:r>
            <w:r w:rsidR="005A1247">
              <w:rPr>
                <w:rFonts w:cs="Arial"/>
              </w:rPr>
              <w:t> </w:t>
            </w:r>
            <w:r w:rsidRPr="00944EFB">
              <w:rPr>
                <w:rFonts w:cs="Arial"/>
              </w:rPr>
              <w:t>nastavení takových podmínek provozu těchto výroben po roce 2020, které budou jednoznačně motivovat k</w:t>
            </w:r>
            <w:r w:rsidR="005A1247">
              <w:rPr>
                <w:rFonts w:cs="Arial"/>
              </w:rPr>
              <w:t> </w:t>
            </w:r>
            <w:r w:rsidRPr="00944EFB">
              <w:rPr>
                <w:rFonts w:cs="Arial"/>
              </w:rPr>
              <w:t>odklonu části produkce bioplynu (kalového plynu, skládkového plynu) na výrobu pokročilého biometanu. Pozornost je nutné současně věnovat nastupujícímu trendu sušení kalů, který je energeticky velice náročný. Dosažení tohoto cíle je možné řešit formou investičních programů podpory (viz program OPŽP).</w:t>
            </w:r>
          </w:p>
          <w:p w14:paraId="5019E63D" w14:textId="77777777" w:rsidR="001530C0" w:rsidRPr="00944EFB" w:rsidRDefault="001530C0" w:rsidP="00B502A0">
            <w:pPr>
              <w:pStyle w:val="Normln10"/>
              <w:spacing w:before="0" w:line="240" w:lineRule="auto"/>
              <w:rPr>
                <w:rFonts w:cs="Arial"/>
              </w:rPr>
            </w:pPr>
            <w:r w:rsidRPr="00944EFB">
              <w:rPr>
                <w:rFonts w:cs="Arial"/>
              </w:rPr>
              <w:t>Ve světle uvedeného je proto navrhováno:</w:t>
            </w:r>
          </w:p>
          <w:p w14:paraId="0CA29EE2" w14:textId="53B76B27" w:rsidR="001530C0" w:rsidRPr="00944EFB" w:rsidRDefault="001530C0" w:rsidP="00D26ED2">
            <w:pPr>
              <w:pStyle w:val="Normln10"/>
              <w:numPr>
                <w:ilvl w:val="0"/>
                <w:numId w:val="62"/>
              </w:numPr>
              <w:spacing w:before="0" w:line="240" w:lineRule="auto"/>
              <w:ind w:left="318" w:hanging="284"/>
              <w:rPr>
                <w:rFonts w:cs="Arial"/>
              </w:rPr>
            </w:pPr>
            <w:r w:rsidRPr="00944EFB">
              <w:rPr>
                <w:rFonts w:cs="Arial"/>
              </w:rPr>
              <w:t>Provést kvantifikaci potenciálu produkce pokročilého biometanu z</w:t>
            </w:r>
            <w:r w:rsidR="005A1247">
              <w:rPr>
                <w:rFonts w:cs="Arial"/>
              </w:rPr>
              <w:t> </w:t>
            </w:r>
            <w:r w:rsidRPr="00944EFB">
              <w:rPr>
                <w:rFonts w:cs="Arial"/>
              </w:rPr>
              <w:t>jednotlivých výše jmenovaných surovinových vstupů</w:t>
            </w:r>
          </w:p>
          <w:p w14:paraId="55B60D15" w14:textId="77777777" w:rsidR="001530C0" w:rsidRPr="00944EFB" w:rsidRDefault="001530C0" w:rsidP="00D26ED2">
            <w:pPr>
              <w:pStyle w:val="Normln10"/>
              <w:numPr>
                <w:ilvl w:val="0"/>
                <w:numId w:val="62"/>
              </w:numPr>
              <w:spacing w:before="0" w:line="240" w:lineRule="auto"/>
              <w:ind w:left="318" w:hanging="284"/>
              <w:rPr>
                <w:rFonts w:cs="Arial"/>
              </w:rPr>
            </w:pPr>
            <w:r w:rsidRPr="00944EFB">
              <w:rPr>
                <w:rFonts w:cs="Arial"/>
              </w:rPr>
              <w:t>Ověřit pro jednotlivé druhy těchto surovin, jaké bariéry dnes brání jejich zpracování ve výrobnách bioplynu/biometanu</w:t>
            </w:r>
          </w:p>
          <w:p w14:paraId="4420B552" w14:textId="77777777" w:rsidR="001530C0" w:rsidRPr="00944EFB" w:rsidRDefault="001530C0" w:rsidP="00D26ED2">
            <w:pPr>
              <w:pStyle w:val="Normln10"/>
              <w:numPr>
                <w:ilvl w:val="0"/>
                <w:numId w:val="62"/>
              </w:numPr>
              <w:spacing w:before="0" w:line="240" w:lineRule="auto"/>
              <w:ind w:left="318" w:hanging="284"/>
              <w:rPr>
                <w:rFonts w:cs="Arial"/>
              </w:rPr>
            </w:pPr>
            <w:r w:rsidRPr="00944EFB">
              <w:rPr>
                <w:rFonts w:cs="Arial"/>
              </w:rPr>
              <w:t>Navrhnout další opatření než ta, která zohledňuje KO- P(1), která mohou být za tímto účelem realizována.</w:t>
            </w:r>
          </w:p>
          <w:p w14:paraId="35D8EAB3" w14:textId="440BE55C" w:rsidR="001530C0" w:rsidRPr="00E57E7F" w:rsidRDefault="001530C0" w:rsidP="005A1247">
            <w:pPr>
              <w:pStyle w:val="Normln10"/>
              <w:numPr>
                <w:ilvl w:val="0"/>
                <w:numId w:val="62"/>
              </w:numPr>
              <w:spacing w:before="0" w:line="240" w:lineRule="auto"/>
              <w:ind w:left="318" w:hanging="284"/>
              <w:rPr>
                <w:rFonts w:cs="Arial"/>
                <w:sz w:val="22"/>
                <w:szCs w:val="22"/>
              </w:rPr>
            </w:pPr>
            <w:r w:rsidRPr="00944EFB">
              <w:rPr>
                <w:rFonts w:cs="Arial"/>
              </w:rPr>
              <w:t>Opatření je splnitelné realizací výzkumného projektu: Podmínky uplatnění biometanu v</w:t>
            </w:r>
            <w:r w:rsidR="005A1247">
              <w:rPr>
                <w:rFonts w:cs="Arial"/>
              </w:rPr>
              <w:t> </w:t>
            </w:r>
            <w:r w:rsidRPr="00944EFB">
              <w:rPr>
                <w:rFonts w:cs="Arial"/>
              </w:rPr>
              <w:t>dopravě (Česká bioplynová asociace z.s. a</w:t>
            </w:r>
            <w:r w:rsidR="005A1247">
              <w:rPr>
                <w:rFonts w:cs="Arial"/>
              </w:rPr>
              <w:t> </w:t>
            </w:r>
            <w:r w:rsidRPr="00944EFB">
              <w:rPr>
                <w:rFonts w:cs="Arial"/>
              </w:rPr>
              <w:t>Ekoport z.s.), řešeného v</w:t>
            </w:r>
            <w:r w:rsidR="005A1247">
              <w:rPr>
                <w:rFonts w:cs="Arial"/>
              </w:rPr>
              <w:t> </w:t>
            </w:r>
            <w:r w:rsidRPr="00944EFB">
              <w:rPr>
                <w:rFonts w:cs="Arial"/>
              </w:rPr>
              <w:t>rámci programu: DOPRAVA 2020+ (MD, administrované TA</w:t>
            </w:r>
            <w:r w:rsidR="00FA66DA" w:rsidRPr="00944EFB">
              <w:rPr>
                <w:rFonts w:cs="Arial"/>
              </w:rPr>
              <w:t xml:space="preserve"> </w:t>
            </w:r>
            <w:r w:rsidRPr="00944EFB">
              <w:rPr>
                <w:rFonts w:cs="Arial"/>
              </w:rPr>
              <w:t>ČR)</w:t>
            </w:r>
          </w:p>
        </w:tc>
      </w:tr>
      <w:tr w:rsidR="00E85FEF" w14:paraId="6FE7E206" w14:textId="77777777" w:rsidTr="0035067A">
        <w:trPr>
          <w:trHeight w:val="679"/>
        </w:trPr>
        <w:tc>
          <w:tcPr>
            <w:tcW w:w="1686" w:type="dxa"/>
            <w:tcBorders>
              <w:top w:val="single" w:sz="4" w:space="0" w:color="auto"/>
              <w:left w:val="single" w:sz="12" w:space="0" w:color="auto"/>
              <w:bottom w:val="single" w:sz="4" w:space="0" w:color="auto"/>
              <w:right w:val="single" w:sz="12" w:space="0" w:color="auto"/>
            </w:tcBorders>
            <w:hideMark/>
          </w:tcPr>
          <w:p w14:paraId="5B516D6D" w14:textId="79B6D07D" w:rsidR="001530C0" w:rsidRPr="00D26ED2" w:rsidRDefault="001530C0" w:rsidP="005A1247">
            <w:pPr>
              <w:pStyle w:val="Normln10"/>
              <w:tabs>
                <w:tab w:val="right" w:pos="2478"/>
              </w:tabs>
              <w:spacing w:before="0" w:line="240" w:lineRule="auto"/>
              <w:rPr>
                <w:rFonts w:cs="Arial"/>
              </w:rPr>
            </w:pPr>
            <w:r w:rsidRPr="00D26ED2">
              <w:rPr>
                <w:rFonts w:cs="Arial"/>
              </w:rPr>
              <w:t>Využití opatření v</w:t>
            </w:r>
            <w:r w:rsidR="005A1247">
              <w:rPr>
                <w:rFonts w:cs="Arial"/>
              </w:rPr>
              <w:t> </w:t>
            </w:r>
            <w:r w:rsidRPr="00D26ED2">
              <w:rPr>
                <w:rFonts w:cs="Arial"/>
              </w:rPr>
              <w:t>Evropě/ve světě</w:t>
            </w:r>
          </w:p>
        </w:tc>
        <w:tc>
          <w:tcPr>
            <w:tcW w:w="7797" w:type="dxa"/>
            <w:tcBorders>
              <w:top w:val="single" w:sz="4" w:space="0" w:color="auto"/>
              <w:left w:val="single" w:sz="12" w:space="0" w:color="auto"/>
              <w:bottom w:val="single" w:sz="4" w:space="0" w:color="auto"/>
              <w:right w:val="single" w:sz="12" w:space="0" w:color="auto"/>
            </w:tcBorders>
            <w:hideMark/>
          </w:tcPr>
          <w:p w14:paraId="5DDFDB2B" w14:textId="25E65191" w:rsidR="001530C0" w:rsidRPr="00D26ED2" w:rsidRDefault="001530C0" w:rsidP="005A1247">
            <w:pPr>
              <w:pStyle w:val="Normln10"/>
              <w:spacing w:line="240" w:lineRule="auto"/>
              <w:rPr>
                <w:rFonts w:cs="Arial"/>
              </w:rPr>
            </w:pPr>
            <w:r w:rsidRPr="00D26ED2">
              <w:rPr>
                <w:rFonts w:cs="Arial"/>
              </w:rPr>
              <w:t>Německo, Rakousko, Itálie, Francie a</w:t>
            </w:r>
            <w:r w:rsidR="005A1247">
              <w:rPr>
                <w:rFonts w:cs="Arial"/>
              </w:rPr>
              <w:t> </w:t>
            </w:r>
            <w:r w:rsidRPr="00D26ED2">
              <w:rPr>
                <w:rFonts w:cs="Arial"/>
              </w:rPr>
              <w:t>země EU s</w:t>
            </w:r>
            <w:r w:rsidR="005A1247">
              <w:rPr>
                <w:rFonts w:cs="Arial"/>
              </w:rPr>
              <w:t> </w:t>
            </w:r>
            <w:r w:rsidRPr="00D26ED2">
              <w:rPr>
                <w:rFonts w:cs="Arial"/>
              </w:rPr>
              <w:t>biometanovou výrobou</w:t>
            </w:r>
          </w:p>
        </w:tc>
      </w:tr>
      <w:tr w:rsidR="00E85FEF" w14:paraId="0CC13442" w14:textId="77777777" w:rsidTr="003447F9">
        <w:tc>
          <w:tcPr>
            <w:tcW w:w="1686" w:type="dxa"/>
            <w:tcBorders>
              <w:top w:val="single" w:sz="4" w:space="0" w:color="auto"/>
              <w:left w:val="single" w:sz="12" w:space="0" w:color="auto"/>
              <w:bottom w:val="single" w:sz="4" w:space="0" w:color="auto"/>
              <w:right w:val="single" w:sz="12" w:space="0" w:color="auto"/>
            </w:tcBorders>
            <w:hideMark/>
          </w:tcPr>
          <w:p w14:paraId="2DD7057B" w14:textId="77777777" w:rsidR="001530C0" w:rsidRPr="00D26ED2" w:rsidRDefault="001530C0" w:rsidP="009A3B7E">
            <w:pPr>
              <w:pStyle w:val="Normln10"/>
              <w:rPr>
                <w:rFonts w:cs="Arial"/>
              </w:rPr>
            </w:pPr>
            <w:r w:rsidRPr="00D26ED2">
              <w:rPr>
                <w:rFonts w:cs="Arial"/>
              </w:rPr>
              <w:t>Rozpočtový dopad / financování</w:t>
            </w:r>
          </w:p>
        </w:tc>
        <w:tc>
          <w:tcPr>
            <w:tcW w:w="7797" w:type="dxa"/>
            <w:tcBorders>
              <w:top w:val="single" w:sz="4" w:space="0" w:color="auto"/>
              <w:left w:val="single" w:sz="12" w:space="0" w:color="auto"/>
              <w:bottom w:val="single" w:sz="4" w:space="0" w:color="auto"/>
              <w:right w:val="single" w:sz="12" w:space="0" w:color="auto"/>
            </w:tcBorders>
            <w:hideMark/>
          </w:tcPr>
          <w:p w14:paraId="2CF9F88E" w14:textId="77777777" w:rsidR="001530C0" w:rsidRPr="00D26ED2" w:rsidRDefault="001530C0" w:rsidP="009A3B7E">
            <w:pPr>
              <w:pStyle w:val="Normln10"/>
              <w:spacing w:line="240" w:lineRule="auto"/>
              <w:rPr>
                <w:rFonts w:cs="Arial"/>
              </w:rPr>
            </w:pPr>
            <w:r w:rsidRPr="00D26ED2">
              <w:rPr>
                <w:rFonts w:cs="Arial"/>
              </w:rPr>
              <w:t>Program Doprava 2020+</w:t>
            </w:r>
          </w:p>
        </w:tc>
      </w:tr>
      <w:tr w:rsidR="00E85FEF" w14:paraId="1815E4BE" w14:textId="77777777" w:rsidTr="003447F9">
        <w:tc>
          <w:tcPr>
            <w:tcW w:w="1686" w:type="dxa"/>
            <w:tcBorders>
              <w:top w:val="single" w:sz="4" w:space="0" w:color="auto"/>
              <w:left w:val="single" w:sz="12" w:space="0" w:color="auto"/>
              <w:bottom w:val="single" w:sz="4" w:space="0" w:color="auto"/>
              <w:right w:val="single" w:sz="12" w:space="0" w:color="auto"/>
            </w:tcBorders>
            <w:hideMark/>
          </w:tcPr>
          <w:p w14:paraId="6AFE8531" w14:textId="77777777" w:rsidR="001530C0" w:rsidRPr="00D26ED2" w:rsidRDefault="001530C0" w:rsidP="009A3B7E">
            <w:pPr>
              <w:pStyle w:val="Normln10"/>
              <w:rPr>
                <w:rFonts w:cs="Arial"/>
              </w:rPr>
            </w:pPr>
            <w:r w:rsidRPr="00D26ED2">
              <w:rPr>
                <w:rFonts w:cs="Arial"/>
              </w:rPr>
              <w:t>Odpovědnost</w:t>
            </w:r>
          </w:p>
        </w:tc>
        <w:tc>
          <w:tcPr>
            <w:tcW w:w="7797" w:type="dxa"/>
            <w:tcBorders>
              <w:top w:val="single" w:sz="4" w:space="0" w:color="auto"/>
              <w:left w:val="single" w:sz="12" w:space="0" w:color="auto"/>
              <w:bottom w:val="single" w:sz="4" w:space="0" w:color="auto"/>
              <w:right w:val="single" w:sz="12" w:space="0" w:color="auto"/>
            </w:tcBorders>
            <w:hideMark/>
          </w:tcPr>
          <w:p w14:paraId="41489200" w14:textId="77777777" w:rsidR="001530C0" w:rsidRPr="00D26ED2" w:rsidRDefault="001530C0" w:rsidP="00D4457B">
            <w:pPr>
              <w:pStyle w:val="Normln10"/>
              <w:spacing w:line="240" w:lineRule="auto"/>
              <w:rPr>
                <w:rFonts w:cs="Arial"/>
              </w:rPr>
            </w:pPr>
            <w:r w:rsidRPr="00D26ED2">
              <w:rPr>
                <w:rFonts w:cs="Arial"/>
              </w:rPr>
              <w:t>MD</w:t>
            </w:r>
          </w:p>
        </w:tc>
      </w:tr>
      <w:tr w:rsidR="00E85FEF" w14:paraId="6E63693B" w14:textId="77777777" w:rsidTr="003447F9">
        <w:tc>
          <w:tcPr>
            <w:tcW w:w="1686" w:type="dxa"/>
            <w:tcBorders>
              <w:top w:val="single" w:sz="4" w:space="0" w:color="auto"/>
              <w:left w:val="single" w:sz="12" w:space="0" w:color="auto"/>
              <w:bottom w:val="single" w:sz="4" w:space="0" w:color="auto"/>
              <w:right w:val="single" w:sz="12" w:space="0" w:color="auto"/>
            </w:tcBorders>
            <w:hideMark/>
          </w:tcPr>
          <w:p w14:paraId="1AF4FF3A" w14:textId="77777777" w:rsidR="001530C0" w:rsidRPr="00D26ED2" w:rsidRDefault="001530C0" w:rsidP="009A3B7E">
            <w:pPr>
              <w:pStyle w:val="Normln10"/>
              <w:rPr>
                <w:rFonts w:cs="Arial"/>
              </w:rPr>
            </w:pPr>
            <w:r w:rsidRPr="00D26ED2">
              <w:rPr>
                <w:rFonts w:cs="Arial"/>
              </w:rPr>
              <w:t>Spolupráce</w:t>
            </w:r>
          </w:p>
        </w:tc>
        <w:tc>
          <w:tcPr>
            <w:tcW w:w="7797" w:type="dxa"/>
            <w:tcBorders>
              <w:top w:val="single" w:sz="4" w:space="0" w:color="auto"/>
              <w:left w:val="single" w:sz="12" w:space="0" w:color="auto"/>
              <w:bottom w:val="single" w:sz="4" w:space="0" w:color="auto"/>
              <w:right w:val="single" w:sz="12" w:space="0" w:color="auto"/>
            </w:tcBorders>
            <w:hideMark/>
          </w:tcPr>
          <w:p w14:paraId="43F0225F" w14:textId="751E559F" w:rsidR="001530C0" w:rsidRPr="00D26ED2" w:rsidRDefault="001530C0" w:rsidP="009A3B7E">
            <w:pPr>
              <w:pStyle w:val="Normln10"/>
              <w:spacing w:line="240" w:lineRule="auto"/>
              <w:rPr>
                <w:rFonts w:cs="Arial"/>
              </w:rPr>
            </w:pPr>
            <w:r w:rsidRPr="00D26ED2">
              <w:rPr>
                <w:rFonts w:cs="Arial"/>
              </w:rPr>
              <w:t>MPO, MZe, MŽP, TA</w:t>
            </w:r>
            <w:r w:rsidR="00FA66DA" w:rsidRPr="00D26ED2">
              <w:rPr>
                <w:rFonts w:cs="Arial"/>
              </w:rPr>
              <w:t xml:space="preserve"> </w:t>
            </w:r>
            <w:r w:rsidRPr="00D26ED2">
              <w:rPr>
                <w:rFonts w:cs="Arial"/>
              </w:rPr>
              <w:t>ČR</w:t>
            </w:r>
          </w:p>
        </w:tc>
      </w:tr>
      <w:tr w:rsidR="00E85FEF" w14:paraId="46C3DA0A" w14:textId="77777777" w:rsidTr="003447F9">
        <w:tc>
          <w:tcPr>
            <w:tcW w:w="1686" w:type="dxa"/>
            <w:tcBorders>
              <w:top w:val="single" w:sz="4" w:space="0" w:color="auto"/>
              <w:left w:val="single" w:sz="12" w:space="0" w:color="auto"/>
              <w:bottom w:val="single" w:sz="12" w:space="0" w:color="auto"/>
              <w:right w:val="single" w:sz="12" w:space="0" w:color="auto"/>
            </w:tcBorders>
            <w:hideMark/>
          </w:tcPr>
          <w:p w14:paraId="76C8EAA6" w14:textId="77777777" w:rsidR="001530C0" w:rsidRPr="00D26ED2" w:rsidRDefault="001530C0" w:rsidP="009A3B7E">
            <w:pPr>
              <w:pStyle w:val="Normln10"/>
              <w:rPr>
                <w:rFonts w:cs="Arial"/>
              </w:rPr>
            </w:pPr>
            <w:r w:rsidRPr="00D26ED2">
              <w:rPr>
                <w:rFonts w:cs="Arial"/>
              </w:rPr>
              <w:t>Termín</w:t>
            </w:r>
          </w:p>
        </w:tc>
        <w:tc>
          <w:tcPr>
            <w:tcW w:w="7797" w:type="dxa"/>
            <w:tcBorders>
              <w:top w:val="single" w:sz="4" w:space="0" w:color="auto"/>
              <w:left w:val="single" w:sz="12" w:space="0" w:color="auto"/>
              <w:bottom w:val="single" w:sz="12" w:space="0" w:color="auto"/>
              <w:right w:val="single" w:sz="12" w:space="0" w:color="auto"/>
            </w:tcBorders>
            <w:hideMark/>
          </w:tcPr>
          <w:p w14:paraId="14DEEA01" w14:textId="77777777" w:rsidR="001530C0" w:rsidRPr="00D26ED2" w:rsidRDefault="001530C0" w:rsidP="009A3B7E">
            <w:pPr>
              <w:pStyle w:val="Normln10"/>
              <w:spacing w:line="240" w:lineRule="auto"/>
              <w:rPr>
                <w:rFonts w:cs="Arial"/>
              </w:rPr>
            </w:pPr>
            <w:r w:rsidRPr="00D26ED2">
              <w:rPr>
                <w:rFonts w:cs="Arial"/>
              </w:rPr>
              <w:t>2022</w:t>
            </w:r>
          </w:p>
        </w:tc>
      </w:tr>
    </w:tbl>
    <w:p w14:paraId="62909BE1" w14:textId="132741A2" w:rsidR="001530C0" w:rsidRDefault="001530C0" w:rsidP="009A3B7E">
      <w:pPr>
        <w:pStyle w:val="Nadpis3"/>
        <w:jc w:val="both"/>
      </w:pPr>
      <w:bookmarkStart w:id="137" w:name="_Toc21589202"/>
      <w:r>
        <w:t>V</w:t>
      </w:r>
      <w:r w:rsidR="00F71C88">
        <w:t>8</w:t>
      </w:r>
      <w:r>
        <w:t xml:space="preserve"> </w:t>
      </w:r>
      <w:r w:rsidRPr="009C10B9">
        <w:t>Ustavení regionálních vodíkových platforem</w:t>
      </w:r>
      <w:bookmarkEnd w:id="137"/>
    </w:p>
    <w:tbl>
      <w:tblPr>
        <w:tblStyle w:val="Mkatabulky4"/>
        <w:tblpPr w:leftFromText="141" w:rightFromText="141" w:vertAnchor="text" w:horzAnchor="margin" w:tblpY="2"/>
        <w:tblW w:w="5244" w:type="pct"/>
        <w:tblInd w:w="0"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842"/>
        <w:gridCol w:w="7641"/>
      </w:tblGrid>
      <w:tr w:rsidR="001530C0" w:rsidRPr="008B2979" w14:paraId="32CDF9EF" w14:textId="77777777" w:rsidTr="003447F9">
        <w:trPr>
          <w:trHeight w:val="52"/>
        </w:trPr>
        <w:tc>
          <w:tcPr>
            <w:tcW w:w="5000" w:type="pct"/>
            <w:gridSpan w:val="2"/>
            <w:tcBorders>
              <w:bottom w:val="single" w:sz="12" w:space="0" w:color="auto"/>
            </w:tcBorders>
            <w:shd w:val="clear" w:color="auto" w:fill="548DD4"/>
          </w:tcPr>
          <w:p w14:paraId="60B8F64E" w14:textId="77777777" w:rsidR="001530C0" w:rsidRPr="008B2979" w:rsidRDefault="001530C0" w:rsidP="00B502A0">
            <w:pPr>
              <w:spacing w:before="60" w:after="60"/>
              <w:jc w:val="both"/>
              <w:rPr>
                <w:b/>
              </w:rPr>
            </w:pPr>
            <w:r>
              <w:rPr>
                <w:b/>
                <w:color w:val="FFFFFF" w:themeColor="background1"/>
              </w:rPr>
              <w:t>V</w:t>
            </w:r>
            <w:r w:rsidR="00F71C88">
              <w:rPr>
                <w:b/>
                <w:color w:val="FFFFFF" w:themeColor="background1"/>
              </w:rPr>
              <w:t>8</w:t>
            </w:r>
            <w:r>
              <w:rPr>
                <w:b/>
                <w:color w:val="FFFFFF" w:themeColor="background1"/>
              </w:rPr>
              <w:t xml:space="preserve"> </w:t>
            </w:r>
            <w:r w:rsidRPr="008B2979">
              <w:rPr>
                <w:b/>
                <w:color w:val="FFFFFF" w:themeColor="background1"/>
              </w:rPr>
              <w:t>Ustavení regionálních vodíkových platforem</w:t>
            </w:r>
          </w:p>
        </w:tc>
      </w:tr>
      <w:tr w:rsidR="00BD5A6B" w:rsidRPr="008B2979" w14:paraId="38532C89" w14:textId="77777777" w:rsidTr="003447F9">
        <w:trPr>
          <w:trHeight w:val="52"/>
        </w:trPr>
        <w:tc>
          <w:tcPr>
            <w:tcW w:w="971" w:type="pct"/>
            <w:tcBorders>
              <w:top w:val="single" w:sz="12" w:space="0" w:color="auto"/>
              <w:bottom w:val="single" w:sz="4" w:space="0" w:color="auto"/>
              <w:right w:val="single" w:sz="12" w:space="0" w:color="auto"/>
            </w:tcBorders>
          </w:tcPr>
          <w:p w14:paraId="22FA195F" w14:textId="77777777" w:rsidR="001530C0" w:rsidRPr="008B2979" w:rsidRDefault="001530C0" w:rsidP="009A3B7E">
            <w:pPr>
              <w:jc w:val="both"/>
            </w:pPr>
            <w:r w:rsidRPr="008B2979">
              <w:t>Návaznost na strategický cíl</w:t>
            </w:r>
          </w:p>
        </w:tc>
        <w:tc>
          <w:tcPr>
            <w:tcW w:w="4029" w:type="pct"/>
            <w:tcBorders>
              <w:top w:val="single" w:sz="12" w:space="0" w:color="auto"/>
              <w:left w:val="single" w:sz="12" w:space="0" w:color="auto"/>
              <w:bottom w:val="single" w:sz="4" w:space="0" w:color="auto"/>
            </w:tcBorders>
          </w:tcPr>
          <w:p w14:paraId="6FAC194A" w14:textId="52FA7A3F" w:rsidR="001530C0" w:rsidRPr="00BF2C37" w:rsidRDefault="008E3A56" w:rsidP="005A1247">
            <w:pPr>
              <w:rPr>
                <w:sz w:val="24"/>
              </w:rPr>
            </w:pPr>
            <w:r>
              <w:t xml:space="preserve"> Rozvoj mezinárodní spolupráce v</w:t>
            </w:r>
            <w:r w:rsidR="005A1247">
              <w:t> </w:t>
            </w:r>
            <w:r>
              <w:t>oblasti vodíkové mobility (kap. 4.3.3.)</w:t>
            </w:r>
          </w:p>
        </w:tc>
      </w:tr>
      <w:tr w:rsidR="00BD5A6B" w:rsidRPr="008B2979" w14:paraId="4A709323" w14:textId="77777777" w:rsidTr="003447F9">
        <w:trPr>
          <w:trHeight w:val="52"/>
        </w:trPr>
        <w:tc>
          <w:tcPr>
            <w:tcW w:w="971" w:type="pct"/>
            <w:tcBorders>
              <w:top w:val="single" w:sz="4" w:space="0" w:color="auto"/>
              <w:right w:val="single" w:sz="12" w:space="0" w:color="auto"/>
            </w:tcBorders>
          </w:tcPr>
          <w:p w14:paraId="69E058F6" w14:textId="77777777" w:rsidR="001530C0" w:rsidRPr="008B2979" w:rsidRDefault="001530C0" w:rsidP="009A3B7E">
            <w:pPr>
              <w:jc w:val="both"/>
            </w:pPr>
            <w:r w:rsidRPr="008B2979">
              <w:t xml:space="preserve">Cíl opatření </w:t>
            </w:r>
          </w:p>
        </w:tc>
        <w:tc>
          <w:tcPr>
            <w:tcW w:w="4029" w:type="pct"/>
            <w:tcBorders>
              <w:top w:val="single" w:sz="4" w:space="0" w:color="auto"/>
              <w:left w:val="single" w:sz="12" w:space="0" w:color="auto"/>
            </w:tcBorders>
          </w:tcPr>
          <w:p w14:paraId="5EC1C35C" w14:textId="59F39D80" w:rsidR="001530C0" w:rsidRPr="008B2979" w:rsidRDefault="001530C0" w:rsidP="005A1247">
            <w:pPr>
              <w:spacing w:before="60" w:after="60"/>
              <w:jc w:val="both"/>
            </w:pPr>
            <w:r w:rsidRPr="008B2979">
              <w:t>Cílem opatření je podpořit vznik vodíkových regionů a</w:t>
            </w:r>
            <w:r w:rsidR="005A1247">
              <w:t> </w:t>
            </w:r>
            <w:r w:rsidRPr="008B2979">
              <w:t>využití tzv. sector couplingu.</w:t>
            </w:r>
          </w:p>
        </w:tc>
      </w:tr>
      <w:tr w:rsidR="00BD5A6B" w:rsidRPr="008B2979" w14:paraId="71D062E7" w14:textId="77777777" w:rsidTr="003447F9">
        <w:trPr>
          <w:trHeight w:val="52"/>
        </w:trPr>
        <w:tc>
          <w:tcPr>
            <w:tcW w:w="971" w:type="pct"/>
            <w:tcBorders>
              <w:right w:val="single" w:sz="12" w:space="0" w:color="auto"/>
            </w:tcBorders>
          </w:tcPr>
          <w:p w14:paraId="5BC98313" w14:textId="77777777" w:rsidR="001530C0" w:rsidRPr="008B2979" w:rsidRDefault="001530C0" w:rsidP="009A3B7E">
            <w:pPr>
              <w:jc w:val="both"/>
            </w:pPr>
            <w:r w:rsidRPr="008B2979">
              <w:t>Popis opatření</w:t>
            </w:r>
          </w:p>
        </w:tc>
        <w:tc>
          <w:tcPr>
            <w:tcW w:w="4029" w:type="pct"/>
            <w:tcBorders>
              <w:left w:val="single" w:sz="12" w:space="0" w:color="auto"/>
            </w:tcBorders>
          </w:tcPr>
          <w:p w14:paraId="5CB6562E" w14:textId="2C29032E" w:rsidR="001530C0" w:rsidRPr="008B2979" w:rsidRDefault="001530C0" w:rsidP="00B502A0">
            <w:pPr>
              <w:spacing w:before="60" w:after="60"/>
              <w:jc w:val="both"/>
            </w:pPr>
            <w:r w:rsidRPr="008B2979">
              <w:t>Pod záštitou HYTEP ve spolupráci s</w:t>
            </w:r>
            <w:r w:rsidR="005A1247">
              <w:t> </w:t>
            </w:r>
            <w:r w:rsidRPr="008B2979">
              <w:t>MPO, MMR a</w:t>
            </w:r>
            <w:r w:rsidR="005A1247">
              <w:t> </w:t>
            </w:r>
            <w:r w:rsidRPr="008B2979">
              <w:t>MD ustanovit konkrétní regionální vodíkové platformy (kopírující regiony nebo napříč regiony), které by konsolidovaly veškeré typy vodíkové přepravy a</w:t>
            </w:r>
            <w:r w:rsidR="005A1247">
              <w:t> </w:t>
            </w:r>
            <w:r w:rsidRPr="008B2979">
              <w:t>podporovaly provázání mobility s</w:t>
            </w:r>
            <w:r w:rsidR="005A1247">
              <w:t> </w:t>
            </w:r>
            <w:r w:rsidRPr="008B2979">
              <w:t>energetikou a</w:t>
            </w:r>
            <w:r w:rsidR="005A1247">
              <w:t> </w:t>
            </w:r>
            <w:r w:rsidRPr="008B2979">
              <w:t>dalšími odvětvími. V</w:t>
            </w:r>
            <w:r w:rsidR="005A1247">
              <w:t> </w:t>
            </w:r>
            <w:r w:rsidRPr="008B2979">
              <w:t>rá</w:t>
            </w:r>
            <w:r>
              <w:t>mci ustanovení platforem by měly</w:t>
            </w:r>
            <w:r w:rsidRPr="008B2979">
              <w:t xml:space="preserve"> být též připraveny dotace </w:t>
            </w:r>
            <w:r>
              <w:t xml:space="preserve">či jiné formy finanční podpory </w:t>
            </w:r>
            <w:r w:rsidRPr="008B2979">
              <w:t>pro rozvoj vodíkových regionů.</w:t>
            </w:r>
          </w:p>
          <w:p w14:paraId="5A14FA3A" w14:textId="45E03CF7" w:rsidR="001530C0" w:rsidRPr="008B2979" w:rsidRDefault="001530C0" w:rsidP="005A1247">
            <w:pPr>
              <w:spacing w:before="60" w:after="60"/>
              <w:jc w:val="both"/>
            </w:pPr>
            <w:r w:rsidRPr="008B2979">
              <w:t>Pokračovat v</w:t>
            </w:r>
            <w:r w:rsidR="005A1247">
              <w:t> </w:t>
            </w:r>
            <w:r w:rsidRPr="008B2979">
              <w:t>nastavené spolupráci s</w:t>
            </w:r>
            <w:r w:rsidR="005A1247">
              <w:t> </w:t>
            </w:r>
            <w:r w:rsidRPr="008B2979">
              <w:t xml:space="preserve">Německem </w:t>
            </w:r>
            <w:r>
              <w:t>a</w:t>
            </w:r>
            <w:r w:rsidR="005A1247">
              <w:t> </w:t>
            </w:r>
            <w:r>
              <w:t xml:space="preserve">rozvíjet další zahraniční vztahy </w:t>
            </w:r>
            <w:r w:rsidRPr="008B2979">
              <w:t>v</w:t>
            </w:r>
            <w:r w:rsidR="005A1247">
              <w:t> </w:t>
            </w:r>
            <w:r w:rsidRPr="008B2979">
              <w:t>rámci projektu „Vodíkového údolí“.</w:t>
            </w:r>
          </w:p>
        </w:tc>
      </w:tr>
      <w:tr w:rsidR="00BD5A6B" w:rsidRPr="008B2979" w14:paraId="39420939" w14:textId="77777777" w:rsidTr="003447F9">
        <w:trPr>
          <w:trHeight w:val="52"/>
        </w:trPr>
        <w:tc>
          <w:tcPr>
            <w:tcW w:w="971" w:type="pct"/>
            <w:tcBorders>
              <w:right w:val="single" w:sz="12" w:space="0" w:color="auto"/>
            </w:tcBorders>
          </w:tcPr>
          <w:p w14:paraId="626F1DF8" w14:textId="0FA88061" w:rsidR="001530C0" w:rsidRPr="008B2979" w:rsidRDefault="001530C0" w:rsidP="005A1247">
            <w:pPr>
              <w:jc w:val="both"/>
            </w:pPr>
            <w:r w:rsidRPr="008B2979">
              <w:t>Příklad z</w:t>
            </w:r>
            <w:r w:rsidR="005A1247">
              <w:t> </w:t>
            </w:r>
            <w:r w:rsidRPr="008B2979">
              <w:t>praxe</w:t>
            </w:r>
          </w:p>
        </w:tc>
        <w:tc>
          <w:tcPr>
            <w:tcW w:w="4029" w:type="pct"/>
            <w:tcBorders>
              <w:left w:val="single" w:sz="12" w:space="0" w:color="auto"/>
            </w:tcBorders>
          </w:tcPr>
          <w:p w14:paraId="5BDD9C37" w14:textId="7EF5C267" w:rsidR="001530C0" w:rsidRPr="008B2979" w:rsidRDefault="001530C0" w:rsidP="00B502A0">
            <w:pPr>
              <w:spacing w:before="60" w:after="60"/>
              <w:jc w:val="both"/>
            </w:pPr>
            <w:r w:rsidRPr="008B2979">
              <w:t>Moravskoslezský kraj – podepsané memorandum s</w:t>
            </w:r>
            <w:r w:rsidR="005A1247">
              <w:t> </w:t>
            </w:r>
            <w:r w:rsidRPr="008B2979">
              <w:t xml:space="preserve">městem Ostrava </w:t>
            </w:r>
            <w:r>
              <w:t>a</w:t>
            </w:r>
            <w:r w:rsidR="005A1247">
              <w:t> </w:t>
            </w:r>
            <w:r>
              <w:t xml:space="preserve">společností Vítkovice Cylinders, a.s. </w:t>
            </w:r>
            <w:r w:rsidRPr="008B2979">
              <w:t xml:space="preserve">ohledně podpory </w:t>
            </w:r>
            <w:r>
              <w:t xml:space="preserve">rozvoje </w:t>
            </w:r>
            <w:r w:rsidRPr="008B2979">
              <w:t>vodíkové mobility</w:t>
            </w:r>
            <w:r>
              <w:t xml:space="preserve"> v</w:t>
            </w:r>
            <w:r w:rsidR="005A1247">
              <w:t> </w:t>
            </w:r>
            <w:r>
              <w:t>regionu</w:t>
            </w:r>
          </w:p>
          <w:p w14:paraId="5FBEE41D" w14:textId="77777777" w:rsidR="001530C0" w:rsidRPr="008B2979" w:rsidRDefault="001530C0" w:rsidP="00B502A0">
            <w:pPr>
              <w:spacing w:before="60" w:after="60"/>
              <w:jc w:val="both"/>
            </w:pPr>
            <w:r w:rsidRPr="008B2979">
              <w:t xml:space="preserve">Dánsko – Hydrogen valley </w:t>
            </w:r>
          </w:p>
        </w:tc>
      </w:tr>
      <w:tr w:rsidR="00BD5A6B" w:rsidRPr="008B2979" w14:paraId="50984A53" w14:textId="77777777" w:rsidTr="003447F9">
        <w:trPr>
          <w:trHeight w:val="52"/>
        </w:trPr>
        <w:tc>
          <w:tcPr>
            <w:tcW w:w="971" w:type="pct"/>
            <w:tcBorders>
              <w:right w:val="single" w:sz="12" w:space="0" w:color="auto"/>
            </w:tcBorders>
          </w:tcPr>
          <w:p w14:paraId="35689DA2" w14:textId="77777777" w:rsidR="001530C0" w:rsidRPr="008B2979" w:rsidRDefault="001530C0" w:rsidP="009A3B7E">
            <w:pPr>
              <w:jc w:val="both"/>
            </w:pPr>
            <w:r w:rsidRPr="008B2979">
              <w:t>Rozpočtový dopad / financování</w:t>
            </w:r>
          </w:p>
        </w:tc>
        <w:tc>
          <w:tcPr>
            <w:tcW w:w="4029" w:type="pct"/>
            <w:tcBorders>
              <w:left w:val="single" w:sz="12" w:space="0" w:color="auto"/>
            </w:tcBorders>
          </w:tcPr>
          <w:p w14:paraId="09742619" w14:textId="087E9D65" w:rsidR="001530C0" w:rsidRPr="008B2979" w:rsidRDefault="001530C0" w:rsidP="00B502A0">
            <w:pPr>
              <w:spacing w:before="60" w:after="60"/>
              <w:jc w:val="both"/>
            </w:pPr>
            <w:r w:rsidRPr="008B2979">
              <w:t>Rozpočty státu,</w:t>
            </w:r>
            <w:r>
              <w:t xml:space="preserve"> krajů,</w:t>
            </w:r>
            <w:r w:rsidRPr="008B2979">
              <w:t xml:space="preserve"> měst a</w:t>
            </w:r>
            <w:r w:rsidR="005A1247">
              <w:t> </w:t>
            </w:r>
            <w:r w:rsidRPr="008B2979">
              <w:t>obcí dle jejich investičních plánů.</w:t>
            </w:r>
          </w:p>
          <w:p w14:paraId="47E6432E" w14:textId="77777777" w:rsidR="001530C0" w:rsidRPr="008B2979" w:rsidRDefault="001530C0" w:rsidP="00B502A0">
            <w:pPr>
              <w:spacing w:before="60" w:after="60"/>
              <w:jc w:val="both"/>
            </w:pPr>
            <w:r w:rsidRPr="008B2979">
              <w:t>IROP</w:t>
            </w:r>
          </w:p>
          <w:p w14:paraId="67AC1B18" w14:textId="77777777" w:rsidR="001530C0" w:rsidRPr="008B2979" w:rsidRDefault="00042582" w:rsidP="00B502A0">
            <w:pPr>
              <w:spacing w:before="60" w:after="60"/>
              <w:jc w:val="both"/>
            </w:pPr>
            <w:r>
              <w:t>OP TAK</w:t>
            </w:r>
          </w:p>
        </w:tc>
      </w:tr>
      <w:tr w:rsidR="00BD5A6B" w:rsidRPr="008B2979" w14:paraId="1B1BE345" w14:textId="77777777" w:rsidTr="003447F9">
        <w:trPr>
          <w:trHeight w:val="52"/>
        </w:trPr>
        <w:tc>
          <w:tcPr>
            <w:tcW w:w="971" w:type="pct"/>
            <w:tcBorders>
              <w:right w:val="single" w:sz="12" w:space="0" w:color="auto"/>
            </w:tcBorders>
          </w:tcPr>
          <w:p w14:paraId="7D682D7D" w14:textId="77777777" w:rsidR="001530C0" w:rsidRPr="008B2979" w:rsidRDefault="001530C0" w:rsidP="009A3B7E">
            <w:pPr>
              <w:jc w:val="both"/>
            </w:pPr>
            <w:r w:rsidRPr="008B2979">
              <w:t>Odpovědnost</w:t>
            </w:r>
          </w:p>
        </w:tc>
        <w:tc>
          <w:tcPr>
            <w:tcW w:w="4029" w:type="pct"/>
            <w:tcBorders>
              <w:left w:val="single" w:sz="12" w:space="0" w:color="auto"/>
            </w:tcBorders>
          </w:tcPr>
          <w:p w14:paraId="20A5FE5C" w14:textId="5D6EAFFE" w:rsidR="001530C0" w:rsidRPr="008B2979" w:rsidRDefault="001530C0" w:rsidP="005A1247">
            <w:pPr>
              <w:spacing w:before="60" w:after="60"/>
              <w:jc w:val="both"/>
            </w:pPr>
            <w:r w:rsidRPr="008B2979">
              <w:t>HYTEP</w:t>
            </w:r>
            <w:r>
              <w:t xml:space="preserve"> spolu s</w:t>
            </w:r>
            <w:r w:rsidR="005A1247">
              <w:t> </w:t>
            </w:r>
            <w:r>
              <w:t>příslušným krajem</w:t>
            </w:r>
          </w:p>
        </w:tc>
      </w:tr>
      <w:tr w:rsidR="00BD5A6B" w:rsidRPr="008B2979" w14:paraId="0A5511B1" w14:textId="77777777" w:rsidTr="003447F9">
        <w:trPr>
          <w:trHeight w:val="52"/>
        </w:trPr>
        <w:tc>
          <w:tcPr>
            <w:tcW w:w="971" w:type="pct"/>
            <w:tcBorders>
              <w:right w:val="single" w:sz="12" w:space="0" w:color="auto"/>
            </w:tcBorders>
          </w:tcPr>
          <w:p w14:paraId="17EA8B5C" w14:textId="77777777" w:rsidR="001530C0" w:rsidRPr="008B2979" w:rsidRDefault="001530C0" w:rsidP="009A3B7E">
            <w:pPr>
              <w:jc w:val="both"/>
            </w:pPr>
            <w:r w:rsidRPr="008B2979">
              <w:t>Spolupráce</w:t>
            </w:r>
          </w:p>
        </w:tc>
        <w:tc>
          <w:tcPr>
            <w:tcW w:w="4029" w:type="pct"/>
            <w:tcBorders>
              <w:left w:val="single" w:sz="12" w:space="0" w:color="auto"/>
            </w:tcBorders>
          </w:tcPr>
          <w:p w14:paraId="1BF1123B" w14:textId="2FAB901B" w:rsidR="001530C0" w:rsidRPr="008B2979" w:rsidRDefault="001530C0" w:rsidP="005A1247">
            <w:pPr>
              <w:spacing w:before="60" w:after="60"/>
              <w:jc w:val="both"/>
            </w:pPr>
            <w:r w:rsidRPr="008B2979">
              <w:t>MPO, MMR, MD</w:t>
            </w:r>
            <w:r>
              <w:t>, kraje a</w:t>
            </w:r>
            <w:r w:rsidR="005A1247">
              <w:t> </w:t>
            </w:r>
            <w:r>
              <w:t>samosprávné celky</w:t>
            </w:r>
          </w:p>
        </w:tc>
      </w:tr>
      <w:tr w:rsidR="00BD5A6B" w:rsidRPr="008B2979" w14:paraId="1C663396" w14:textId="77777777" w:rsidTr="003447F9">
        <w:trPr>
          <w:trHeight w:val="52"/>
        </w:trPr>
        <w:tc>
          <w:tcPr>
            <w:tcW w:w="971" w:type="pct"/>
            <w:tcBorders>
              <w:right w:val="single" w:sz="12" w:space="0" w:color="auto"/>
            </w:tcBorders>
          </w:tcPr>
          <w:p w14:paraId="7C9465E0" w14:textId="77777777" w:rsidR="001530C0" w:rsidRPr="008B2979" w:rsidRDefault="001530C0" w:rsidP="009A3B7E">
            <w:pPr>
              <w:jc w:val="both"/>
            </w:pPr>
            <w:r w:rsidRPr="008B2979">
              <w:t>Termín</w:t>
            </w:r>
          </w:p>
        </w:tc>
        <w:tc>
          <w:tcPr>
            <w:tcW w:w="4029" w:type="pct"/>
            <w:tcBorders>
              <w:left w:val="single" w:sz="12" w:space="0" w:color="auto"/>
              <w:bottom w:val="single" w:sz="12" w:space="0" w:color="auto"/>
            </w:tcBorders>
          </w:tcPr>
          <w:p w14:paraId="64153384" w14:textId="77777777" w:rsidR="001530C0" w:rsidRPr="008B2979" w:rsidRDefault="001530C0" w:rsidP="00B502A0">
            <w:pPr>
              <w:spacing w:before="60" w:after="60"/>
              <w:jc w:val="both"/>
            </w:pPr>
            <w:r w:rsidRPr="008B2979">
              <w:t>Průběžně od roku 20</w:t>
            </w:r>
            <w:r>
              <w:t>20</w:t>
            </w:r>
          </w:p>
        </w:tc>
      </w:tr>
    </w:tbl>
    <w:p w14:paraId="17D5B2CC" w14:textId="77777777" w:rsidR="001530C0" w:rsidRDefault="001530C0" w:rsidP="009A3B7E">
      <w:pPr>
        <w:jc w:val="both"/>
      </w:pPr>
    </w:p>
    <w:p w14:paraId="7C390383" w14:textId="77777777" w:rsidR="001530C0" w:rsidRDefault="001530C0" w:rsidP="009A3B7E">
      <w:pPr>
        <w:spacing w:before="0" w:after="0"/>
        <w:jc w:val="both"/>
      </w:pPr>
      <w:r>
        <w:br w:type="page"/>
      </w:r>
    </w:p>
    <w:p w14:paraId="3248BCC4" w14:textId="75EC99C5" w:rsidR="001530C0" w:rsidRDefault="001530C0" w:rsidP="009A3B7E">
      <w:pPr>
        <w:pStyle w:val="Nadpis2"/>
        <w:jc w:val="both"/>
      </w:pPr>
      <w:bookmarkStart w:id="138" w:name="_Toc23862014"/>
      <w:bookmarkStart w:id="139" w:name="_Toc21589203"/>
      <w:bookmarkStart w:id="140" w:name="_Toc34387161"/>
      <w:bookmarkEnd w:id="138"/>
      <w:r w:rsidRPr="009C10B9">
        <w:t>Opatření k</w:t>
      </w:r>
      <w:r w:rsidR="005A1247">
        <w:t> </w:t>
      </w:r>
      <w:r w:rsidRPr="009C10B9">
        <w:t>implementaci NAP CM</w:t>
      </w:r>
      <w:bookmarkEnd w:id="139"/>
      <w:bookmarkEnd w:id="140"/>
    </w:p>
    <w:p w14:paraId="2B7E6E91" w14:textId="354FFB17" w:rsidR="001530C0" w:rsidRDefault="0035067A" w:rsidP="009A3B7E">
      <w:pPr>
        <w:pStyle w:val="Nadpis3"/>
        <w:jc w:val="both"/>
      </w:pPr>
      <w:bookmarkStart w:id="141" w:name="_Toc21589204"/>
      <w:r>
        <w:t>S30</w:t>
      </w:r>
      <w:r w:rsidR="001530C0">
        <w:t xml:space="preserve"> </w:t>
      </w:r>
      <w:r w:rsidR="001530C0" w:rsidRPr="009C10B9">
        <w:t>Průběžné sledování a</w:t>
      </w:r>
      <w:r w:rsidR="005A1247">
        <w:t> </w:t>
      </w:r>
      <w:r w:rsidR="001530C0" w:rsidRPr="009C10B9">
        <w:t>vyhodnocování plnění opatření, které budou navrženy rámci NAP CM</w:t>
      </w:r>
      <w:bookmarkEnd w:id="141"/>
    </w:p>
    <w:tbl>
      <w:tblPr>
        <w:tblW w:w="9624" w:type="dxa"/>
        <w:jc w:val="center"/>
        <w:tblCellMar>
          <w:left w:w="0" w:type="dxa"/>
          <w:right w:w="0" w:type="dxa"/>
        </w:tblCellMar>
        <w:tblLook w:val="00A0" w:firstRow="1" w:lastRow="0" w:firstColumn="1" w:lastColumn="0" w:noHBand="0" w:noVBand="0"/>
      </w:tblPr>
      <w:tblGrid>
        <w:gridCol w:w="1712"/>
        <w:gridCol w:w="7912"/>
      </w:tblGrid>
      <w:tr w:rsidR="001530C0" w:rsidRPr="00D5678F" w14:paraId="24150A50" w14:textId="77777777" w:rsidTr="003447F9">
        <w:trPr>
          <w:cantSplit/>
          <w:jc w:val="center"/>
        </w:trPr>
        <w:tc>
          <w:tcPr>
            <w:tcW w:w="9624" w:type="dxa"/>
            <w:gridSpan w:val="2"/>
            <w:tcBorders>
              <w:top w:val="single" w:sz="12" w:space="0" w:color="auto"/>
              <w:left w:val="single" w:sz="12" w:space="0" w:color="auto"/>
              <w:bottom w:val="single" w:sz="12" w:space="0" w:color="auto"/>
              <w:right w:val="single" w:sz="12" w:space="0" w:color="auto"/>
            </w:tcBorders>
            <w:shd w:val="clear" w:color="auto" w:fill="548DD4" w:themeFill="text2" w:themeFillTint="99"/>
            <w:tcMar>
              <w:top w:w="0" w:type="dxa"/>
              <w:left w:w="70" w:type="dxa"/>
              <w:bottom w:w="0" w:type="dxa"/>
              <w:right w:w="70" w:type="dxa"/>
            </w:tcMar>
          </w:tcPr>
          <w:p w14:paraId="2C646F78" w14:textId="04AB89A6" w:rsidR="001530C0" w:rsidRPr="00D5678F" w:rsidRDefault="0035067A" w:rsidP="005A1247">
            <w:pPr>
              <w:pStyle w:val="Titulek"/>
              <w:keepNext/>
              <w:spacing w:before="60" w:after="60"/>
              <w:jc w:val="both"/>
              <w:rPr>
                <w:bCs w:val="0"/>
              </w:rPr>
            </w:pPr>
            <w:r>
              <w:rPr>
                <w:rFonts w:cs="Arial"/>
                <w:bCs w:val="0"/>
                <w:color w:val="FFFFFF" w:themeColor="background1"/>
                <w:szCs w:val="22"/>
              </w:rPr>
              <w:t>S30</w:t>
            </w:r>
            <w:r w:rsidR="001530C0" w:rsidRPr="009C10B9">
              <w:rPr>
                <w:rFonts w:cs="Arial"/>
                <w:bCs w:val="0"/>
                <w:color w:val="FFFFFF" w:themeColor="background1"/>
                <w:szCs w:val="22"/>
              </w:rPr>
              <w:t xml:space="preserve"> P</w:t>
            </w:r>
            <w:r w:rsidR="001530C0" w:rsidRPr="009C10B9">
              <w:rPr>
                <w:bCs w:val="0"/>
                <w:color w:val="FFFFFF" w:themeColor="background1"/>
              </w:rPr>
              <w:t>růběžné sledování a</w:t>
            </w:r>
            <w:r w:rsidR="005A1247">
              <w:rPr>
                <w:bCs w:val="0"/>
                <w:color w:val="FFFFFF" w:themeColor="background1"/>
              </w:rPr>
              <w:t> </w:t>
            </w:r>
            <w:r w:rsidR="001530C0" w:rsidRPr="009C10B9">
              <w:rPr>
                <w:bCs w:val="0"/>
                <w:color w:val="FFFFFF" w:themeColor="background1"/>
              </w:rPr>
              <w:t>vyhodnocování plnění opatření, která budou navržena rámci NAP CM</w:t>
            </w:r>
          </w:p>
        </w:tc>
      </w:tr>
      <w:tr w:rsidR="001530C0" w:rsidRPr="00D5678F" w14:paraId="6BD4CC41" w14:textId="77777777" w:rsidTr="003447F9">
        <w:trPr>
          <w:cantSplit/>
          <w:jc w:val="center"/>
        </w:trPr>
        <w:tc>
          <w:tcPr>
            <w:tcW w:w="1712" w:type="dxa"/>
            <w:tcBorders>
              <w:top w:val="nil"/>
              <w:left w:val="single" w:sz="12" w:space="0" w:color="auto"/>
              <w:bottom w:val="single" w:sz="4" w:space="0" w:color="auto"/>
              <w:right w:val="single" w:sz="12" w:space="0" w:color="auto"/>
            </w:tcBorders>
            <w:tcMar>
              <w:top w:w="0" w:type="dxa"/>
              <w:left w:w="70" w:type="dxa"/>
              <w:bottom w:w="0" w:type="dxa"/>
              <w:right w:w="70" w:type="dxa"/>
            </w:tcMar>
          </w:tcPr>
          <w:p w14:paraId="56396FFC" w14:textId="77777777" w:rsidR="001530C0" w:rsidRPr="009C10B9" w:rsidRDefault="001530C0" w:rsidP="009A3B7E">
            <w:pPr>
              <w:spacing w:before="60" w:after="60"/>
              <w:jc w:val="both"/>
              <w:rPr>
                <w:rFonts w:cs="Arial"/>
                <w:szCs w:val="20"/>
              </w:rPr>
            </w:pPr>
            <w:r w:rsidRPr="009C10B9">
              <w:rPr>
                <w:rFonts w:cs="Arial"/>
                <w:szCs w:val="20"/>
              </w:rPr>
              <w:t>Návaznost na strategický cíl</w:t>
            </w:r>
          </w:p>
        </w:tc>
        <w:tc>
          <w:tcPr>
            <w:tcW w:w="7912" w:type="dxa"/>
            <w:tcBorders>
              <w:top w:val="nil"/>
              <w:left w:val="nil"/>
              <w:bottom w:val="single" w:sz="4" w:space="0" w:color="auto"/>
              <w:right w:val="single" w:sz="12" w:space="0" w:color="auto"/>
            </w:tcBorders>
            <w:tcMar>
              <w:top w:w="0" w:type="dxa"/>
              <w:left w:w="70" w:type="dxa"/>
              <w:bottom w:w="0" w:type="dxa"/>
              <w:right w:w="70" w:type="dxa"/>
            </w:tcMar>
          </w:tcPr>
          <w:p w14:paraId="7489F6FA" w14:textId="0ED90077" w:rsidR="001530C0" w:rsidRPr="009C10B9" w:rsidRDefault="001530C0" w:rsidP="005A1247">
            <w:pPr>
              <w:spacing w:before="60" w:after="60"/>
              <w:jc w:val="both"/>
              <w:rPr>
                <w:rFonts w:cs="Arial"/>
                <w:szCs w:val="20"/>
              </w:rPr>
            </w:pPr>
            <w:r w:rsidRPr="00546D75">
              <w:rPr>
                <w:szCs w:val="20"/>
              </w:rPr>
              <w:t>Týká se všech cílů uvedených v</w:t>
            </w:r>
            <w:r w:rsidR="005A1247">
              <w:rPr>
                <w:szCs w:val="20"/>
              </w:rPr>
              <w:t> </w:t>
            </w:r>
            <w:r w:rsidRPr="00546D75">
              <w:rPr>
                <w:szCs w:val="20"/>
              </w:rPr>
              <w:t>NAP CM</w:t>
            </w:r>
            <w:r w:rsidRPr="009C10B9">
              <w:rPr>
                <w:szCs w:val="20"/>
              </w:rPr>
              <w:t xml:space="preserve"> </w:t>
            </w:r>
          </w:p>
        </w:tc>
      </w:tr>
      <w:tr w:rsidR="001530C0" w:rsidRPr="00D5678F" w14:paraId="6E6320A5" w14:textId="77777777" w:rsidTr="003447F9">
        <w:trPr>
          <w:cantSplit/>
          <w:jc w:val="center"/>
        </w:trPr>
        <w:tc>
          <w:tcPr>
            <w:tcW w:w="1712"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DACC822" w14:textId="77777777" w:rsidR="001530C0" w:rsidRPr="009C10B9" w:rsidRDefault="001530C0" w:rsidP="009A3B7E">
            <w:pPr>
              <w:spacing w:before="60" w:after="60"/>
              <w:jc w:val="both"/>
              <w:rPr>
                <w:rFonts w:cs="Arial"/>
                <w:szCs w:val="20"/>
              </w:rPr>
            </w:pPr>
            <w:r w:rsidRPr="009C10B9">
              <w:rPr>
                <w:rFonts w:cs="Arial"/>
                <w:szCs w:val="20"/>
              </w:rPr>
              <w:t>Cíl opatření</w:t>
            </w:r>
          </w:p>
        </w:tc>
        <w:tc>
          <w:tcPr>
            <w:tcW w:w="7912"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8869731" w14:textId="5AEA3843" w:rsidR="001530C0" w:rsidRPr="009C10B9" w:rsidRDefault="001530C0" w:rsidP="005A1247">
            <w:pPr>
              <w:spacing w:before="60" w:after="60"/>
              <w:jc w:val="both"/>
              <w:rPr>
                <w:rFonts w:cs="Arial"/>
                <w:szCs w:val="20"/>
              </w:rPr>
            </w:pPr>
            <w:r w:rsidRPr="009C10B9">
              <w:rPr>
                <w:rFonts w:cs="Arial"/>
                <w:szCs w:val="20"/>
              </w:rPr>
              <w:t xml:space="preserve">Vyhodnocování naplňování </w:t>
            </w:r>
            <w:r w:rsidRPr="009C10B9">
              <w:rPr>
                <w:szCs w:val="20"/>
              </w:rPr>
              <w:t>NAP CM a</w:t>
            </w:r>
            <w:r w:rsidR="005A1247">
              <w:rPr>
                <w:szCs w:val="20"/>
              </w:rPr>
              <w:t> </w:t>
            </w:r>
            <w:r w:rsidRPr="009C10B9">
              <w:rPr>
                <w:szCs w:val="20"/>
              </w:rPr>
              <w:t>jeho aktualizace</w:t>
            </w:r>
          </w:p>
        </w:tc>
      </w:tr>
      <w:tr w:rsidR="001530C0" w:rsidRPr="00D5678F" w14:paraId="37D185DF" w14:textId="77777777" w:rsidTr="003447F9">
        <w:trPr>
          <w:cantSplit/>
          <w:jc w:val="center"/>
        </w:trPr>
        <w:tc>
          <w:tcPr>
            <w:tcW w:w="1712"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BE83EB8" w14:textId="77777777" w:rsidR="001530C0" w:rsidRPr="009C10B9" w:rsidRDefault="001530C0" w:rsidP="009A3B7E">
            <w:pPr>
              <w:spacing w:before="60" w:after="60"/>
              <w:jc w:val="both"/>
              <w:rPr>
                <w:rFonts w:cs="Arial"/>
                <w:szCs w:val="20"/>
              </w:rPr>
            </w:pPr>
            <w:r w:rsidRPr="009C10B9">
              <w:rPr>
                <w:rFonts w:cs="Arial"/>
                <w:szCs w:val="20"/>
              </w:rPr>
              <w:t>Popis opatření</w:t>
            </w:r>
          </w:p>
        </w:tc>
        <w:tc>
          <w:tcPr>
            <w:tcW w:w="7912"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47BAFE85" w14:textId="6927538F" w:rsidR="001530C0" w:rsidRPr="009C10B9" w:rsidRDefault="001530C0" w:rsidP="009A3B7E">
            <w:pPr>
              <w:spacing w:before="60" w:after="60"/>
              <w:jc w:val="both"/>
              <w:rPr>
                <w:szCs w:val="20"/>
              </w:rPr>
            </w:pPr>
            <w:r w:rsidRPr="009C10B9">
              <w:rPr>
                <w:szCs w:val="22"/>
              </w:rPr>
              <w:t>V zájmu zajištění pravidelné informovanosti o</w:t>
            </w:r>
            <w:r w:rsidR="005A1247">
              <w:rPr>
                <w:szCs w:val="22"/>
              </w:rPr>
              <w:t> </w:t>
            </w:r>
            <w:r w:rsidRPr="009C10B9">
              <w:rPr>
                <w:szCs w:val="22"/>
              </w:rPr>
              <w:t xml:space="preserve">aktuálním stavu implementace navrhovaných opatření NAP CM, bude pod vedením MPO zřízena pracovní skupina se zapojením relevantních subjektů. Ta by měla být rovněž platformou pro projednání jak </w:t>
            </w:r>
            <w:r w:rsidRPr="009C10B9">
              <w:rPr>
                <w:szCs w:val="20"/>
              </w:rPr>
              <w:t xml:space="preserve">případné modifikace navrhovaných opatření, tak </w:t>
            </w:r>
            <w:r w:rsidRPr="009C10B9">
              <w:rPr>
                <w:szCs w:val="22"/>
              </w:rPr>
              <w:t>nově navrhovaných opatření s</w:t>
            </w:r>
            <w:r w:rsidR="005A1247">
              <w:rPr>
                <w:szCs w:val="22"/>
              </w:rPr>
              <w:t> </w:t>
            </w:r>
            <w:r w:rsidRPr="009C10B9">
              <w:rPr>
                <w:szCs w:val="22"/>
              </w:rPr>
              <w:t xml:space="preserve">ohledem na </w:t>
            </w:r>
            <w:r w:rsidRPr="009C10B9">
              <w:rPr>
                <w:szCs w:val="20"/>
              </w:rPr>
              <w:t>nově vzniklé okolnosti a</w:t>
            </w:r>
            <w:r w:rsidR="005A1247">
              <w:rPr>
                <w:szCs w:val="20"/>
              </w:rPr>
              <w:t> </w:t>
            </w:r>
            <w:r w:rsidRPr="009C10B9">
              <w:rPr>
                <w:szCs w:val="20"/>
              </w:rPr>
              <w:t>dopady již přijatých opatření.</w:t>
            </w:r>
          </w:p>
          <w:p w14:paraId="6BC320E3" w14:textId="70CA4E7D" w:rsidR="001530C0" w:rsidRPr="009C10B9" w:rsidRDefault="001530C0" w:rsidP="005A1247">
            <w:pPr>
              <w:spacing w:before="60" w:after="60"/>
              <w:jc w:val="both"/>
              <w:rPr>
                <w:szCs w:val="22"/>
              </w:rPr>
            </w:pPr>
            <w:r w:rsidRPr="009C10B9">
              <w:rPr>
                <w:szCs w:val="20"/>
              </w:rPr>
              <w:t>Navržený proces zároveň umožní naplňovat povinnosti vyplývající z</w:t>
            </w:r>
            <w:r w:rsidR="005A1247">
              <w:rPr>
                <w:szCs w:val="20"/>
              </w:rPr>
              <w:t> </w:t>
            </w:r>
            <w:r w:rsidRPr="009C10B9">
              <w:rPr>
                <w:szCs w:val="20"/>
              </w:rPr>
              <w:t>čl. 10 směrnice 2014/94/EU, pokud jde o</w:t>
            </w:r>
            <w:r w:rsidR="005A1247">
              <w:rPr>
                <w:szCs w:val="20"/>
              </w:rPr>
              <w:t> </w:t>
            </w:r>
            <w:r w:rsidRPr="009C10B9">
              <w:rPr>
                <w:szCs w:val="20"/>
              </w:rPr>
              <w:t>podávání pravidelných zpráv o</w:t>
            </w:r>
            <w:r w:rsidR="005A1247">
              <w:rPr>
                <w:szCs w:val="20"/>
              </w:rPr>
              <w:t> </w:t>
            </w:r>
            <w:r w:rsidRPr="009C10B9">
              <w:rPr>
                <w:szCs w:val="20"/>
              </w:rPr>
              <w:t xml:space="preserve">provádění vnitrostátního rámce politiky. </w:t>
            </w:r>
          </w:p>
        </w:tc>
      </w:tr>
      <w:tr w:rsidR="001530C0" w:rsidRPr="00D5678F" w14:paraId="275747C1" w14:textId="77777777" w:rsidTr="003447F9">
        <w:trPr>
          <w:cantSplit/>
          <w:jc w:val="center"/>
        </w:trPr>
        <w:tc>
          <w:tcPr>
            <w:tcW w:w="1712"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7C099AF1" w14:textId="77777777" w:rsidR="001530C0" w:rsidRPr="009C10B9" w:rsidRDefault="001530C0" w:rsidP="009A3B7E">
            <w:pPr>
              <w:spacing w:before="60" w:after="60"/>
              <w:jc w:val="both"/>
              <w:rPr>
                <w:rFonts w:cs="Arial"/>
                <w:szCs w:val="20"/>
              </w:rPr>
            </w:pPr>
            <w:r w:rsidRPr="009C10B9">
              <w:rPr>
                <w:rFonts w:cs="Arial"/>
                <w:szCs w:val="20"/>
              </w:rPr>
              <w:t>Odpovědnost</w:t>
            </w:r>
          </w:p>
        </w:tc>
        <w:tc>
          <w:tcPr>
            <w:tcW w:w="7912"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178A1513" w14:textId="77777777" w:rsidR="001530C0" w:rsidRPr="009C10B9" w:rsidRDefault="001530C0" w:rsidP="009A3B7E">
            <w:pPr>
              <w:pStyle w:val="Zpat"/>
              <w:spacing w:before="60" w:after="60"/>
              <w:jc w:val="both"/>
              <w:rPr>
                <w:rFonts w:cs="Arial"/>
                <w:szCs w:val="20"/>
              </w:rPr>
            </w:pPr>
            <w:r w:rsidRPr="009C10B9">
              <w:rPr>
                <w:rFonts w:cs="Arial"/>
                <w:szCs w:val="20"/>
              </w:rPr>
              <w:t>MPO</w:t>
            </w:r>
          </w:p>
        </w:tc>
      </w:tr>
      <w:tr w:rsidR="001530C0" w:rsidRPr="00D5678F" w14:paraId="32362DDF" w14:textId="77777777" w:rsidTr="003447F9">
        <w:trPr>
          <w:cantSplit/>
          <w:jc w:val="center"/>
        </w:trPr>
        <w:tc>
          <w:tcPr>
            <w:tcW w:w="1712"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5A688663" w14:textId="77777777" w:rsidR="001530C0" w:rsidRPr="009C10B9" w:rsidRDefault="001530C0" w:rsidP="009A3B7E">
            <w:pPr>
              <w:spacing w:before="60" w:after="60"/>
              <w:jc w:val="both"/>
              <w:rPr>
                <w:rFonts w:cs="Arial"/>
                <w:szCs w:val="20"/>
              </w:rPr>
            </w:pPr>
            <w:r w:rsidRPr="009C10B9">
              <w:rPr>
                <w:rFonts w:cs="Arial"/>
                <w:szCs w:val="20"/>
              </w:rPr>
              <w:t>Rozpočtový dopad / financování</w:t>
            </w:r>
          </w:p>
        </w:tc>
        <w:tc>
          <w:tcPr>
            <w:tcW w:w="7912"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76F8648B" w14:textId="77777777" w:rsidR="001530C0" w:rsidRPr="009C10B9" w:rsidRDefault="001530C0" w:rsidP="009A3B7E">
            <w:pPr>
              <w:pStyle w:val="Zpat"/>
              <w:spacing w:before="60" w:after="60"/>
              <w:jc w:val="both"/>
              <w:rPr>
                <w:rFonts w:cs="Arial"/>
                <w:szCs w:val="20"/>
              </w:rPr>
            </w:pPr>
            <w:r w:rsidRPr="009C10B9">
              <w:rPr>
                <w:rFonts w:cs="Arial"/>
                <w:szCs w:val="20"/>
              </w:rPr>
              <w:t>Bez dopadu.</w:t>
            </w:r>
          </w:p>
        </w:tc>
      </w:tr>
      <w:tr w:rsidR="001530C0" w:rsidRPr="00D5678F" w14:paraId="74227D16" w14:textId="77777777" w:rsidTr="003447F9">
        <w:trPr>
          <w:cantSplit/>
          <w:jc w:val="center"/>
        </w:trPr>
        <w:tc>
          <w:tcPr>
            <w:tcW w:w="1712" w:type="dxa"/>
            <w:tcBorders>
              <w:top w:val="single" w:sz="4" w:space="0" w:color="auto"/>
              <w:left w:val="single" w:sz="12" w:space="0" w:color="auto"/>
              <w:bottom w:val="single" w:sz="4" w:space="0" w:color="auto"/>
              <w:right w:val="single" w:sz="12" w:space="0" w:color="auto"/>
            </w:tcBorders>
            <w:tcMar>
              <w:top w:w="0" w:type="dxa"/>
              <w:left w:w="70" w:type="dxa"/>
              <w:bottom w:w="0" w:type="dxa"/>
              <w:right w:w="70" w:type="dxa"/>
            </w:tcMar>
          </w:tcPr>
          <w:p w14:paraId="638A83C6" w14:textId="77777777" w:rsidR="001530C0" w:rsidRPr="009C10B9" w:rsidRDefault="001530C0" w:rsidP="009A3B7E">
            <w:pPr>
              <w:spacing w:before="60" w:after="60"/>
              <w:jc w:val="both"/>
              <w:rPr>
                <w:rFonts w:cs="Arial"/>
                <w:szCs w:val="20"/>
              </w:rPr>
            </w:pPr>
            <w:r w:rsidRPr="009C10B9">
              <w:rPr>
                <w:rFonts w:cs="Arial"/>
                <w:szCs w:val="20"/>
              </w:rPr>
              <w:t>Spolupráce</w:t>
            </w:r>
          </w:p>
        </w:tc>
        <w:tc>
          <w:tcPr>
            <w:tcW w:w="7912" w:type="dxa"/>
            <w:tcBorders>
              <w:top w:val="single" w:sz="4" w:space="0" w:color="auto"/>
              <w:left w:val="nil"/>
              <w:bottom w:val="single" w:sz="4" w:space="0" w:color="auto"/>
              <w:right w:val="single" w:sz="12" w:space="0" w:color="auto"/>
            </w:tcBorders>
            <w:tcMar>
              <w:top w:w="0" w:type="dxa"/>
              <w:left w:w="70" w:type="dxa"/>
              <w:bottom w:w="0" w:type="dxa"/>
              <w:right w:w="70" w:type="dxa"/>
            </w:tcMar>
          </w:tcPr>
          <w:p w14:paraId="53EE32DF" w14:textId="77777777" w:rsidR="001530C0" w:rsidRPr="009C10B9" w:rsidRDefault="001530C0" w:rsidP="009A3B7E">
            <w:pPr>
              <w:pStyle w:val="Zpat"/>
              <w:spacing w:before="60" w:after="60"/>
              <w:jc w:val="both"/>
              <w:rPr>
                <w:rFonts w:cs="Arial"/>
                <w:szCs w:val="20"/>
              </w:rPr>
            </w:pPr>
            <w:r w:rsidRPr="009C10B9">
              <w:rPr>
                <w:rFonts w:cs="Arial"/>
                <w:szCs w:val="20"/>
              </w:rPr>
              <w:t>MD, MŽP, MMR</w:t>
            </w:r>
          </w:p>
        </w:tc>
      </w:tr>
      <w:tr w:rsidR="001530C0" w:rsidRPr="00D5678F" w14:paraId="6EAA5CC8" w14:textId="77777777" w:rsidTr="003447F9">
        <w:trPr>
          <w:cantSplit/>
          <w:jc w:val="center"/>
        </w:trPr>
        <w:tc>
          <w:tcPr>
            <w:tcW w:w="1712" w:type="dxa"/>
            <w:tcBorders>
              <w:top w:val="single" w:sz="4" w:space="0" w:color="auto"/>
              <w:left w:val="single" w:sz="12" w:space="0" w:color="auto"/>
              <w:bottom w:val="single" w:sz="12" w:space="0" w:color="auto"/>
              <w:right w:val="single" w:sz="12" w:space="0" w:color="auto"/>
            </w:tcBorders>
            <w:tcMar>
              <w:top w:w="0" w:type="dxa"/>
              <w:left w:w="70" w:type="dxa"/>
              <w:bottom w:w="0" w:type="dxa"/>
              <w:right w:w="70" w:type="dxa"/>
            </w:tcMar>
          </w:tcPr>
          <w:p w14:paraId="6A259A4B" w14:textId="77777777" w:rsidR="001530C0" w:rsidRPr="009C10B9" w:rsidRDefault="001530C0" w:rsidP="009A3B7E">
            <w:pPr>
              <w:spacing w:before="60" w:after="60"/>
              <w:jc w:val="both"/>
              <w:rPr>
                <w:rFonts w:cs="Arial"/>
                <w:szCs w:val="20"/>
              </w:rPr>
            </w:pPr>
            <w:r w:rsidRPr="009C10B9">
              <w:rPr>
                <w:rFonts w:cs="Arial"/>
                <w:szCs w:val="20"/>
              </w:rPr>
              <w:t>Termín</w:t>
            </w:r>
          </w:p>
        </w:tc>
        <w:tc>
          <w:tcPr>
            <w:tcW w:w="7912" w:type="dxa"/>
            <w:tcBorders>
              <w:top w:val="single" w:sz="4" w:space="0" w:color="auto"/>
              <w:left w:val="nil"/>
              <w:bottom w:val="single" w:sz="12" w:space="0" w:color="auto"/>
              <w:right w:val="single" w:sz="12" w:space="0" w:color="auto"/>
            </w:tcBorders>
            <w:tcMar>
              <w:top w:w="0" w:type="dxa"/>
              <w:left w:w="70" w:type="dxa"/>
              <w:bottom w:w="0" w:type="dxa"/>
              <w:right w:w="70" w:type="dxa"/>
            </w:tcMar>
          </w:tcPr>
          <w:p w14:paraId="3F9D1F44" w14:textId="4342DAC0" w:rsidR="001530C0" w:rsidRPr="009C10B9" w:rsidRDefault="001530C0" w:rsidP="009A3B7E">
            <w:pPr>
              <w:spacing w:before="60" w:after="60"/>
              <w:jc w:val="both"/>
              <w:rPr>
                <w:rFonts w:cs="Arial"/>
                <w:szCs w:val="20"/>
              </w:rPr>
            </w:pPr>
            <w:r w:rsidRPr="009C10B9">
              <w:rPr>
                <w:rFonts w:cs="Arial"/>
                <w:szCs w:val="20"/>
              </w:rPr>
              <w:t>min.1x za tři roky aktualizaci materiálu vládě a</w:t>
            </w:r>
            <w:r w:rsidR="005A1247">
              <w:rPr>
                <w:rFonts w:cs="Arial"/>
                <w:szCs w:val="20"/>
              </w:rPr>
              <w:t> </w:t>
            </w:r>
            <w:r w:rsidRPr="009C10B9">
              <w:rPr>
                <w:rFonts w:cs="Arial"/>
                <w:szCs w:val="20"/>
              </w:rPr>
              <w:t>Evropské komisi,</w:t>
            </w:r>
          </w:p>
          <w:p w14:paraId="09C53C63" w14:textId="2FD84A1C" w:rsidR="001530C0" w:rsidRPr="009C10B9" w:rsidRDefault="001530C0" w:rsidP="009A3B7E">
            <w:pPr>
              <w:spacing w:before="60" w:after="60"/>
              <w:jc w:val="both"/>
              <w:rPr>
                <w:rFonts w:cs="Arial"/>
                <w:szCs w:val="20"/>
              </w:rPr>
            </w:pPr>
            <w:r w:rsidRPr="009C10B9">
              <w:rPr>
                <w:rFonts w:cs="Arial"/>
                <w:szCs w:val="20"/>
              </w:rPr>
              <w:t>1x ročně vládě materiál pro informaci plnění NAP</w:t>
            </w:r>
            <w:r w:rsidR="0035067A">
              <w:rPr>
                <w:rFonts w:cs="Arial"/>
                <w:szCs w:val="20"/>
              </w:rPr>
              <w:t xml:space="preserve"> (dle usnesení)</w:t>
            </w:r>
            <w:r w:rsidRPr="009C10B9">
              <w:rPr>
                <w:rFonts w:cs="Arial"/>
                <w:szCs w:val="20"/>
              </w:rPr>
              <w:t>.</w:t>
            </w:r>
          </w:p>
        </w:tc>
      </w:tr>
    </w:tbl>
    <w:p w14:paraId="18B6550D" w14:textId="77777777" w:rsidR="001530C0" w:rsidRPr="009C10B9" w:rsidRDefault="001530C0" w:rsidP="009A3B7E">
      <w:pPr>
        <w:jc w:val="both"/>
      </w:pPr>
    </w:p>
    <w:p w14:paraId="25E998E2" w14:textId="77777777" w:rsidR="001530C0" w:rsidRDefault="001530C0" w:rsidP="009A3B7E">
      <w:pPr>
        <w:jc w:val="both"/>
      </w:pPr>
    </w:p>
    <w:p w14:paraId="0D9AE2AF" w14:textId="77777777" w:rsidR="001530C0" w:rsidRDefault="001530C0" w:rsidP="009A3B7E">
      <w:pPr>
        <w:spacing w:before="0" w:after="0"/>
        <w:jc w:val="both"/>
      </w:pPr>
    </w:p>
    <w:p w14:paraId="09F6F91E" w14:textId="77777777" w:rsidR="00596A32" w:rsidRPr="0050685D" w:rsidRDefault="00596A32" w:rsidP="009A3B7E">
      <w:pPr>
        <w:jc w:val="both"/>
        <w:rPr>
          <w:rFonts w:asciiTheme="majorHAnsi" w:hAnsiTheme="majorHAnsi" w:cstheme="minorHAnsi"/>
        </w:rPr>
      </w:pPr>
      <w:bookmarkStart w:id="142" w:name="_Toc12540157"/>
    </w:p>
    <w:p w14:paraId="62BFA773" w14:textId="77777777" w:rsidR="00596A32" w:rsidRDefault="00596A32" w:rsidP="009A3B7E">
      <w:pPr>
        <w:spacing w:before="0" w:after="0"/>
        <w:jc w:val="both"/>
        <w:rPr>
          <w:rFonts w:cs="Arial"/>
          <w:b/>
          <w:bCs/>
          <w:kern w:val="32"/>
          <w:sz w:val="28"/>
          <w:szCs w:val="32"/>
        </w:rPr>
      </w:pPr>
      <w:bookmarkStart w:id="143" w:name="_Toc13685910"/>
      <w:r>
        <w:br w:type="page"/>
      </w:r>
    </w:p>
    <w:bookmarkEnd w:id="142"/>
    <w:bookmarkEnd w:id="143"/>
    <w:p w14:paraId="6D87BF6A" w14:textId="77777777" w:rsidR="00724C55" w:rsidRDefault="00724C55" w:rsidP="009A3B7E">
      <w:pPr>
        <w:pStyle w:val="Nadpisobsahuaseznamu"/>
        <w:jc w:val="both"/>
      </w:pPr>
      <w:r>
        <w:t>seznam tabulek</w:t>
      </w:r>
    </w:p>
    <w:p w14:paraId="363633EE" w14:textId="743F394C" w:rsidR="00D26ED2" w:rsidRDefault="009526AB">
      <w:pPr>
        <w:pStyle w:val="Seznamobrzk"/>
        <w:tabs>
          <w:tab w:val="right" w:leader="dot" w:pos="9062"/>
        </w:tabs>
        <w:rPr>
          <w:rFonts w:asciiTheme="minorHAnsi" w:eastAsiaTheme="minorEastAsia" w:hAnsiTheme="minorHAnsi" w:cstheme="minorBidi"/>
          <w:noProof/>
          <w:szCs w:val="22"/>
        </w:rPr>
      </w:pPr>
      <w:r>
        <w:fldChar w:fldCharType="begin"/>
      </w:r>
      <w:r>
        <w:instrText xml:space="preserve"> TOC \h \z \c "Tabulka" </w:instrText>
      </w:r>
      <w:r>
        <w:fldChar w:fldCharType="separate"/>
      </w:r>
      <w:hyperlink w:anchor="_Toc34298575" w:history="1">
        <w:r w:rsidR="00D26ED2" w:rsidRPr="00791474">
          <w:rPr>
            <w:rStyle w:val="Hypertextovodkaz"/>
            <w:noProof/>
          </w:rPr>
          <w:t>Tabulka 1 Jednotlivé cíle počtu vozidel a</w:t>
        </w:r>
        <w:r w:rsidR="005A1247">
          <w:rPr>
            <w:rStyle w:val="Hypertextovodkaz"/>
            <w:noProof/>
          </w:rPr>
          <w:t> </w:t>
        </w:r>
        <w:r w:rsidR="00D26ED2" w:rsidRPr="00791474">
          <w:rPr>
            <w:rStyle w:val="Hypertextovodkaz"/>
            <w:noProof/>
          </w:rPr>
          <w:t>veřejné infrastruktury v</w:t>
        </w:r>
        <w:r w:rsidR="005A1247">
          <w:rPr>
            <w:rStyle w:val="Hypertextovodkaz"/>
            <w:noProof/>
          </w:rPr>
          <w:t> </w:t>
        </w:r>
        <w:r w:rsidR="00D26ED2" w:rsidRPr="00791474">
          <w:rPr>
            <w:rStyle w:val="Hypertextovodkaz"/>
            <w:noProof/>
          </w:rPr>
          <w:t>roce 2030</w:t>
        </w:r>
        <w:r w:rsidR="00D26ED2">
          <w:rPr>
            <w:noProof/>
            <w:webHidden/>
          </w:rPr>
          <w:tab/>
        </w:r>
        <w:r w:rsidR="00D26ED2">
          <w:rPr>
            <w:noProof/>
            <w:webHidden/>
          </w:rPr>
          <w:fldChar w:fldCharType="begin"/>
        </w:r>
        <w:r w:rsidR="00D26ED2">
          <w:rPr>
            <w:noProof/>
            <w:webHidden/>
          </w:rPr>
          <w:instrText xml:space="preserve"> PAGEREF _Toc34298575 \h </w:instrText>
        </w:r>
        <w:r w:rsidR="00D26ED2">
          <w:rPr>
            <w:noProof/>
            <w:webHidden/>
          </w:rPr>
        </w:r>
        <w:r w:rsidR="00D26ED2">
          <w:rPr>
            <w:noProof/>
            <w:webHidden/>
          </w:rPr>
          <w:fldChar w:fldCharType="separate"/>
        </w:r>
        <w:r w:rsidR="00D944E5">
          <w:rPr>
            <w:noProof/>
            <w:webHidden/>
          </w:rPr>
          <w:t>8</w:t>
        </w:r>
        <w:r w:rsidR="00D26ED2">
          <w:rPr>
            <w:noProof/>
            <w:webHidden/>
          </w:rPr>
          <w:fldChar w:fldCharType="end"/>
        </w:r>
      </w:hyperlink>
    </w:p>
    <w:p w14:paraId="5872F80B" w14:textId="40AF17DC" w:rsidR="00D26ED2" w:rsidRDefault="00B85251">
      <w:pPr>
        <w:pStyle w:val="Seznamobrzk"/>
        <w:tabs>
          <w:tab w:val="right" w:leader="dot" w:pos="9062"/>
        </w:tabs>
        <w:rPr>
          <w:rFonts w:asciiTheme="minorHAnsi" w:eastAsiaTheme="minorEastAsia" w:hAnsiTheme="minorHAnsi" w:cstheme="minorBidi"/>
          <w:noProof/>
          <w:szCs w:val="22"/>
        </w:rPr>
      </w:pPr>
      <w:hyperlink w:anchor="_Toc34298576" w:history="1">
        <w:r w:rsidR="00D26ED2" w:rsidRPr="00791474">
          <w:rPr>
            <w:rStyle w:val="Hypertextovodkaz"/>
            <w:noProof/>
          </w:rPr>
          <w:t>Tabulka 2</w:t>
        </w:r>
        <w:r w:rsidR="00D26ED2" w:rsidRPr="00791474">
          <w:rPr>
            <w:rStyle w:val="Hypertextovodkaz"/>
            <w:rFonts w:ascii="Times New Roman" w:hAnsi="Times New Roman"/>
            <w:noProof/>
          </w:rPr>
          <w:t xml:space="preserve"> </w:t>
        </w:r>
        <w:r w:rsidR="00D26ED2" w:rsidRPr="00791474">
          <w:rPr>
            <w:rStyle w:val="Hypertextovodkaz"/>
            <w:rFonts w:cs="Arial"/>
            <w:noProof/>
          </w:rPr>
          <w:t>Přínos NAP ČM k</w:t>
        </w:r>
        <w:r w:rsidR="005A1247">
          <w:rPr>
            <w:rStyle w:val="Hypertextovodkaz"/>
            <w:rFonts w:cs="Arial"/>
            <w:noProof/>
          </w:rPr>
          <w:t> </w:t>
        </w:r>
        <w:r w:rsidR="00D26ED2" w:rsidRPr="00791474">
          <w:rPr>
            <w:rStyle w:val="Hypertextovodkaz"/>
            <w:rFonts w:cs="Arial"/>
            <w:noProof/>
          </w:rPr>
          <w:t>dodatečnému snížení emisí NO</w:t>
        </w:r>
        <w:r w:rsidR="00D26ED2" w:rsidRPr="00791474">
          <w:rPr>
            <w:rStyle w:val="Hypertextovodkaz"/>
            <w:rFonts w:cs="Arial"/>
            <w:noProof/>
            <w:vertAlign w:val="subscript"/>
          </w:rPr>
          <w:t>x</w:t>
        </w:r>
        <w:r w:rsidR="00D26ED2" w:rsidRPr="00791474">
          <w:rPr>
            <w:rStyle w:val="Hypertextovodkaz"/>
            <w:rFonts w:cs="Arial"/>
            <w:noProof/>
          </w:rPr>
          <w:t xml:space="preserve"> požadovaného NPSE v</w:t>
        </w:r>
        <w:r w:rsidR="005A1247">
          <w:rPr>
            <w:rStyle w:val="Hypertextovodkaz"/>
            <w:rFonts w:cs="Arial"/>
            <w:noProof/>
          </w:rPr>
          <w:t> </w:t>
        </w:r>
        <w:r w:rsidR="00D26ED2" w:rsidRPr="00791474">
          <w:rPr>
            <w:rStyle w:val="Hypertextovodkaz"/>
            <w:rFonts w:cs="Arial"/>
            <w:noProof/>
          </w:rPr>
          <w:t>roce 2030</w:t>
        </w:r>
        <w:r w:rsidR="00D26ED2">
          <w:rPr>
            <w:noProof/>
            <w:webHidden/>
          </w:rPr>
          <w:tab/>
        </w:r>
        <w:r w:rsidR="00D26ED2">
          <w:rPr>
            <w:noProof/>
            <w:webHidden/>
          </w:rPr>
          <w:fldChar w:fldCharType="begin"/>
        </w:r>
        <w:r w:rsidR="00D26ED2">
          <w:rPr>
            <w:noProof/>
            <w:webHidden/>
          </w:rPr>
          <w:instrText xml:space="preserve"> PAGEREF _Toc34298576 \h </w:instrText>
        </w:r>
        <w:r w:rsidR="00D26ED2">
          <w:rPr>
            <w:noProof/>
            <w:webHidden/>
          </w:rPr>
        </w:r>
        <w:r w:rsidR="00D26ED2">
          <w:rPr>
            <w:noProof/>
            <w:webHidden/>
          </w:rPr>
          <w:fldChar w:fldCharType="separate"/>
        </w:r>
        <w:r w:rsidR="00D944E5">
          <w:rPr>
            <w:noProof/>
            <w:webHidden/>
          </w:rPr>
          <w:t>10</w:t>
        </w:r>
        <w:r w:rsidR="00D26ED2">
          <w:rPr>
            <w:noProof/>
            <w:webHidden/>
          </w:rPr>
          <w:fldChar w:fldCharType="end"/>
        </w:r>
      </w:hyperlink>
    </w:p>
    <w:p w14:paraId="4DA2AA44" w14:textId="77777777" w:rsidR="00D26ED2" w:rsidRDefault="00B85251">
      <w:pPr>
        <w:pStyle w:val="Seznamobrzk"/>
        <w:tabs>
          <w:tab w:val="right" w:leader="dot" w:pos="9062"/>
        </w:tabs>
        <w:rPr>
          <w:rFonts w:asciiTheme="minorHAnsi" w:eastAsiaTheme="minorEastAsia" w:hAnsiTheme="minorHAnsi" w:cstheme="minorBidi"/>
          <w:noProof/>
          <w:szCs w:val="22"/>
        </w:rPr>
      </w:pPr>
      <w:hyperlink w:anchor="_Toc34298577" w:history="1">
        <w:r w:rsidR="00D26ED2" w:rsidRPr="00791474">
          <w:rPr>
            <w:rStyle w:val="Hypertextovodkaz"/>
            <w:noProof/>
          </w:rPr>
          <w:t>Tabulka 3 Predikce vývoje počtu BEV dle SDA</w:t>
        </w:r>
        <w:r w:rsidR="00D26ED2">
          <w:rPr>
            <w:noProof/>
            <w:webHidden/>
          </w:rPr>
          <w:tab/>
        </w:r>
        <w:r w:rsidR="00D26ED2">
          <w:rPr>
            <w:noProof/>
            <w:webHidden/>
          </w:rPr>
          <w:fldChar w:fldCharType="begin"/>
        </w:r>
        <w:r w:rsidR="00D26ED2">
          <w:rPr>
            <w:noProof/>
            <w:webHidden/>
          </w:rPr>
          <w:instrText xml:space="preserve"> PAGEREF _Toc34298577 \h </w:instrText>
        </w:r>
        <w:r w:rsidR="00D26ED2">
          <w:rPr>
            <w:noProof/>
            <w:webHidden/>
          </w:rPr>
        </w:r>
        <w:r w:rsidR="00D26ED2">
          <w:rPr>
            <w:noProof/>
            <w:webHidden/>
          </w:rPr>
          <w:fldChar w:fldCharType="separate"/>
        </w:r>
        <w:r w:rsidR="00D944E5">
          <w:rPr>
            <w:noProof/>
            <w:webHidden/>
          </w:rPr>
          <w:t>14</w:t>
        </w:r>
        <w:r w:rsidR="00D26ED2">
          <w:rPr>
            <w:noProof/>
            <w:webHidden/>
          </w:rPr>
          <w:fldChar w:fldCharType="end"/>
        </w:r>
      </w:hyperlink>
    </w:p>
    <w:p w14:paraId="7DCA2B2E" w14:textId="77777777" w:rsidR="00724C55" w:rsidRDefault="009526AB" w:rsidP="009A3B7E">
      <w:pPr>
        <w:jc w:val="both"/>
      </w:pPr>
      <w:r>
        <w:fldChar w:fldCharType="end"/>
      </w:r>
    </w:p>
    <w:p w14:paraId="4FE77FB7" w14:textId="77777777" w:rsidR="00D161BC" w:rsidRDefault="00D161BC" w:rsidP="009A3B7E">
      <w:pPr>
        <w:jc w:val="both"/>
      </w:pPr>
    </w:p>
    <w:p w14:paraId="7F1B80FE" w14:textId="77777777" w:rsidR="00D161BC" w:rsidRDefault="00D161BC" w:rsidP="009A3B7E">
      <w:pPr>
        <w:jc w:val="both"/>
      </w:pPr>
    </w:p>
    <w:p w14:paraId="5D309798" w14:textId="77777777" w:rsidR="00D161BC" w:rsidRDefault="00D161BC" w:rsidP="009A3B7E">
      <w:pPr>
        <w:jc w:val="both"/>
      </w:pPr>
    </w:p>
    <w:p w14:paraId="2C347DDC" w14:textId="77777777" w:rsidR="00D161BC" w:rsidRDefault="00D161BC" w:rsidP="009A3B7E">
      <w:pPr>
        <w:jc w:val="both"/>
      </w:pPr>
    </w:p>
    <w:p w14:paraId="74CD1A04" w14:textId="77777777" w:rsidR="00D161BC" w:rsidRDefault="00D161BC" w:rsidP="009A3B7E">
      <w:pPr>
        <w:jc w:val="both"/>
      </w:pPr>
    </w:p>
    <w:p w14:paraId="7B6BF506" w14:textId="77777777" w:rsidR="00D161BC" w:rsidRDefault="00D161BC" w:rsidP="009A3B7E">
      <w:pPr>
        <w:jc w:val="both"/>
      </w:pPr>
    </w:p>
    <w:p w14:paraId="77A3E4D5" w14:textId="77777777" w:rsidR="00D161BC" w:rsidRDefault="00D161BC" w:rsidP="009A3B7E">
      <w:pPr>
        <w:jc w:val="both"/>
      </w:pPr>
    </w:p>
    <w:p w14:paraId="658EB0BE" w14:textId="77777777" w:rsidR="00D161BC" w:rsidRDefault="00D161BC" w:rsidP="009A3B7E">
      <w:pPr>
        <w:jc w:val="both"/>
      </w:pPr>
    </w:p>
    <w:p w14:paraId="2E1F627C" w14:textId="77777777" w:rsidR="00D161BC" w:rsidRDefault="00D161BC" w:rsidP="009A3B7E">
      <w:pPr>
        <w:jc w:val="both"/>
      </w:pPr>
    </w:p>
    <w:p w14:paraId="0511F363" w14:textId="77777777" w:rsidR="00D161BC" w:rsidRDefault="00D161BC" w:rsidP="009A3B7E">
      <w:pPr>
        <w:jc w:val="both"/>
      </w:pPr>
    </w:p>
    <w:p w14:paraId="1CB2C341" w14:textId="77777777" w:rsidR="00D161BC" w:rsidRDefault="00D161BC" w:rsidP="009A3B7E">
      <w:pPr>
        <w:jc w:val="both"/>
      </w:pPr>
    </w:p>
    <w:p w14:paraId="10F9677D" w14:textId="77777777" w:rsidR="00D161BC" w:rsidRDefault="00D161BC" w:rsidP="009A3B7E">
      <w:pPr>
        <w:jc w:val="both"/>
      </w:pPr>
    </w:p>
    <w:p w14:paraId="4B03D5D7" w14:textId="77777777" w:rsidR="00D161BC" w:rsidRDefault="00D161BC" w:rsidP="009A3B7E">
      <w:pPr>
        <w:jc w:val="both"/>
      </w:pPr>
    </w:p>
    <w:p w14:paraId="6D2F721E" w14:textId="77777777" w:rsidR="00D161BC" w:rsidRDefault="00D161BC" w:rsidP="009A3B7E">
      <w:pPr>
        <w:jc w:val="both"/>
      </w:pPr>
    </w:p>
    <w:p w14:paraId="5039E102" w14:textId="77777777" w:rsidR="00D161BC" w:rsidRDefault="00D161BC" w:rsidP="009A3B7E">
      <w:pPr>
        <w:jc w:val="both"/>
      </w:pPr>
    </w:p>
    <w:p w14:paraId="5779EA28" w14:textId="77777777" w:rsidR="00D161BC" w:rsidRDefault="00D161BC" w:rsidP="009A3B7E">
      <w:pPr>
        <w:jc w:val="both"/>
      </w:pPr>
    </w:p>
    <w:p w14:paraId="7B18F7F7" w14:textId="77777777" w:rsidR="00D161BC" w:rsidRDefault="00D161BC" w:rsidP="009A3B7E">
      <w:pPr>
        <w:jc w:val="both"/>
      </w:pPr>
    </w:p>
    <w:p w14:paraId="07EDAD1B" w14:textId="77777777" w:rsidR="00D161BC" w:rsidRDefault="00D161BC" w:rsidP="009A3B7E">
      <w:pPr>
        <w:jc w:val="both"/>
      </w:pPr>
    </w:p>
    <w:p w14:paraId="4416875A" w14:textId="77777777" w:rsidR="00D161BC" w:rsidRDefault="00D161BC" w:rsidP="009A3B7E">
      <w:pPr>
        <w:jc w:val="both"/>
      </w:pPr>
    </w:p>
    <w:p w14:paraId="2F53576C" w14:textId="77777777" w:rsidR="00D161BC" w:rsidRDefault="00D161BC" w:rsidP="009A3B7E">
      <w:pPr>
        <w:jc w:val="both"/>
      </w:pPr>
    </w:p>
    <w:p w14:paraId="2B4D87E7" w14:textId="77777777" w:rsidR="00D161BC" w:rsidRDefault="00D161BC" w:rsidP="009A3B7E">
      <w:pPr>
        <w:jc w:val="both"/>
      </w:pPr>
    </w:p>
    <w:p w14:paraId="58636F33" w14:textId="77777777" w:rsidR="00D161BC" w:rsidRDefault="00D161BC" w:rsidP="009A3B7E">
      <w:pPr>
        <w:jc w:val="both"/>
      </w:pPr>
    </w:p>
    <w:p w14:paraId="79ADDFE6" w14:textId="77777777" w:rsidR="00D161BC" w:rsidRDefault="00D161BC" w:rsidP="009A3B7E">
      <w:pPr>
        <w:jc w:val="both"/>
      </w:pPr>
    </w:p>
    <w:p w14:paraId="1E737BBC" w14:textId="77777777" w:rsidR="00D161BC" w:rsidRDefault="00D161BC" w:rsidP="009A3B7E">
      <w:pPr>
        <w:jc w:val="both"/>
      </w:pPr>
    </w:p>
    <w:p w14:paraId="4F5E9477" w14:textId="77777777" w:rsidR="00D161BC" w:rsidRDefault="00D161BC" w:rsidP="009A3B7E">
      <w:pPr>
        <w:jc w:val="both"/>
      </w:pPr>
    </w:p>
    <w:p w14:paraId="7A7289C5" w14:textId="77777777" w:rsidR="00D161BC" w:rsidRDefault="00D161BC" w:rsidP="009A3B7E">
      <w:pPr>
        <w:jc w:val="both"/>
      </w:pPr>
    </w:p>
    <w:p w14:paraId="171C4407" w14:textId="77777777" w:rsidR="00D161BC" w:rsidRDefault="00D161BC" w:rsidP="009A3B7E">
      <w:pPr>
        <w:jc w:val="both"/>
      </w:pPr>
    </w:p>
    <w:p w14:paraId="326A84F4" w14:textId="77777777" w:rsidR="00D161BC" w:rsidRDefault="00D161BC" w:rsidP="009A3B7E">
      <w:pPr>
        <w:jc w:val="both"/>
      </w:pPr>
    </w:p>
    <w:p w14:paraId="3B7B5843" w14:textId="77777777" w:rsidR="00D161BC" w:rsidRDefault="00D161BC" w:rsidP="009A3B7E">
      <w:pPr>
        <w:jc w:val="both"/>
      </w:pPr>
    </w:p>
    <w:p w14:paraId="05F5D118" w14:textId="77777777" w:rsidR="00D161BC" w:rsidRDefault="00D161BC" w:rsidP="009A3B7E">
      <w:pPr>
        <w:jc w:val="both"/>
      </w:pPr>
    </w:p>
    <w:p w14:paraId="42633586" w14:textId="77777777" w:rsidR="00724C55" w:rsidRDefault="00724C55" w:rsidP="009A3B7E">
      <w:pPr>
        <w:pStyle w:val="Nadpisobsahuaseznamu"/>
        <w:jc w:val="both"/>
      </w:pPr>
      <w:r>
        <w:t>seznam obrázků</w:t>
      </w:r>
    </w:p>
    <w:p w14:paraId="3DD2AE6A" w14:textId="7BAB44A4" w:rsidR="00D26ED2" w:rsidRDefault="00724C55">
      <w:pPr>
        <w:pStyle w:val="Seznamobrzk"/>
        <w:tabs>
          <w:tab w:val="right" w:leader="dot" w:pos="9062"/>
        </w:tabs>
        <w:rPr>
          <w:rFonts w:asciiTheme="minorHAnsi" w:eastAsiaTheme="minorEastAsia" w:hAnsiTheme="minorHAnsi" w:cstheme="minorBidi"/>
          <w:noProof/>
          <w:szCs w:val="22"/>
        </w:rPr>
      </w:pPr>
      <w:r>
        <w:fldChar w:fldCharType="begin"/>
      </w:r>
      <w:r>
        <w:instrText xml:space="preserve"> TOC \h \z \c "Obrázek" </w:instrText>
      </w:r>
      <w:r>
        <w:fldChar w:fldCharType="separate"/>
      </w:r>
      <w:hyperlink w:anchor="_Toc34298581" w:history="1">
        <w:r w:rsidR="00D26ED2" w:rsidRPr="00B0417A">
          <w:rPr>
            <w:rStyle w:val="Hypertextovodkaz"/>
            <w:noProof/>
          </w:rPr>
          <w:t>Obrázek 1 Veřejně přístupná dobíjecí infrastruktura v</w:t>
        </w:r>
        <w:r w:rsidR="005A1247">
          <w:rPr>
            <w:rStyle w:val="Hypertextovodkaz"/>
            <w:noProof/>
          </w:rPr>
          <w:t> </w:t>
        </w:r>
        <w:r w:rsidR="00D26ED2" w:rsidRPr="00B0417A">
          <w:rPr>
            <w:rStyle w:val="Hypertextovodkaz"/>
            <w:noProof/>
          </w:rPr>
          <w:t>roce 2025 (6 200 dobíjecích bodů) respektive 2030 (19 000 dobíjecích bodů) pro 220 000 vozidel</w:t>
        </w:r>
        <w:r w:rsidR="00D26ED2">
          <w:rPr>
            <w:noProof/>
            <w:webHidden/>
          </w:rPr>
          <w:tab/>
        </w:r>
        <w:r w:rsidR="00D26ED2">
          <w:rPr>
            <w:noProof/>
            <w:webHidden/>
          </w:rPr>
          <w:fldChar w:fldCharType="begin"/>
        </w:r>
        <w:r w:rsidR="00D26ED2">
          <w:rPr>
            <w:noProof/>
            <w:webHidden/>
          </w:rPr>
          <w:instrText xml:space="preserve"> PAGEREF _Toc34298581 \h </w:instrText>
        </w:r>
        <w:r w:rsidR="00D26ED2">
          <w:rPr>
            <w:noProof/>
            <w:webHidden/>
          </w:rPr>
        </w:r>
        <w:r w:rsidR="00D26ED2">
          <w:rPr>
            <w:noProof/>
            <w:webHidden/>
          </w:rPr>
          <w:fldChar w:fldCharType="separate"/>
        </w:r>
        <w:r w:rsidR="00D944E5">
          <w:rPr>
            <w:noProof/>
            <w:webHidden/>
          </w:rPr>
          <w:t>19</w:t>
        </w:r>
        <w:r w:rsidR="00D26ED2">
          <w:rPr>
            <w:noProof/>
            <w:webHidden/>
          </w:rPr>
          <w:fldChar w:fldCharType="end"/>
        </w:r>
      </w:hyperlink>
    </w:p>
    <w:p w14:paraId="5679E72E" w14:textId="5269742A" w:rsidR="00D26ED2" w:rsidRDefault="00B85251">
      <w:pPr>
        <w:pStyle w:val="Seznamobrzk"/>
        <w:tabs>
          <w:tab w:val="right" w:leader="dot" w:pos="9062"/>
        </w:tabs>
        <w:rPr>
          <w:rFonts w:asciiTheme="minorHAnsi" w:eastAsiaTheme="minorEastAsia" w:hAnsiTheme="minorHAnsi" w:cstheme="minorBidi"/>
          <w:noProof/>
          <w:szCs w:val="22"/>
        </w:rPr>
      </w:pPr>
      <w:hyperlink w:anchor="_Toc34298582" w:history="1">
        <w:r w:rsidR="00D26ED2" w:rsidRPr="00B0417A">
          <w:rPr>
            <w:rStyle w:val="Hypertextovodkaz"/>
            <w:noProof/>
          </w:rPr>
          <w:t>Obrázek 2 Veřejně přístupná dobíjecí infrastruktura v</w:t>
        </w:r>
        <w:r w:rsidR="005A1247">
          <w:rPr>
            <w:rStyle w:val="Hypertextovodkaz"/>
            <w:noProof/>
          </w:rPr>
          <w:t> </w:t>
        </w:r>
        <w:r w:rsidR="00D26ED2" w:rsidRPr="00B0417A">
          <w:rPr>
            <w:rStyle w:val="Hypertextovodkaz"/>
            <w:noProof/>
          </w:rPr>
          <w:t>roce 2025 (11 000 dobíjecích bodů) respektive 2030 (35 000 dobíjecích bodů) pro 500 000 vozidel</w:t>
        </w:r>
        <w:r w:rsidR="00D26ED2">
          <w:rPr>
            <w:noProof/>
            <w:webHidden/>
          </w:rPr>
          <w:tab/>
        </w:r>
        <w:r w:rsidR="00D26ED2">
          <w:rPr>
            <w:noProof/>
            <w:webHidden/>
          </w:rPr>
          <w:fldChar w:fldCharType="begin"/>
        </w:r>
        <w:r w:rsidR="00D26ED2">
          <w:rPr>
            <w:noProof/>
            <w:webHidden/>
          </w:rPr>
          <w:instrText xml:space="preserve"> PAGEREF _Toc34298582 \h </w:instrText>
        </w:r>
        <w:r w:rsidR="00D26ED2">
          <w:rPr>
            <w:noProof/>
            <w:webHidden/>
          </w:rPr>
        </w:r>
        <w:r w:rsidR="00D26ED2">
          <w:rPr>
            <w:noProof/>
            <w:webHidden/>
          </w:rPr>
          <w:fldChar w:fldCharType="separate"/>
        </w:r>
        <w:r w:rsidR="00D944E5">
          <w:rPr>
            <w:noProof/>
            <w:webHidden/>
          </w:rPr>
          <w:t>20</w:t>
        </w:r>
        <w:r w:rsidR="00D26ED2">
          <w:rPr>
            <w:noProof/>
            <w:webHidden/>
          </w:rPr>
          <w:fldChar w:fldCharType="end"/>
        </w:r>
      </w:hyperlink>
    </w:p>
    <w:p w14:paraId="01670FA5" w14:textId="77777777" w:rsidR="00724C55" w:rsidRDefault="00724C55" w:rsidP="009A3B7E">
      <w:pPr>
        <w:jc w:val="both"/>
      </w:pPr>
      <w:r>
        <w:fldChar w:fldCharType="end"/>
      </w:r>
    </w:p>
    <w:p w14:paraId="69CFE56F" w14:textId="77777777" w:rsidR="00D161BC" w:rsidRDefault="00D161BC" w:rsidP="009A3B7E">
      <w:pPr>
        <w:pStyle w:val="Nadpisobsahuaseznamu"/>
        <w:jc w:val="both"/>
      </w:pPr>
    </w:p>
    <w:p w14:paraId="67A1D1E1" w14:textId="77777777" w:rsidR="00D161BC" w:rsidRDefault="00D161BC" w:rsidP="009A3B7E">
      <w:pPr>
        <w:pStyle w:val="Nadpisobsahuaseznamu"/>
        <w:jc w:val="both"/>
      </w:pPr>
    </w:p>
    <w:p w14:paraId="45FD8206" w14:textId="77777777" w:rsidR="00D161BC" w:rsidRDefault="00D161BC" w:rsidP="009A3B7E">
      <w:pPr>
        <w:pStyle w:val="Nadpisobsahuaseznamu"/>
        <w:jc w:val="both"/>
      </w:pPr>
    </w:p>
    <w:p w14:paraId="2971FF7D" w14:textId="77777777" w:rsidR="00D161BC" w:rsidRDefault="00D161BC" w:rsidP="009A3B7E">
      <w:pPr>
        <w:pStyle w:val="Nadpisobsahuaseznamu"/>
        <w:jc w:val="both"/>
      </w:pPr>
    </w:p>
    <w:p w14:paraId="15633A0D" w14:textId="77777777" w:rsidR="00D161BC" w:rsidRDefault="00D161BC" w:rsidP="009A3B7E">
      <w:pPr>
        <w:pStyle w:val="Nadpisobsahuaseznamu"/>
        <w:jc w:val="both"/>
      </w:pPr>
    </w:p>
    <w:p w14:paraId="1AB6BDD2" w14:textId="77777777" w:rsidR="00D161BC" w:rsidRDefault="00D161BC" w:rsidP="009A3B7E">
      <w:pPr>
        <w:pStyle w:val="Nadpisobsahuaseznamu"/>
        <w:jc w:val="both"/>
      </w:pPr>
    </w:p>
    <w:p w14:paraId="6F9CE47F" w14:textId="77777777" w:rsidR="00D161BC" w:rsidRDefault="00D161BC" w:rsidP="009A3B7E">
      <w:pPr>
        <w:pStyle w:val="Nadpisobsahuaseznamu"/>
        <w:jc w:val="both"/>
      </w:pPr>
    </w:p>
    <w:p w14:paraId="70F6D9B7" w14:textId="77777777" w:rsidR="00D161BC" w:rsidRDefault="00D161BC" w:rsidP="009A3B7E">
      <w:pPr>
        <w:pStyle w:val="Nadpisobsahuaseznamu"/>
        <w:jc w:val="both"/>
      </w:pPr>
    </w:p>
    <w:p w14:paraId="490B2BCE" w14:textId="77777777" w:rsidR="00D161BC" w:rsidRDefault="00D161BC" w:rsidP="009A3B7E">
      <w:pPr>
        <w:pStyle w:val="Nadpisobsahuaseznamu"/>
        <w:jc w:val="both"/>
      </w:pPr>
    </w:p>
    <w:p w14:paraId="4C9C4E15" w14:textId="77777777" w:rsidR="00D161BC" w:rsidRDefault="00D161BC" w:rsidP="009A3B7E">
      <w:pPr>
        <w:pStyle w:val="Nadpisobsahuaseznamu"/>
        <w:jc w:val="both"/>
      </w:pPr>
    </w:p>
    <w:p w14:paraId="236C6A13" w14:textId="77777777" w:rsidR="00D161BC" w:rsidRDefault="00D161BC" w:rsidP="009A3B7E">
      <w:pPr>
        <w:pStyle w:val="Nadpisobsahuaseznamu"/>
        <w:jc w:val="both"/>
      </w:pPr>
    </w:p>
    <w:p w14:paraId="112E2AB4" w14:textId="77777777" w:rsidR="00D161BC" w:rsidRDefault="00D161BC" w:rsidP="009A3B7E">
      <w:pPr>
        <w:pStyle w:val="Nadpisobsahuaseznamu"/>
        <w:jc w:val="both"/>
      </w:pPr>
    </w:p>
    <w:p w14:paraId="33290007" w14:textId="77777777" w:rsidR="00D161BC" w:rsidRDefault="00D161BC" w:rsidP="009A3B7E">
      <w:pPr>
        <w:pStyle w:val="Nadpisobsahuaseznamu"/>
        <w:jc w:val="both"/>
      </w:pPr>
    </w:p>
    <w:p w14:paraId="46F2CEB4" w14:textId="77777777" w:rsidR="00D161BC" w:rsidRDefault="00D161BC" w:rsidP="009A3B7E">
      <w:pPr>
        <w:pStyle w:val="Nadpisobsahuaseznamu"/>
        <w:jc w:val="both"/>
      </w:pPr>
    </w:p>
    <w:p w14:paraId="6BF0B823" w14:textId="77777777" w:rsidR="00D161BC" w:rsidRDefault="00D161BC" w:rsidP="009A3B7E">
      <w:pPr>
        <w:pStyle w:val="Nadpisobsahuaseznamu"/>
        <w:jc w:val="both"/>
      </w:pPr>
    </w:p>
    <w:p w14:paraId="0CD5145F" w14:textId="77777777" w:rsidR="00D161BC" w:rsidRDefault="00D161BC" w:rsidP="009A3B7E">
      <w:pPr>
        <w:pStyle w:val="Nadpisobsahuaseznamu"/>
        <w:jc w:val="both"/>
      </w:pPr>
    </w:p>
    <w:p w14:paraId="657B4B83" w14:textId="77777777" w:rsidR="00D161BC" w:rsidRDefault="00D161BC" w:rsidP="009A3B7E">
      <w:pPr>
        <w:pStyle w:val="Nadpisobsahuaseznamu"/>
        <w:jc w:val="both"/>
      </w:pPr>
    </w:p>
    <w:p w14:paraId="460CD9F9" w14:textId="77777777" w:rsidR="00D161BC" w:rsidRDefault="00D161BC" w:rsidP="009A3B7E">
      <w:pPr>
        <w:pStyle w:val="Nadpisobsahuaseznamu"/>
        <w:jc w:val="both"/>
      </w:pPr>
    </w:p>
    <w:p w14:paraId="7613092F" w14:textId="77777777" w:rsidR="00D161BC" w:rsidRDefault="00D161BC" w:rsidP="009A3B7E">
      <w:pPr>
        <w:pStyle w:val="Nadpisobsahuaseznamu"/>
        <w:jc w:val="both"/>
      </w:pPr>
    </w:p>
    <w:p w14:paraId="53544736" w14:textId="77777777" w:rsidR="00724C55" w:rsidRDefault="00724C55" w:rsidP="009A3B7E">
      <w:pPr>
        <w:pStyle w:val="Nadpisobsahuaseznamu"/>
        <w:jc w:val="both"/>
      </w:pPr>
      <w:r>
        <w:t>seznam grafů</w:t>
      </w:r>
    </w:p>
    <w:p w14:paraId="0C64C969" w14:textId="6F7AF385" w:rsidR="00D26ED2" w:rsidRDefault="009526AB">
      <w:pPr>
        <w:pStyle w:val="Seznamobrzk"/>
        <w:tabs>
          <w:tab w:val="right" w:leader="dot" w:pos="9062"/>
        </w:tabs>
        <w:rPr>
          <w:rFonts w:asciiTheme="minorHAnsi" w:eastAsiaTheme="minorEastAsia" w:hAnsiTheme="minorHAnsi" w:cstheme="minorBidi"/>
          <w:noProof/>
          <w:szCs w:val="22"/>
        </w:rPr>
      </w:pPr>
      <w:r>
        <w:fldChar w:fldCharType="begin"/>
      </w:r>
      <w:r>
        <w:instrText xml:space="preserve"> TOC \h \z \c "Graf" </w:instrText>
      </w:r>
      <w:r>
        <w:fldChar w:fldCharType="separate"/>
      </w:r>
      <w:hyperlink w:anchor="_Toc34298591" w:history="1">
        <w:r w:rsidR="00D26ED2" w:rsidRPr="00850717">
          <w:rPr>
            <w:rStyle w:val="Hypertextovodkaz"/>
            <w:noProof/>
          </w:rPr>
          <w:t>Graf 1 Vývoj emisí z</w:t>
        </w:r>
        <w:r w:rsidR="005A1247">
          <w:rPr>
            <w:rStyle w:val="Hypertextovodkaz"/>
            <w:noProof/>
          </w:rPr>
          <w:t> </w:t>
        </w:r>
        <w:r w:rsidR="00D26ED2" w:rsidRPr="00850717">
          <w:rPr>
            <w:rStyle w:val="Hypertextovodkaz"/>
            <w:noProof/>
          </w:rPr>
          <w:t>dopravy v</w:t>
        </w:r>
        <w:r w:rsidR="005A1247">
          <w:rPr>
            <w:rStyle w:val="Hypertextovodkaz"/>
            <w:noProof/>
          </w:rPr>
          <w:t> </w:t>
        </w:r>
        <w:r w:rsidR="00D26ED2" w:rsidRPr="00850717">
          <w:rPr>
            <w:rStyle w:val="Hypertextovodkaz"/>
            <w:noProof/>
          </w:rPr>
          <w:t>letech 1993-2017</w:t>
        </w:r>
        <w:r w:rsidR="00D26ED2">
          <w:rPr>
            <w:noProof/>
            <w:webHidden/>
          </w:rPr>
          <w:tab/>
        </w:r>
        <w:r w:rsidR="00D26ED2">
          <w:rPr>
            <w:noProof/>
            <w:webHidden/>
          </w:rPr>
          <w:fldChar w:fldCharType="begin"/>
        </w:r>
        <w:r w:rsidR="00D26ED2">
          <w:rPr>
            <w:noProof/>
            <w:webHidden/>
          </w:rPr>
          <w:instrText xml:space="preserve"> PAGEREF _Toc34298591 \h </w:instrText>
        </w:r>
        <w:r w:rsidR="00D26ED2">
          <w:rPr>
            <w:noProof/>
            <w:webHidden/>
          </w:rPr>
        </w:r>
        <w:r w:rsidR="00D26ED2">
          <w:rPr>
            <w:noProof/>
            <w:webHidden/>
          </w:rPr>
          <w:fldChar w:fldCharType="separate"/>
        </w:r>
        <w:r w:rsidR="00D944E5">
          <w:rPr>
            <w:noProof/>
            <w:webHidden/>
          </w:rPr>
          <w:t>6</w:t>
        </w:r>
        <w:r w:rsidR="00D26ED2">
          <w:rPr>
            <w:noProof/>
            <w:webHidden/>
          </w:rPr>
          <w:fldChar w:fldCharType="end"/>
        </w:r>
      </w:hyperlink>
    </w:p>
    <w:p w14:paraId="118F6D81" w14:textId="1DA96894" w:rsidR="00D26ED2" w:rsidRDefault="00B85251">
      <w:pPr>
        <w:pStyle w:val="Seznamobrzk"/>
        <w:tabs>
          <w:tab w:val="right" w:leader="dot" w:pos="9062"/>
        </w:tabs>
        <w:rPr>
          <w:rFonts w:asciiTheme="minorHAnsi" w:eastAsiaTheme="minorEastAsia" w:hAnsiTheme="minorHAnsi" w:cstheme="minorBidi"/>
          <w:noProof/>
          <w:szCs w:val="22"/>
        </w:rPr>
      </w:pPr>
      <w:hyperlink w:anchor="_Toc34298592" w:history="1">
        <w:r w:rsidR="00D26ED2" w:rsidRPr="00850717">
          <w:rPr>
            <w:rStyle w:val="Hypertextovodkaz"/>
            <w:noProof/>
          </w:rPr>
          <w:t>Graf 2 Vývoj počtu elektromobilů s</w:t>
        </w:r>
        <w:r w:rsidR="005A1247">
          <w:rPr>
            <w:rStyle w:val="Hypertextovodkaz"/>
            <w:noProof/>
          </w:rPr>
          <w:t> </w:t>
        </w:r>
        <w:r w:rsidR="00D26ED2" w:rsidRPr="00850717">
          <w:rPr>
            <w:rStyle w:val="Hypertextovodkaz"/>
            <w:noProof/>
          </w:rPr>
          <w:t>výhledem k</w:t>
        </w:r>
        <w:r w:rsidR="005A1247">
          <w:rPr>
            <w:rStyle w:val="Hypertextovodkaz"/>
            <w:noProof/>
          </w:rPr>
          <w:t> </w:t>
        </w:r>
        <w:r w:rsidR="00D26ED2" w:rsidRPr="00850717">
          <w:rPr>
            <w:rStyle w:val="Hypertextovodkaz"/>
            <w:noProof/>
          </w:rPr>
          <w:t>roku 2030</w:t>
        </w:r>
        <w:r w:rsidR="00D26ED2">
          <w:rPr>
            <w:noProof/>
            <w:webHidden/>
          </w:rPr>
          <w:tab/>
        </w:r>
        <w:r w:rsidR="00D26ED2">
          <w:rPr>
            <w:noProof/>
            <w:webHidden/>
          </w:rPr>
          <w:fldChar w:fldCharType="begin"/>
        </w:r>
        <w:r w:rsidR="00D26ED2">
          <w:rPr>
            <w:noProof/>
            <w:webHidden/>
          </w:rPr>
          <w:instrText xml:space="preserve"> PAGEREF _Toc34298592 \h </w:instrText>
        </w:r>
        <w:r w:rsidR="00D26ED2">
          <w:rPr>
            <w:noProof/>
            <w:webHidden/>
          </w:rPr>
        </w:r>
        <w:r w:rsidR="00D26ED2">
          <w:rPr>
            <w:noProof/>
            <w:webHidden/>
          </w:rPr>
          <w:fldChar w:fldCharType="separate"/>
        </w:r>
        <w:r w:rsidR="00D944E5">
          <w:rPr>
            <w:noProof/>
            <w:webHidden/>
          </w:rPr>
          <w:t>16</w:t>
        </w:r>
        <w:r w:rsidR="00D26ED2">
          <w:rPr>
            <w:noProof/>
            <w:webHidden/>
          </w:rPr>
          <w:fldChar w:fldCharType="end"/>
        </w:r>
      </w:hyperlink>
    </w:p>
    <w:p w14:paraId="4668B5B8" w14:textId="4ABDEDAA" w:rsidR="00D26ED2" w:rsidRDefault="00B85251">
      <w:pPr>
        <w:pStyle w:val="Seznamobrzk"/>
        <w:tabs>
          <w:tab w:val="right" w:leader="dot" w:pos="9062"/>
        </w:tabs>
        <w:rPr>
          <w:rFonts w:asciiTheme="minorHAnsi" w:eastAsiaTheme="minorEastAsia" w:hAnsiTheme="minorHAnsi" w:cstheme="minorBidi"/>
          <w:noProof/>
          <w:szCs w:val="22"/>
        </w:rPr>
      </w:pPr>
      <w:hyperlink w:anchor="_Toc34298593" w:history="1">
        <w:r w:rsidR="00D26ED2" w:rsidRPr="00850717">
          <w:rPr>
            <w:rStyle w:val="Hypertextovodkaz"/>
            <w:noProof/>
          </w:rPr>
          <w:t>Graf 3 Vývoj počtu vozidel na zemní plyn s</w:t>
        </w:r>
        <w:r w:rsidR="005A1247">
          <w:rPr>
            <w:rStyle w:val="Hypertextovodkaz"/>
            <w:noProof/>
          </w:rPr>
          <w:t> </w:t>
        </w:r>
        <w:r w:rsidR="00D26ED2" w:rsidRPr="00850717">
          <w:rPr>
            <w:rStyle w:val="Hypertextovodkaz"/>
            <w:noProof/>
          </w:rPr>
          <w:t>výhledem k</w:t>
        </w:r>
        <w:r w:rsidR="005A1247">
          <w:rPr>
            <w:rStyle w:val="Hypertextovodkaz"/>
            <w:noProof/>
          </w:rPr>
          <w:t> </w:t>
        </w:r>
        <w:r w:rsidR="00D26ED2" w:rsidRPr="00850717">
          <w:rPr>
            <w:rStyle w:val="Hypertextovodkaz"/>
            <w:noProof/>
          </w:rPr>
          <w:t>roku 2030</w:t>
        </w:r>
        <w:r w:rsidR="00D26ED2">
          <w:rPr>
            <w:noProof/>
            <w:webHidden/>
          </w:rPr>
          <w:tab/>
        </w:r>
        <w:r w:rsidR="00D26ED2">
          <w:rPr>
            <w:noProof/>
            <w:webHidden/>
          </w:rPr>
          <w:fldChar w:fldCharType="begin"/>
        </w:r>
        <w:r w:rsidR="00D26ED2">
          <w:rPr>
            <w:noProof/>
            <w:webHidden/>
          </w:rPr>
          <w:instrText xml:space="preserve"> PAGEREF _Toc34298593 \h </w:instrText>
        </w:r>
        <w:r w:rsidR="00D26ED2">
          <w:rPr>
            <w:noProof/>
            <w:webHidden/>
          </w:rPr>
        </w:r>
        <w:r w:rsidR="00D26ED2">
          <w:rPr>
            <w:noProof/>
            <w:webHidden/>
          </w:rPr>
          <w:fldChar w:fldCharType="separate"/>
        </w:r>
        <w:r w:rsidR="00D944E5">
          <w:rPr>
            <w:noProof/>
            <w:webHidden/>
          </w:rPr>
          <w:t>27</w:t>
        </w:r>
        <w:r w:rsidR="00D26ED2">
          <w:rPr>
            <w:noProof/>
            <w:webHidden/>
          </w:rPr>
          <w:fldChar w:fldCharType="end"/>
        </w:r>
      </w:hyperlink>
    </w:p>
    <w:p w14:paraId="3A10351A" w14:textId="77777777" w:rsidR="00D26ED2" w:rsidRDefault="00B85251">
      <w:pPr>
        <w:pStyle w:val="Seznamobrzk"/>
        <w:tabs>
          <w:tab w:val="right" w:leader="dot" w:pos="9062"/>
        </w:tabs>
        <w:rPr>
          <w:rFonts w:asciiTheme="minorHAnsi" w:eastAsiaTheme="minorEastAsia" w:hAnsiTheme="minorHAnsi" w:cstheme="minorBidi"/>
          <w:noProof/>
          <w:szCs w:val="22"/>
        </w:rPr>
      </w:pPr>
      <w:hyperlink r:id="rId32" w:anchor="_Toc34298594" w:history="1">
        <w:r w:rsidR="00D26ED2" w:rsidRPr="00850717">
          <w:rPr>
            <w:rStyle w:val="Hypertextovodkaz"/>
            <w:noProof/>
          </w:rPr>
          <w:t>Graf 4 Cíle vývoje osobních vodíkových vozidel do roku 2030</w:t>
        </w:r>
        <w:r w:rsidR="00D26ED2">
          <w:rPr>
            <w:noProof/>
            <w:webHidden/>
          </w:rPr>
          <w:tab/>
        </w:r>
        <w:r w:rsidR="00D26ED2">
          <w:rPr>
            <w:noProof/>
            <w:webHidden/>
          </w:rPr>
          <w:fldChar w:fldCharType="begin"/>
        </w:r>
        <w:r w:rsidR="00D26ED2">
          <w:rPr>
            <w:noProof/>
            <w:webHidden/>
          </w:rPr>
          <w:instrText xml:space="preserve"> PAGEREF _Toc34298594 \h </w:instrText>
        </w:r>
        <w:r w:rsidR="00D26ED2">
          <w:rPr>
            <w:noProof/>
            <w:webHidden/>
          </w:rPr>
        </w:r>
        <w:r w:rsidR="00D26ED2">
          <w:rPr>
            <w:noProof/>
            <w:webHidden/>
          </w:rPr>
          <w:fldChar w:fldCharType="separate"/>
        </w:r>
        <w:r w:rsidR="00D944E5">
          <w:rPr>
            <w:noProof/>
            <w:webHidden/>
          </w:rPr>
          <w:t>33</w:t>
        </w:r>
        <w:r w:rsidR="00D26ED2">
          <w:rPr>
            <w:noProof/>
            <w:webHidden/>
          </w:rPr>
          <w:fldChar w:fldCharType="end"/>
        </w:r>
      </w:hyperlink>
    </w:p>
    <w:p w14:paraId="598C79CB" w14:textId="77777777" w:rsidR="00724C55" w:rsidRDefault="009526AB" w:rsidP="009A3B7E">
      <w:pPr>
        <w:jc w:val="both"/>
      </w:pPr>
      <w:r>
        <w:fldChar w:fldCharType="end"/>
      </w:r>
    </w:p>
    <w:p w14:paraId="7D29424D" w14:textId="77777777" w:rsidR="00D161BC" w:rsidRDefault="00D161BC" w:rsidP="009A3B7E">
      <w:pPr>
        <w:pStyle w:val="Nadpisobsahuaseznamu"/>
        <w:jc w:val="both"/>
      </w:pPr>
    </w:p>
    <w:p w14:paraId="32E170D8" w14:textId="77777777" w:rsidR="00D161BC" w:rsidRDefault="00D161BC" w:rsidP="009A3B7E">
      <w:pPr>
        <w:pStyle w:val="Nadpisobsahuaseznamu"/>
        <w:jc w:val="both"/>
      </w:pPr>
    </w:p>
    <w:p w14:paraId="0DB2E577" w14:textId="77777777" w:rsidR="00D161BC" w:rsidRDefault="00D161BC" w:rsidP="009A3B7E">
      <w:pPr>
        <w:pStyle w:val="Nadpisobsahuaseznamu"/>
        <w:jc w:val="both"/>
      </w:pPr>
    </w:p>
    <w:p w14:paraId="2319B54A" w14:textId="77777777" w:rsidR="00D161BC" w:rsidRDefault="00D161BC" w:rsidP="009A3B7E">
      <w:pPr>
        <w:pStyle w:val="Nadpisobsahuaseznamu"/>
        <w:jc w:val="both"/>
      </w:pPr>
    </w:p>
    <w:p w14:paraId="2C4C8E0F" w14:textId="77777777" w:rsidR="00D161BC" w:rsidRDefault="00D161BC" w:rsidP="009A3B7E">
      <w:pPr>
        <w:pStyle w:val="Nadpisobsahuaseznamu"/>
        <w:jc w:val="both"/>
      </w:pPr>
    </w:p>
    <w:p w14:paraId="0FF29571" w14:textId="77777777" w:rsidR="00D161BC" w:rsidRDefault="00D161BC" w:rsidP="009A3B7E">
      <w:pPr>
        <w:pStyle w:val="Nadpisobsahuaseznamu"/>
        <w:jc w:val="both"/>
      </w:pPr>
    </w:p>
    <w:p w14:paraId="685BC82C" w14:textId="77777777" w:rsidR="00D161BC" w:rsidRDefault="00D161BC" w:rsidP="009A3B7E">
      <w:pPr>
        <w:pStyle w:val="Nadpisobsahuaseznamu"/>
        <w:jc w:val="both"/>
      </w:pPr>
    </w:p>
    <w:p w14:paraId="241B1BB3" w14:textId="77777777" w:rsidR="00D161BC" w:rsidRDefault="00D161BC" w:rsidP="009A3B7E">
      <w:pPr>
        <w:pStyle w:val="Nadpisobsahuaseznamu"/>
        <w:jc w:val="both"/>
      </w:pPr>
    </w:p>
    <w:p w14:paraId="3F026217" w14:textId="77777777" w:rsidR="00D161BC" w:rsidRDefault="00D161BC" w:rsidP="009A3B7E">
      <w:pPr>
        <w:pStyle w:val="Nadpisobsahuaseznamu"/>
        <w:jc w:val="both"/>
      </w:pPr>
    </w:p>
    <w:p w14:paraId="5979F1CF" w14:textId="77777777" w:rsidR="00D161BC" w:rsidRDefault="00D161BC" w:rsidP="009A3B7E">
      <w:pPr>
        <w:pStyle w:val="Nadpisobsahuaseznamu"/>
        <w:jc w:val="both"/>
      </w:pPr>
    </w:p>
    <w:p w14:paraId="363E69CB" w14:textId="77777777" w:rsidR="00D161BC" w:rsidRDefault="00D161BC" w:rsidP="009A3B7E">
      <w:pPr>
        <w:pStyle w:val="Nadpisobsahuaseznamu"/>
        <w:jc w:val="both"/>
      </w:pPr>
    </w:p>
    <w:p w14:paraId="136D5130" w14:textId="77777777" w:rsidR="00D161BC" w:rsidRDefault="00D161BC" w:rsidP="009A3B7E">
      <w:pPr>
        <w:pStyle w:val="Nadpisobsahuaseznamu"/>
        <w:jc w:val="both"/>
      </w:pPr>
    </w:p>
    <w:p w14:paraId="63D05A01" w14:textId="77777777" w:rsidR="00D161BC" w:rsidRDefault="00D161BC" w:rsidP="009A3B7E">
      <w:pPr>
        <w:pStyle w:val="Nadpisobsahuaseznamu"/>
        <w:jc w:val="both"/>
      </w:pPr>
    </w:p>
    <w:p w14:paraId="4B19C1B6" w14:textId="77777777" w:rsidR="00D161BC" w:rsidRDefault="00D161BC" w:rsidP="009A3B7E">
      <w:pPr>
        <w:pStyle w:val="Nadpisobsahuaseznamu"/>
        <w:jc w:val="both"/>
      </w:pPr>
    </w:p>
    <w:p w14:paraId="36294BCB" w14:textId="77777777" w:rsidR="00D161BC" w:rsidRDefault="00D161BC" w:rsidP="009A3B7E">
      <w:pPr>
        <w:pStyle w:val="Nadpisobsahuaseznamu"/>
        <w:jc w:val="both"/>
      </w:pPr>
    </w:p>
    <w:p w14:paraId="694D7B11" w14:textId="77777777" w:rsidR="00D161BC" w:rsidRDefault="00D161BC" w:rsidP="009A3B7E">
      <w:pPr>
        <w:pStyle w:val="Nadpisobsahuaseznamu"/>
        <w:jc w:val="both"/>
      </w:pPr>
    </w:p>
    <w:p w14:paraId="5C773096" w14:textId="77777777" w:rsidR="00D161BC" w:rsidRDefault="00D161BC" w:rsidP="009A3B7E">
      <w:pPr>
        <w:pStyle w:val="Nadpisobsahuaseznamu"/>
        <w:jc w:val="both"/>
      </w:pPr>
    </w:p>
    <w:p w14:paraId="638FDC88" w14:textId="77777777" w:rsidR="00D161BC" w:rsidRDefault="00D161BC" w:rsidP="009A3B7E">
      <w:pPr>
        <w:pStyle w:val="Nadpisobsahuaseznamu"/>
        <w:jc w:val="both"/>
      </w:pPr>
    </w:p>
    <w:p w14:paraId="210C38C8" w14:textId="77777777" w:rsidR="00D161BC" w:rsidRDefault="00D161BC" w:rsidP="009A3B7E">
      <w:pPr>
        <w:pStyle w:val="Nadpisobsahuaseznamu"/>
        <w:jc w:val="both"/>
      </w:pPr>
    </w:p>
    <w:p w14:paraId="6CEB0F4B" w14:textId="77777777" w:rsidR="00724C55" w:rsidRDefault="00724C55" w:rsidP="009A3B7E">
      <w:pPr>
        <w:pStyle w:val="Nadpisobsahuaseznamu"/>
        <w:jc w:val="both"/>
      </w:pPr>
      <w:r>
        <w:t>Seznam zkratek</w:t>
      </w:r>
    </w:p>
    <w:p w14:paraId="10B6AAC2" w14:textId="77777777" w:rsidR="00FF4D36" w:rsidRDefault="00FF4D36" w:rsidP="009A3B7E">
      <w:pPr>
        <w:pStyle w:val="Zkratky"/>
        <w:tabs>
          <w:tab w:val="left" w:leader="dot" w:pos="2127"/>
        </w:tabs>
        <w:jc w:val="both"/>
      </w:pPr>
      <w:r w:rsidRPr="00D5678F">
        <w:t>AC</w:t>
      </w:r>
      <w:r>
        <w:tab/>
      </w:r>
      <w:r>
        <w:tab/>
      </w:r>
      <w:r w:rsidRPr="00D5678F">
        <w:t>Střídavý proud</w:t>
      </w:r>
    </w:p>
    <w:p w14:paraId="4AC1875A" w14:textId="61D9027F" w:rsidR="00982B1C" w:rsidRPr="00D5678F" w:rsidRDefault="00982B1C" w:rsidP="009A3B7E">
      <w:pPr>
        <w:pStyle w:val="Zkratky"/>
        <w:tabs>
          <w:tab w:val="left" w:leader="dot" w:pos="2127"/>
        </w:tabs>
        <w:jc w:val="both"/>
      </w:pPr>
      <w:r>
        <w:t>API</w:t>
      </w:r>
      <w:r>
        <w:tab/>
      </w:r>
      <w:r>
        <w:tab/>
        <w:t>Agentura pro podnikání a</w:t>
      </w:r>
      <w:r w:rsidR="005A1247">
        <w:t> </w:t>
      </w:r>
      <w:r>
        <w:t>inovace</w:t>
      </w:r>
    </w:p>
    <w:p w14:paraId="7D726E58" w14:textId="77777777" w:rsidR="00FF4D36" w:rsidRPr="00D5678F" w:rsidRDefault="00FF4D36" w:rsidP="009A3B7E">
      <w:pPr>
        <w:pStyle w:val="Zkratky"/>
        <w:tabs>
          <w:tab w:val="left" w:leader="dot" w:pos="2127"/>
        </w:tabs>
        <w:jc w:val="both"/>
      </w:pPr>
      <w:r w:rsidRPr="00D5678F">
        <w:t>AutoSAP</w:t>
      </w:r>
      <w:r w:rsidRPr="00D5678F">
        <w:tab/>
      </w:r>
      <w:r>
        <w:tab/>
      </w:r>
      <w:r w:rsidRPr="00D5678F">
        <w:t xml:space="preserve">Sdružení automobilového průmyslu </w:t>
      </w:r>
    </w:p>
    <w:p w14:paraId="2A002054" w14:textId="391516FA" w:rsidR="00FF4D36" w:rsidRDefault="00FF4D36" w:rsidP="009A3B7E">
      <w:pPr>
        <w:pStyle w:val="Zkratky"/>
        <w:tabs>
          <w:tab w:val="left" w:leader="dot" w:pos="2127"/>
        </w:tabs>
        <w:jc w:val="both"/>
      </w:pPr>
      <w:r w:rsidRPr="00D5678F">
        <w:t>BEV</w:t>
      </w:r>
      <w:r w:rsidRPr="00D5678F">
        <w:tab/>
      </w:r>
      <w:r>
        <w:tab/>
      </w:r>
      <w:r w:rsidRPr="00D5678F">
        <w:t>Vozidlo s</w:t>
      </w:r>
      <w:r w:rsidR="005A1247">
        <w:t> </w:t>
      </w:r>
      <w:r w:rsidRPr="00D5678F">
        <w:t>čistě elektrickým pohonem (Battery Electric Vehicle)</w:t>
      </w:r>
    </w:p>
    <w:p w14:paraId="61E501D1" w14:textId="77777777" w:rsidR="00982B1C" w:rsidRDefault="00982B1C" w:rsidP="009A3B7E">
      <w:pPr>
        <w:pStyle w:val="Zkratky"/>
        <w:tabs>
          <w:tab w:val="left" w:leader="dot" w:pos="2127"/>
        </w:tabs>
        <w:jc w:val="both"/>
      </w:pPr>
      <w:r>
        <w:t>BPS</w:t>
      </w:r>
      <w:r>
        <w:tab/>
      </w:r>
      <w:r>
        <w:tab/>
        <w:t>Bioplynová stanice</w:t>
      </w:r>
    </w:p>
    <w:p w14:paraId="29839DD2" w14:textId="3E8FD84B" w:rsidR="00982B1C" w:rsidRPr="00D5678F" w:rsidRDefault="00982B1C" w:rsidP="009A3B7E">
      <w:pPr>
        <w:pStyle w:val="Zkratky"/>
        <w:tabs>
          <w:tab w:val="left" w:leader="dot" w:pos="2127"/>
        </w:tabs>
        <w:jc w:val="both"/>
      </w:pPr>
      <w:r>
        <w:t>CAFT</w:t>
      </w:r>
      <w:r>
        <w:tab/>
      </w:r>
      <w:r>
        <w:tab/>
        <w:t>Cech akumulace a</w:t>
      </w:r>
      <w:r w:rsidR="005A1247">
        <w:t> </w:t>
      </w:r>
      <w:r>
        <w:t>fotovoltaiky</w:t>
      </w:r>
    </w:p>
    <w:p w14:paraId="394A5489" w14:textId="77777777" w:rsidR="00FF4D36" w:rsidRDefault="00FF4D36" w:rsidP="009A3B7E">
      <w:pPr>
        <w:pStyle w:val="Zkratky"/>
        <w:tabs>
          <w:tab w:val="left" w:leader="dot" w:pos="2127"/>
        </w:tabs>
        <w:jc w:val="both"/>
      </w:pPr>
      <w:r w:rsidRPr="00D5678F">
        <w:t>CDV</w:t>
      </w:r>
      <w:r w:rsidRPr="00D5678F">
        <w:tab/>
      </w:r>
      <w:r>
        <w:tab/>
      </w:r>
      <w:r w:rsidRPr="00D5678F">
        <w:t>Centrum dopravního výzkumu</w:t>
      </w:r>
    </w:p>
    <w:p w14:paraId="7399DE0A" w14:textId="77777777" w:rsidR="001C0C96" w:rsidRPr="00D5678F" w:rsidRDefault="001C0C96" w:rsidP="001C0C96">
      <w:pPr>
        <w:pStyle w:val="Zkratky"/>
        <w:tabs>
          <w:tab w:val="left" w:leader="dot" w:pos="2127"/>
        </w:tabs>
        <w:jc w:val="both"/>
      </w:pPr>
      <w:r>
        <w:t xml:space="preserve">CEF </w:t>
      </w:r>
      <w:r>
        <w:tab/>
      </w:r>
      <w:r>
        <w:tab/>
      </w:r>
      <w:r w:rsidRPr="00876D6A">
        <w:t xml:space="preserve">Connecting Europe Facility </w:t>
      </w:r>
      <w:r>
        <w:t>(</w:t>
      </w:r>
      <w:r w:rsidRPr="00876D6A">
        <w:t>Nástroj pro propojení Evropy</w:t>
      </w:r>
      <w:r>
        <w:t>)</w:t>
      </w:r>
    </w:p>
    <w:p w14:paraId="70E81067" w14:textId="77777777" w:rsidR="00FF4D36" w:rsidRPr="00D5678F" w:rsidRDefault="00FF4D36" w:rsidP="009A3B7E">
      <w:pPr>
        <w:pStyle w:val="Zkratky"/>
        <w:tabs>
          <w:tab w:val="left" w:leader="dot" w:pos="2127"/>
        </w:tabs>
        <w:jc w:val="both"/>
      </w:pPr>
      <w:r w:rsidRPr="00D5678F">
        <w:t>CNG</w:t>
      </w:r>
      <w:r w:rsidRPr="00D5678F">
        <w:tab/>
      </w:r>
      <w:r>
        <w:tab/>
      </w:r>
      <w:r w:rsidRPr="00D5678F">
        <w:t>Stlačený zemní plyn</w:t>
      </w:r>
    </w:p>
    <w:p w14:paraId="11CA397B" w14:textId="77777777" w:rsidR="00FF4D36" w:rsidRDefault="00FF4D36" w:rsidP="009A3B7E">
      <w:pPr>
        <w:pStyle w:val="Zkratky"/>
        <w:tabs>
          <w:tab w:val="left" w:leader="dot" w:pos="2127"/>
        </w:tabs>
        <w:jc w:val="both"/>
      </w:pPr>
      <w:r w:rsidRPr="00D5678F">
        <w:t>CO</w:t>
      </w:r>
      <w:r w:rsidRPr="00D5678F">
        <w:rPr>
          <w:vertAlign w:val="subscript"/>
        </w:rPr>
        <w:t>2</w:t>
      </w:r>
      <w:r w:rsidRPr="00D5678F">
        <w:t xml:space="preserve"> </w:t>
      </w:r>
      <w:r w:rsidRPr="00D5678F">
        <w:tab/>
      </w:r>
      <w:r>
        <w:tab/>
      </w:r>
      <w:r w:rsidRPr="00D5678F">
        <w:t>Oxid uhličitý</w:t>
      </w:r>
    </w:p>
    <w:p w14:paraId="160BD31E" w14:textId="77777777" w:rsidR="001C0C96" w:rsidRDefault="001C0C96" w:rsidP="001C0C96">
      <w:pPr>
        <w:pStyle w:val="Zkratky"/>
        <w:tabs>
          <w:tab w:val="left" w:leader="dot" w:pos="2127"/>
        </w:tabs>
        <w:jc w:val="both"/>
      </w:pPr>
      <w:r>
        <w:t>CPO</w:t>
      </w:r>
      <w:r>
        <w:tab/>
      </w:r>
      <w:r>
        <w:tab/>
      </w:r>
      <w:r w:rsidRPr="009C24C2">
        <w:t>provozovatel dobíjecí stanic</w:t>
      </w:r>
      <w:r>
        <w:t>e</w:t>
      </w:r>
    </w:p>
    <w:p w14:paraId="5EAED88C" w14:textId="77777777" w:rsidR="001C0C96" w:rsidRDefault="001C0C96" w:rsidP="001C0C96">
      <w:pPr>
        <w:pStyle w:val="Zkratky"/>
        <w:tabs>
          <w:tab w:val="left" w:leader="dot" w:pos="2127"/>
        </w:tabs>
        <w:jc w:val="both"/>
      </w:pPr>
      <w:r>
        <w:t>CZ BIOM</w:t>
      </w:r>
      <w:r>
        <w:tab/>
      </w:r>
      <w:r>
        <w:tab/>
      </w:r>
      <w:r w:rsidRPr="009C24C2">
        <w:t>České sdružení pro biomasu, z.s.</w:t>
      </w:r>
    </w:p>
    <w:p w14:paraId="74B66AF7" w14:textId="0129FF14" w:rsidR="001C0C96" w:rsidRDefault="001C0C96" w:rsidP="001C0C96">
      <w:pPr>
        <w:pStyle w:val="Zkratky"/>
        <w:tabs>
          <w:tab w:val="left" w:leader="dot" w:pos="2127"/>
        </w:tabs>
        <w:jc w:val="both"/>
      </w:pPr>
      <w:r>
        <w:t>ČALPG</w:t>
      </w:r>
      <w:r>
        <w:tab/>
      </w:r>
      <w:r>
        <w:tab/>
      </w:r>
      <w:r w:rsidRPr="0064154A">
        <w:t>České vysoké učení technické v</w:t>
      </w:r>
      <w:r w:rsidR="005A1247">
        <w:t> </w:t>
      </w:r>
      <w:r w:rsidRPr="0064154A">
        <w:t>Praze</w:t>
      </w:r>
    </w:p>
    <w:p w14:paraId="15328C74" w14:textId="77777777" w:rsidR="001C0C96" w:rsidRDefault="001C0C96" w:rsidP="001C0C96">
      <w:pPr>
        <w:pStyle w:val="Zkratky"/>
        <w:tabs>
          <w:tab w:val="left" w:leader="dot" w:pos="2127"/>
        </w:tabs>
        <w:jc w:val="both"/>
      </w:pPr>
      <w:r>
        <w:t>ČAS</w:t>
      </w:r>
      <w:r>
        <w:tab/>
      </w:r>
      <w:r>
        <w:tab/>
      </w:r>
      <w:r w:rsidRPr="00135A8C">
        <w:t>Česká agentura pro standardizaci</w:t>
      </w:r>
    </w:p>
    <w:p w14:paraId="4F430865" w14:textId="77777777" w:rsidR="00FF4D36" w:rsidRPr="00D5678F" w:rsidRDefault="00FF4D36" w:rsidP="009A3B7E">
      <w:pPr>
        <w:pStyle w:val="Zkratky"/>
        <w:tabs>
          <w:tab w:val="left" w:leader="dot" w:pos="2127"/>
        </w:tabs>
        <w:jc w:val="both"/>
      </w:pPr>
      <w:r w:rsidRPr="00D5678F">
        <w:t>ČPS</w:t>
      </w:r>
      <w:r w:rsidRPr="00D5678F">
        <w:tab/>
      </w:r>
      <w:r>
        <w:tab/>
      </w:r>
      <w:r w:rsidRPr="00D5678F">
        <w:t>Český plynárenský svaz</w:t>
      </w:r>
    </w:p>
    <w:p w14:paraId="59A5E4C1" w14:textId="77777777" w:rsidR="00FF4D36" w:rsidRDefault="00FF4D36" w:rsidP="009A3B7E">
      <w:pPr>
        <w:pStyle w:val="Zkratky"/>
        <w:tabs>
          <w:tab w:val="left" w:leader="dot" w:pos="2127"/>
        </w:tabs>
        <w:jc w:val="both"/>
      </w:pPr>
      <w:r w:rsidRPr="00D5678F">
        <w:t>ČR</w:t>
      </w:r>
      <w:r w:rsidRPr="00D5678F">
        <w:tab/>
      </w:r>
      <w:r>
        <w:tab/>
      </w:r>
      <w:r w:rsidRPr="00D5678F">
        <w:t>Česká republika</w:t>
      </w:r>
    </w:p>
    <w:p w14:paraId="4C45A6B1" w14:textId="77777777" w:rsidR="001C0C96" w:rsidRDefault="001C0C96" w:rsidP="001C0C96">
      <w:pPr>
        <w:pStyle w:val="Zkratky"/>
        <w:tabs>
          <w:tab w:val="left" w:leader="dot" w:pos="2127"/>
        </w:tabs>
        <w:jc w:val="both"/>
      </w:pPr>
      <w:r>
        <w:t>ČSN</w:t>
      </w:r>
      <w:r>
        <w:tab/>
      </w:r>
      <w:r>
        <w:tab/>
        <w:t>Č</w:t>
      </w:r>
      <w:r w:rsidRPr="003A5CB7">
        <w:t>eská technická norma</w:t>
      </w:r>
    </w:p>
    <w:p w14:paraId="2718A154" w14:textId="72B2D29B" w:rsidR="001C0C96" w:rsidRDefault="001C0C96" w:rsidP="001C0C96">
      <w:pPr>
        <w:pStyle w:val="Zkratky"/>
        <w:tabs>
          <w:tab w:val="left" w:leader="dot" w:pos="2127"/>
        </w:tabs>
        <w:jc w:val="both"/>
      </w:pPr>
      <w:r>
        <w:t>ČVUT</w:t>
      </w:r>
      <w:r>
        <w:tab/>
      </w:r>
      <w:r>
        <w:tab/>
        <w:t>České vysoké učení technické</w:t>
      </w:r>
      <w:r w:rsidR="00ED25EF">
        <w:t xml:space="preserve"> v</w:t>
      </w:r>
      <w:r w:rsidR="005A1247">
        <w:t> </w:t>
      </w:r>
      <w:r w:rsidR="00ED25EF">
        <w:t>Praze</w:t>
      </w:r>
    </w:p>
    <w:p w14:paraId="76F1E2DD" w14:textId="1628EBDD" w:rsidR="001C0C96" w:rsidRPr="00D5678F" w:rsidRDefault="001C0C96" w:rsidP="001C0C96">
      <w:pPr>
        <w:pStyle w:val="Zkratky"/>
        <w:tabs>
          <w:tab w:val="left" w:leader="dot" w:pos="2127"/>
        </w:tabs>
        <w:jc w:val="both"/>
      </w:pPr>
      <w:r>
        <w:t>Daas</w:t>
      </w:r>
      <w:r>
        <w:tab/>
      </w:r>
      <w:r>
        <w:tab/>
      </w:r>
      <w:r w:rsidRPr="003A5CB7">
        <w:t>Delivery as a</w:t>
      </w:r>
      <w:r w:rsidR="005A1247">
        <w:t> </w:t>
      </w:r>
      <w:r w:rsidRPr="003A5CB7">
        <w:t>Service</w:t>
      </w:r>
    </w:p>
    <w:p w14:paraId="38991FD6" w14:textId="77777777" w:rsidR="00FF4D36" w:rsidRDefault="00FF4D36" w:rsidP="009A3B7E">
      <w:pPr>
        <w:pStyle w:val="Zkratky"/>
        <w:tabs>
          <w:tab w:val="left" w:leader="dot" w:pos="2127"/>
        </w:tabs>
        <w:jc w:val="both"/>
      </w:pPr>
      <w:r w:rsidRPr="00D5678F">
        <w:t>DC</w:t>
      </w:r>
      <w:r w:rsidRPr="00D5678F">
        <w:tab/>
      </w:r>
      <w:r>
        <w:tab/>
      </w:r>
      <w:r w:rsidRPr="00D5678F">
        <w:t>Stejnosměrný proud</w:t>
      </w:r>
    </w:p>
    <w:p w14:paraId="65672FC7" w14:textId="3AB080C7" w:rsidR="00FF4D36" w:rsidRDefault="00FF4D36" w:rsidP="009A3B7E">
      <w:pPr>
        <w:pStyle w:val="Zkratky"/>
        <w:tabs>
          <w:tab w:val="left" w:leader="dot" w:pos="2127"/>
        </w:tabs>
        <w:jc w:val="both"/>
      </w:pPr>
      <w:r w:rsidRPr="00D5678F">
        <w:t>DPH</w:t>
      </w:r>
      <w:r w:rsidRPr="00D5678F">
        <w:tab/>
      </w:r>
      <w:r>
        <w:tab/>
      </w:r>
      <w:r w:rsidRPr="00D5678F">
        <w:t>Daň z</w:t>
      </w:r>
      <w:r w:rsidR="005A1247">
        <w:t> </w:t>
      </w:r>
      <w:r w:rsidRPr="00D5678F">
        <w:t>přidané hodnoty</w:t>
      </w:r>
    </w:p>
    <w:p w14:paraId="42A0D9BB" w14:textId="77777777" w:rsidR="00FF4D36" w:rsidRDefault="00FF4D36" w:rsidP="009A3B7E">
      <w:pPr>
        <w:pStyle w:val="Zkratky"/>
        <w:tabs>
          <w:tab w:val="left" w:leader="dot" w:pos="2127"/>
        </w:tabs>
        <w:jc w:val="both"/>
      </w:pPr>
      <w:r w:rsidRPr="00D5678F">
        <w:t>DS</w:t>
      </w:r>
      <w:r w:rsidRPr="00D5678F">
        <w:tab/>
      </w:r>
      <w:r>
        <w:tab/>
      </w:r>
      <w:r w:rsidRPr="00D5678F">
        <w:t>Distribuční soustava</w:t>
      </w:r>
    </w:p>
    <w:p w14:paraId="2FCDBF1D" w14:textId="77777777" w:rsidR="001C0C96" w:rsidRPr="00D5678F" w:rsidRDefault="001C0C96" w:rsidP="00B502A0">
      <w:pPr>
        <w:pStyle w:val="Zkratky"/>
        <w:tabs>
          <w:tab w:val="left" w:leader="dot" w:pos="2127"/>
        </w:tabs>
        <w:ind w:left="2835" w:hanging="2835"/>
        <w:jc w:val="both"/>
      </w:pPr>
      <w:r>
        <w:t>EHSP</w:t>
      </w:r>
      <w:r>
        <w:tab/>
      </w:r>
      <w:r>
        <w:tab/>
      </w:r>
      <w:r w:rsidRPr="003A5CB7">
        <w:t>European Hydrogen Safety Pane</w:t>
      </w:r>
      <w:r w:rsidR="00933130">
        <w:t xml:space="preserve">l </w:t>
      </w:r>
    </w:p>
    <w:p w14:paraId="03298FC2" w14:textId="77777777" w:rsidR="00FF4D36" w:rsidRPr="00D5678F" w:rsidRDefault="00FF4D36" w:rsidP="009A3B7E">
      <w:pPr>
        <w:pStyle w:val="Zkratky"/>
        <w:tabs>
          <w:tab w:val="left" w:leader="dot" w:pos="2127"/>
        </w:tabs>
        <w:jc w:val="both"/>
      </w:pPr>
      <w:r w:rsidRPr="00D5678F">
        <w:t>EIA</w:t>
      </w:r>
      <w:r w:rsidRPr="00D5678F">
        <w:tab/>
      </w:r>
      <w:r>
        <w:tab/>
      </w:r>
      <w:r w:rsidRPr="00D5678F">
        <w:t>Vyhodnocení vlivů na životní prostředí</w:t>
      </w:r>
    </w:p>
    <w:p w14:paraId="6C7CBF3E" w14:textId="77777777" w:rsidR="00FF4D36" w:rsidRDefault="00FF4D36" w:rsidP="009A3B7E">
      <w:pPr>
        <w:pStyle w:val="Zkratky"/>
        <w:tabs>
          <w:tab w:val="left" w:leader="dot" w:pos="2127"/>
        </w:tabs>
        <w:jc w:val="both"/>
      </w:pPr>
      <w:r w:rsidRPr="00D5678F">
        <w:t>EK</w:t>
      </w:r>
      <w:r w:rsidRPr="00D5678F">
        <w:tab/>
      </w:r>
      <w:r>
        <w:tab/>
      </w:r>
      <w:r w:rsidRPr="00D5678F">
        <w:t>Evropská komise</w:t>
      </w:r>
    </w:p>
    <w:p w14:paraId="08C1AF75" w14:textId="77777777" w:rsidR="001C0C96" w:rsidRPr="00D5678F" w:rsidRDefault="001C0C96" w:rsidP="001C0C96">
      <w:pPr>
        <w:pStyle w:val="Zkratky"/>
        <w:tabs>
          <w:tab w:val="left" w:leader="dot" w:pos="2127"/>
        </w:tabs>
        <w:jc w:val="both"/>
      </w:pPr>
      <w:r>
        <w:t>EMP</w:t>
      </w:r>
      <w:r>
        <w:tab/>
      </w:r>
      <w:r>
        <w:tab/>
        <w:t>P</w:t>
      </w:r>
      <w:r w:rsidRPr="009C24C2">
        <w:t>oskytovatel služby dobíjení</w:t>
      </w:r>
    </w:p>
    <w:p w14:paraId="0974BE59" w14:textId="77777777" w:rsidR="00FF4D36" w:rsidRDefault="00FF4D36" w:rsidP="009A3B7E">
      <w:pPr>
        <w:pStyle w:val="Zkratky"/>
        <w:tabs>
          <w:tab w:val="left" w:leader="dot" w:pos="2127"/>
        </w:tabs>
        <w:jc w:val="both"/>
      </w:pPr>
      <w:r w:rsidRPr="00D5678F">
        <w:t>ERÚ</w:t>
      </w:r>
      <w:r w:rsidRPr="00D5678F">
        <w:tab/>
      </w:r>
      <w:r>
        <w:tab/>
      </w:r>
      <w:r w:rsidRPr="00D5678F">
        <w:t>Energetický regulační úřad</w:t>
      </w:r>
    </w:p>
    <w:p w14:paraId="5EB72190" w14:textId="30C47A7D" w:rsidR="001C0C96" w:rsidRPr="00D5678F" w:rsidRDefault="001C0C96" w:rsidP="001C0C96">
      <w:pPr>
        <w:pStyle w:val="Zkratky"/>
        <w:tabs>
          <w:tab w:val="left" w:leader="dot" w:pos="2127"/>
        </w:tabs>
        <w:jc w:val="both"/>
      </w:pPr>
    </w:p>
    <w:p w14:paraId="328F8B39" w14:textId="2FF2DFC3" w:rsidR="00FF4D36" w:rsidRPr="00D5678F" w:rsidRDefault="00FF4D36" w:rsidP="009A3B7E">
      <w:pPr>
        <w:pStyle w:val="Zkratky"/>
        <w:tabs>
          <w:tab w:val="left" w:leader="dot" w:pos="2127"/>
        </w:tabs>
        <w:jc w:val="both"/>
      </w:pPr>
      <w:r w:rsidRPr="00D5678F">
        <w:t>EU ETS</w:t>
      </w:r>
      <w:r w:rsidRPr="00D5678F">
        <w:tab/>
      </w:r>
      <w:r>
        <w:tab/>
      </w:r>
      <w:r w:rsidRPr="00D5678F">
        <w:t>Evropský systém obchodování s</w:t>
      </w:r>
      <w:r w:rsidR="005A1247">
        <w:t> </w:t>
      </w:r>
      <w:r w:rsidRPr="00D5678F">
        <w:t>emisními povolenkami</w:t>
      </w:r>
    </w:p>
    <w:p w14:paraId="47DCD17D" w14:textId="77777777" w:rsidR="00FF4D36" w:rsidRDefault="00FF4D36" w:rsidP="009A3B7E">
      <w:pPr>
        <w:pStyle w:val="Zkratky"/>
        <w:tabs>
          <w:tab w:val="left" w:leader="dot" w:pos="2127"/>
        </w:tabs>
        <w:jc w:val="both"/>
      </w:pPr>
      <w:r w:rsidRPr="00D5678F">
        <w:t>EU</w:t>
      </w:r>
      <w:r w:rsidRPr="00D5678F">
        <w:tab/>
      </w:r>
      <w:r>
        <w:tab/>
      </w:r>
      <w:r w:rsidRPr="00D5678F">
        <w:t>Evropská unie</w:t>
      </w:r>
    </w:p>
    <w:p w14:paraId="7D5D82B2" w14:textId="09C94FEB" w:rsidR="00FF4D36" w:rsidRDefault="00FF4D36" w:rsidP="009A3B7E">
      <w:pPr>
        <w:pStyle w:val="Zkratky"/>
        <w:tabs>
          <w:tab w:val="left" w:leader="dot" w:pos="2127"/>
        </w:tabs>
        <w:jc w:val="both"/>
      </w:pPr>
      <w:r w:rsidRPr="00D5678F">
        <w:t>EURO I</w:t>
      </w:r>
      <w:r w:rsidR="005A1247">
        <w:t> </w:t>
      </w:r>
      <w:r w:rsidRPr="00D5678F">
        <w:t>- VI</w:t>
      </w:r>
      <w:r w:rsidRPr="00D5678F">
        <w:tab/>
      </w:r>
      <w:r>
        <w:tab/>
      </w:r>
      <w:r w:rsidRPr="00D5678F">
        <w:t>Evropské emisní normy pro motorová vozidla</w:t>
      </w:r>
    </w:p>
    <w:p w14:paraId="076BE226" w14:textId="77777777" w:rsidR="001C0C96" w:rsidRPr="00D5678F" w:rsidRDefault="001C0C96" w:rsidP="001C0C96">
      <w:pPr>
        <w:pStyle w:val="Zkratky"/>
        <w:tabs>
          <w:tab w:val="left" w:leader="dot" w:pos="2127"/>
        </w:tabs>
        <w:jc w:val="both"/>
      </w:pPr>
      <w:r>
        <w:t>EV</w:t>
      </w:r>
      <w:r>
        <w:tab/>
      </w:r>
      <w:r>
        <w:tab/>
        <w:t>Elektromobil</w:t>
      </w:r>
    </w:p>
    <w:p w14:paraId="50CF8C78" w14:textId="77777777" w:rsidR="00FF4D36" w:rsidRDefault="00FF4D36" w:rsidP="009A3B7E">
      <w:pPr>
        <w:pStyle w:val="Zkratky"/>
        <w:tabs>
          <w:tab w:val="left" w:leader="dot" w:pos="2127"/>
        </w:tabs>
        <w:jc w:val="both"/>
      </w:pPr>
      <w:r w:rsidRPr="00D5678F">
        <w:t>EZ</w:t>
      </w:r>
      <w:r w:rsidRPr="00D5678F">
        <w:tab/>
      </w:r>
      <w:r>
        <w:tab/>
      </w:r>
      <w:r w:rsidRPr="00D5678F">
        <w:t>Energetický zákon</w:t>
      </w:r>
    </w:p>
    <w:p w14:paraId="454CA811" w14:textId="77777777" w:rsidR="001C0C96" w:rsidRPr="00D5678F" w:rsidRDefault="001C0C96" w:rsidP="001C0C96">
      <w:pPr>
        <w:pStyle w:val="Zkratky"/>
        <w:tabs>
          <w:tab w:val="left" w:leader="dot" w:pos="2127"/>
        </w:tabs>
        <w:jc w:val="both"/>
      </w:pPr>
      <w:r>
        <w:t>FCEB</w:t>
      </w:r>
      <w:r>
        <w:tab/>
      </w:r>
      <w:r>
        <w:tab/>
        <w:t>Autobus na vodíkový pohon</w:t>
      </w:r>
    </w:p>
    <w:p w14:paraId="28D8712A" w14:textId="5720C619" w:rsidR="00FF4D36" w:rsidRDefault="00FF4D36" w:rsidP="009A3B7E">
      <w:pPr>
        <w:pStyle w:val="Zkratky"/>
        <w:tabs>
          <w:tab w:val="left" w:leader="dot" w:pos="2127"/>
        </w:tabs>
        <w:jc w:val="both"/>
      </w:pPr>
      <w:r w:rsidRPr="00D5678F">
        <w:t>FCEV</w:t>
      </w:r>
      <w:r w:rsidRPr="00D5678F">
        <w:tab/>
      </w:r>
      <w:r>
        <w:tab/>
      </w:r>
      <w:r w:rsidRPr="00D5678F">
        <w:t>Automobil s</w:t>
      </w:r>
      <w:r w:rsidR="005A1247">
        <w:t> </w:t>
      </w:r>
      <w:r w:rsidRPr="00D5678F">
        <w:t>palivovými články</w:t>
      </w:r>
    </w:p>
    <w:p w14:paraId="127A1BB2" w14:textId="77777777" w:rsidR="001C0C96" w:rsidRDefault="001C0C96" w:rsidP="001C0C96">
      <w:pPr>
        <w:pStyle w:val="Zkratky"/>
        <w:tabs>
          <w:tab w:val="left" w:leader="dot" w:pos="2127"/>
        </w:tabs>
        <w:jc w:val="both"/>
      </w:pPr>
      <w:r w:rsidRPr="00056351">
        <w:t>FCH JU</w:t>
      </w:r>
      <w:r>
        <w:tab/>
      </w:r>
      <w:r>
        <w:tab/>
      </w:r>
      <w:r w:rsidRPr="00056351">
        <w:t xml:space="preserve">Fuel </w:t>
      </w:r>
      <w:r>
        <w:t>Cell Hydrogen Joint Undertaking</w:t>
      </w:r>
    </w:p>
    <w:p w14:paraId="7185416B" w14:textId="77777777" w:rsidR="001C0C96" w:rsidRDefault="001C0C96" w:rsidP="001C0C96">
      <w:pPr>
        <w:pStyle w:val="Zkratky"/>
        <w:tabs>
          <w:tab w:val="left" w:leader="dot" w:pos="2127"/>
        </w:tabs>
        <w:jc w:val="both"/>
      </w:pPr>
      <w:r>
        <w:t>GSG</w:t>
      </w:r>
      <w:r>
        <w:tab/>
      </w:r>
      <w:r>
        <w:tab/>
      </w:r>
      <w:r w:rsidRPr="00056351">
        <w:t>Governmental Support Group</w:t>
      </w:r>
      <w:r>
        <w:t xml:space="preserve"> (neformální uskupení států)</w:t>
      </w:r>
    </w:p>
    <w:p w14:paraId="202BAA32" w14:textId="3E5FDE7F" w:rsidR="001C0C96" w:rsidRDefault="001C0C96" w:rsidP="001C0C96">
      <w:pPr>
        <w:pStyle w:val="Zkratky"/>
        <w:tabs>
          <w:tab w:val="left" w:leader="dot" w:pos="2127"/>
        </w:tabs>
        <w:jc w:val="both"/>
      </w:pPr>
      <w:r w:rsidRPr="00056351">
        <w:t>FHEV</w:t>
      </w:r>
      <w:r>
        <w:tab/>
      </w:r>
      <w:r>
        <w:tab/>
        <w:t>V</w:t>
      </w:r>
      <w:r w:rsidRPr="00056351">
        <w:t>ozidl</w:t>
      </w:r>
      <w:r>
        <w:t>o</w:t>
      </w:r>
      <w:r w:rsidRPr="00056351">
        <w:t xml:space="preserve"> s</w:t>
      </w:r>
      <w:r w:rsidR="005A1247">
        <w:t> </w:t>
      </w:r>
      <w:r w:rsidRPr="00056351">
        <w:t xml:space="preserve">plně hybridním pohonem </w:t>
      </w:r>
    </w:p>
    <w:p w14:paraId="462D119C" w14:textId="77777777" w:rsidR="001C0C96" w:rsidRDefault="001C0C96" w:rsidP="001C0C96">
      <w:pPr>
        <w:pStyle w:val="Zkratky"/>
        <w:tabs>
          <w:tab w:val="left" w:leader="dot" w:pos="2127"/>
        </w:tabs>
        <w:jc w:val="both"/>
      </w:pPr>
      <w:r>
        <w:t>FVE</w:t>
      </w:r>
      <w:r>
        <w:tab/>
      </w:r>
      <w:r>
        <w:tab/>
        <w:t>Fotovoltaická elektrárna</w:t>
      </w:r>
    </w:p>
    <w:p w14:paraId="4A097885" w14:textId="77777777" w:rsidR="00FF4D36" w:rsidRDefault="00FF4D36" w:rsidP="009A3B7E">
      <w:pPr>
        <w:pStyle w:val="Zkratky"/>
        <w:tabs>
          <w:tab w:val="left" w:leader="dot" w:pos="2127"/>
        </w:tabs>
        <w:jc w:val="both"/>
      </w:pPr>
      <w:r w:rsidRPr="00D5678F">
        <w:t>H</w:t>
      </w:r>
      <w:r w:rsidRPr="00D5678F">
        <w:rPr>
          <w:vertAlign w:val="subscript"/>
        </w:rPr>
        <w:t>2</w:t>
      </w:r>
      <w:r w:rsidRPr="00D5678F">
        <w:tab/>
      </w:r>
      <w:r>
        <w:tab/>
      </w:r>
      <w:r w:rsidRPr="00D5678F">
        <w:t>Vodík</w:t>
      </w:r>
    </w:p>
    <w:p w14:paraId="686160E7" w14:textId="77777777" w:rsidR="001C0C96" w:rsidRDefault="001C0C96" w:rsidP="009A3B7E">
      <w:pPr>
        <w:pStyle w:val="Zkratky"/>
        <w:tabs>
          <w:tab w:val="left" w:leader="dot" w:pos="2127"/>
        </w:tabs>
        <w:jc w:val="both"/>
      </w:pPr>
      <w:r>
        <w:t>HRS</w:t>
      </w:r>
      <w:r>
        <w:tab/>
      </w:r>
      <w:r>
        <w:tab/>
        <w:t xml:space="preserve">Hydrogen </w:t>
      </w:r>
      <w:r w:rsidRPr="00EB0389">
        <w:t>refuelling stations</w:t>
      </w:r>
      <w:r>
        <w:t xml:space="preserve"> (vodíková plnící stanice)</w:t>
      </w:r>
    </w:p>
    <w:p w14:paraId="7ACF6EE8" w14:textId="77777777" w:rsidR="001C0C96" w:rsidRPr="00D5678F" w:rsidRDefault="001C0C96" w:rsidP="001C0C96">
      <w:pPr>
        <w:pStyle w:val="Zkratky"/>
        <w:tabs>
          <w:tab w:val="left" w:leader="dot" w:pos="2127"/>
        </w:tabs>
        <w:jc w:val="both"/>
      </w:pPr>
      <w:r>
        <w:t>HVO</w:t>
      </w:r>
      <w:r>
        <w:tab/>
      </w:r>
      <w:r>
        <w:tab/>
        <w:t>H</w:t>
      </w:r>
      <w:r w:rsidRPr="00EB0389">
        <w:t>ydrogenovaný olej</w:t>
      </w:r>
    </w:p>
    <w:p w14:paraId="02DEB731" w14:textId="77777777" w:rsidR="00FF4D36" w:rsidRPr="00D5678F" w:rsidRDefault="00FF4D36" w:rsidP="009A3B7E">
      <w:pPr>
        <w:pStyle w:val="Zkratky"/>
        <w:tabs>
          <w:tab w:val="left" w:leader="dot" w:pos="2127"/>
        </w:tabs>
        <w:jc w:val="both"/>
      </w:pPr>
      <w:r w:rsidRPr="00D5678F">
        <w:t>HYTEP</w:t>
      </w:r>
      <w:r w:rsidRPr="00D5678F">
        <w:tab/>
      </w:r>
      <w:r>
        <w:tab/>
      </w:r>
      <w:r w:rsidRPr="00D5678F">
        <w:t>Česká vodíková technologická platforma</w:t>
      </w:r>
    </w:p>
    <w:p w14:paraId="35267E7C" w14:textId="77777777" w:rsidR="00FF4D36" w:rsidRPr="00D5678F" w:rsidRDefault="00FF4D36" w:rsidP="009A3B7E">
      <w:pPr>
        <w:pStyle w:val="Zkratky"/>
        <w:tabs>
          <w:tab w:val="left" w:leader="dot" w:pos="2127"/>
        </w:tabs>
        <w:jc w:val="both"/>
      </w:pPr>
      <w:r w:rsidRPr="00D5678F">
        <w:t>HZS ČR</w:t>
      </w:r>
      <w:r w:rsidRPr="00D5678F">
        <w:tab/>
      </w:r>
      <w:r>
        <w:tab/>
      </w:r>
      <w:r w:rsidRPr="00D5678F">
        <w:t>Hasičský záchranný sbor České Republiky</w:t>
      </w:r>
    </w:p>
    <w:p w14:paraId="20CF30EB" w14:textId="77777777" w:rsidR="00FF4D36" w:rsidRDefault="00FF4D36" w:rsidP="009A3B7E">
      <w:pPr>
        <w:pStyle w:val="Zkratky"/>
        <w:tabs>
          <w:tab w:val="left" w:leader="dot" w:pos="2127"/>
        </w:tabs>
        <w:jc w:val="both"/>
      </w:pPr>
      <w:r w:rsidRPr="00D5678F">
        <w:t>CH</w:t>
      </w:r>
      <w:r w:rsidRPr="00D5678F">
        <w:rPr>
          <w:vertAlign w:val="subscript"/>
        </w:rPr>
        <w:t>4</w:t>
      </w:r>
      <w:r w:rsidRPr="00D5678F">
        <w:tab/>
      </w:r>
      <w:r>
        <w:tab/>
      </w:r>
      <w:r w:rsidRPr="00D5678F">
        <w:t>Metan</w:t>
      </w:r>
    </w:p>
    <w:p w14:paraId="479477FE" w14:textId="77777777" w:rsidR="001C0C96" w:rsidRDefault="001C0C96" w:rsidP="001C0C96">
      <w:pPr>
        <w:pStyle w:val="Zkratky"/>
        <w:tabs>
          <w:tab w:val="left" w:leader="dot" w:pos="2127"/>
        </w:tabs>
        <w:jc w:val="both"/>
      </w:pPr>
      <w:r>
        <w:t xml:space="preserve">IAD </w:t>
      </w:r>
      <w:r>
        <w:tab/>
      </w:r>
      <w:r>
        <w:tab/>
        <w:t>Individuální automobilová doprava</w:t>
      </w:r>
    </w:p>
    <w:p w14:paraId="25CC3633" w14:textId="77777777" w:rsidR="001C0C96" w:rsidRPr="00D5678F" w:rsidRDefault="001C0C96" w:rsidP="001C0C96">
      <w:pPr>
        <w:pStyle w:val="Zkratky"/>
        <w:tabs>
          <w:tab w:val="left" w:leader="dot" w:pos="2127"/>
        </w:tabs>
        <w:jc w:val="both"/>
      </w:pPr>
      <w:r>
        <w:t>ID</w:t>
      </w:r>
      <w:r>
        <w:tab/>
      </w:r>
      <w:r>
        <w:tab/>
        <w:t>I</w:t>
      </w:r>
      <w:r w:rsidRPr="005520F0">
        <w:t>dentifikační kód</w:t>
      </w:r>
      <w:r>
        <w:t xml:space="preserve"> dobíjecí stanice</w:t>
      </w:r>
      <w:r w:rsidRPr="005520F0">
        <w:t xml:space="preserve"> </w:t>
      </w:r>
    </w:p>
    <w:p w14:paraId="2647FDB9" w14:textId="15271EAC" w:rsidR="00FF4D36" w:rsidRPr="00D5678F" w:rsidRDefault="00FF4D36" w:rsidP="009A3B7E">
      <w:pPr>
        <w:pStyle w:val="Zkratky"/>
        <w:tabs>
          <w:tab w:val="left" w:leader="dot" w:pos="0"/>
        </w:tabs>
        <w:jc w:val="both"/>
      </w:pPr>
      <w:r w:rsidRPr="00D5678F">
        <w:t>ICE</w:t>
      </w:r>
      <w:r w:rsidRPr="00D5678F">
        <w:tab/>
        <w:t>spalovací motor využívající jako palivo benzín, naftu, LPG, CNG a</w:t>
      </w:r>
      <w:r w:rsidR="005A1247">
        <w:t> </w:t>
      </w:r>
      <w:r w:rsidRPr="00D5678F">
        <w:t>LNG</w:t>
      </w:r>
      <w:r w:rsidRPr="009A5B1A">
        <w:t xml:space="preserve"> </w:t>
      </w:r>
      <w:r>
        <w:t>(</w:t>
      </w:r>
      <w:r w:rsidRPr="00D5678F">
        <w:t>Internal combustion engine</w:t>
      </w:r>
      <w:r>
        <w:t>)</w:t>
      </w:r>
    </w:p>
    <w:p w14:paraId="32DD68B7" w14:textId="77777777" w:rsidR="00FF4D36" w:rsidRPr="00D5678F" w:rsidRDefault="00FF4D36" w:rsidP="009A3B7E">
      <w:pPr>
        <w:pStyle w:val="Zkratky"/>
        <w:tabs>
          <w:tab w:val="left" w:leader="dot" w:pos="2127"/>
        </w:tabs>
        <w:jc w:val="both"/>
      </w:pPr>
      <w:r w:rsidRPr="00D5678F">
        <w:t>IROP</w:t>
      </w:r>
      <w:r w:rsidRPr="00D5678F">
        <w:tab/>
      </w:r>
      <w:r>
        <w:tab/>
      </w:r>
      <w:r w:rsidRPr="00D5678F">
        <w:t>Integrovaný regionální operační program</w:t>
      </w:r>
    </w:p>
    <w:p w14:paraId="73070B65" w14:textId="77777777" w:rsidR="00FF4D36" w:rsidRDefault="00FF4D36" w:rsidP="009A3B7E">
      <w:pPr>
        <w:pStyle w:val="Zkratky"/>
        <w:tabs>
          <w:tab w:val="left" w:leader="dot" w:pos="2127"/>
        </w:tabs>
        <w:jc w:val="both"/>
      </w:pPr>
      <w:r w:rsidRPr="00D5678F">
        <w:t xml:space="preserve">ITS </w:t>
      </w:r>
      <w:r w:rsidRPr="00D5678F">
        <w:tab/>
      </w:r>
      <w:r>
        <w:tab/>
      </w:r>
      <w:r w:rsidRPr="00D5678F">
        <w:t xml:space="preserve">Inteligentní dopravní systémy </w:t>
      </w:r>
      <w:r>
        <w:t>(</w:t>
      </w:r>
      <w:r w:rsidRPr="00D5678F">
        <w:t>Intelligent Transport Systems)</w:t>
      </w:r>
    </w:p>
    <w:p w14:paraId="704D1681" w14:textId="10FD8401" w:rsidR="001C0C96" w:rsidRPr="00D5678F" w:rsidRDefault="001C0C96" w:rsidP="009A3B7E">
      <w:pPr>
        <w:pStyle w:val="Zkratky"/>
        <w:tabs>
          <w:tab w:val="left" w:leader="dot" w:pos="2127"/>
        </w:tabs>
        <w:jc w:val="both"/>
      </w:pPr>
      <w:r>
        <w:t>JTI</w:t>
      </w:r>
      <w:r>
        <w:tab/>
      </w:r>
      <w:r>
        <w:tab/>
      </w:r>
      <w:r w:rsidRPr="00056351">
        <w:t>Společný podnik pro palivové články a</w:t>
      </w:r>
      <w:r w:rsidR="005A1247">
        <w:t> </w:t>
      </w:r>
      <w:r w:rsidRPr="00056351">
        <w:t>vodík</w:t>
      </w:r>
    </w:p>
    <w:p w14:paraId="58653398" w14:textId="77777777" w:rsidR="00FF4D36" w:rsidRPr="00D5678F" w:rsidRDefault="00FF4D36" w:rsidP="009A3B7E">
      <w:pPr>
        <w:pStyle w:val="Zkratky"/>
        <w:tabs>
          <w:tab w:val="left" w:leader="dot" w:pos="2127"/>
        </w:tabs>
        <w:jc w:val="both"/>
      </w:pPr>
      <w:r w:rsidRPr="00D5678F">
        <w:t>Komise</w:t>
      </w:r>
      <w:r w:rsidRPr="00D5678F">
        <w:tab/>
      </w:r>
      <w:r>
        <w:tab/>
      </w:r>
      <w:r w:rsidRPr="00D5678F">
        <w:t>Evropská komise</w:t>
      </w:r>
    </w:p>
    <w:p w14:paraId="3D793B3D" w14:textId="77777777" w:rsidR="00FF4D36" w:rsidRDefault="00FF4D36" w:rsidP="009A3B7E">
      <w:pPr>
        <w:pStyle w:val="Zkratky"/>
        <w:tabs>
          <w:tab w:val="left" w:leader="dot" w:pos="2127"/>
        </w:tabs>
        <w:jc w:val="both"/>
      </w:pPr>
      <w:r w:rsidRPr="00D5678F">
        <w:t>LNG</w:t>
      </w:r>
      <w:r w:rsidRPr="00D5678F">
        <w:tab/>
      </w:r>
      <w:r>
        <w:tab/>
      </w:r>
      <w:r w:rsidRPr="00D5678F">
        <w:t>Zkapalněný zemní plyn</w:t>
      </w:r>
    </w:p>
    <w:p w14:paraId="6EE27803" w14:textId="77777777" w:rsidR="001C0C96" w:rsidRPr="00D5678F" w:rsidRDefault="001C0C96" w:rsidP="009A3B7E">
      <w:pPr>
        <w:pStyle w:val="Zkratky"/>
        <w:tabs>
          <w:tab w:val="left" w:leader="dot" w:pos="2127"/>
        </w:tabs>
        <w:jc w:val="both"/>
      </w:pPr>
      <w:r>
        <w:t>LCNG</w:t>
      </w:r>
      <w:r>
        <w:tab/>
      </w:r>
      <w:r>
        <w:tab/>
      </w:r>
      <w:r w:rsidRPr="00C84715">
        <w:t>Liquefied-to-Compressed Natural Gas</w:t>
      </w:r>
      <w:r>
        <w:t xml:space="preserve"> </w:t>
      </w:r>
      <w:r w:rsidRPr="00C84715">
        <w:t>zkapalněn</w:t>
      </w:r>
      <w:r>
        <w:t>ý</w:t>
      </w:r>
      <w:r w:rsidRPr="00C84715">
        <w:t xml:space="preserve"> zemní plyn</w:t>
      </w:r>
    </w:p>
    <w:p w14:paraId="0122F7AA" w14:textId="77777777" w:rsidR="00FF4D36" w:rsidRPr="00D5678F" w:rsidRDefault="00FF4D36" w:rsidP="009A3B7E">
      <w:pPr>
        <w:pStyle w:val="Zkratky"/>
        <w:tabs>
          <w:tab w:val="left" w:leader="dot" w:pos="2127"/>
        </w:tabs>
        <w:jc w:val="both"/>
      </w:pPr>
      <w:r w:rsidRPr="00D5678F">
        <w:t>LPG</w:t>
      </w:r>
      <w:r w:rsidRPr="00D5678F">
        <w:tab/>
      </w:r>
      <w:r>
        <w:tab/>
      </w:r>
      <w:r w:rsidRPr="00D5678F">
        <w:t>Zkapalněný ropný plyn</w:t>
      </w:r>
    </w:p>
    <w:p w14:paraId="3583EFE1" w14:textId="77777777" w:rsidR="00FF4D36" w:rsidRDefault="00FF4D36" w:rsidP="009A3B7E">
      <w:pPr>
        <w:pStyle w:val="Zkratky"/>
        <w:tabs>
          <w:tab w:val="left" w:leader="dot" w:pos="2127"/>
        </w:tabs>
        <w:jc w:val="both"/>
      </w:pPr>
      <w:r w:rsidRPr="00D5678F">
        <w:t>LUV</w:t>
      </w:r>
      <w:r w:rsidRPr="00D5678F">
        <w:tab/>
      </w:r>
      <w:r>
        <w:tab/>
      </w:r>
      <w:r w:rsidRPr="00D5678F">
        <w:t>Lehké užitkové vozidlo</w:t>
      </w:r>
    </w:p>
    <w:p w14:paraId="21964A48" w14:textId="5318D397" w:rsidR="001C0C96" w:rsidRPr="00D5678F" w:rsidRDefault="001C0C96" w:rsidP="001C0C96">
      <w:pPr>
        <w:pStyle w:val="Zkratky"/>
        <w:tabs>
          <w:tab w:val="left" w:leader="dot" w:pos="2127"/>
        </w:tabs>
        <w:jc w:val="both"/>
      </w:pPr>
      <w:r>
        <w:t>MaaS</w:t>
      </w:r>
      <w:r>
        <w:tab/>
      </w:r>
      <w:r>
        <w:tab/>
      </w:r>
      <w:r w:rsidRPr="00EB0389">
        <w:t>Mobility as a</w:t>
      </w:r>
      <w:r w:rsidR="005A1247">
        <w:t> </w:t>
      </w:r>
      <w:r w:rsidRPr="00EB0389">
        <w:t>Service</w:t>
      </w:r>
    </w:p>
    <w:p w14:paraId="1DAC6C4C" w14:textId="77777777" w:rsidR="00FF4D36" w:rsidRPr="00D5678F" w:rsidRDefault="00FF4D36" w:rsidP="009A3B7E">
      <w:pPr>
        <w:pStyle w:val="Zkratky"/>
        <w:tabs>
          <w:tab w:val="left" w:leader="dot" w:pos="2127"/>
        </w:tabs>
        <w:jc w:val="both"/>
      </w:pPr>
      <w:r w:rsidRPr="00D5678F">
        <w:t>MD</w:t>
      </w:r>
      <w:r w:rsidRPr="00D5678F">
        <w:tab/>
      </w:r>
      <w:r>
        <w:tab/>
      </w:r>
      <w:r w:rsidRPr="00D5678F">
        <w:t>Ministerstvo dopravy</w:t>
      </w:r>
    </w:p>
    <w:p w14:paraId="7AC365AA" w14:textId="77777777" w:rsidR="00FF4D36" w:rsidRPr="00D5678F" w:rsidRDefault="00FF4D36" w:rsidP="009A3B7E">
      <w:pPr>
        <w:pStyle w:val="Zkratky"/>
        <w:tabs>
          <w:tab w:val="left" w:leader="dot" w:pos="2127"/>
        </w:tabs>
        <w:jc w:val="both"/>
      </w:pPr>
      <w:r w:rsidRPr="00D5678F">
        <w:t>MF</w:t>
      </w:r>
      <w:r w:rsidRPr="00D5678F">
        <w:tab/>
      </w:r>
      <w:r>
        <w:tab/>
      </w:r>
      <w:r w:rsidRPr="00D5678F">
        <w:t>Ministerstvo financí</w:t>
      </w:r>
    </w:p>
    <w:p w14:paraId="35202498" w14:textId="77777777" w:rsidR="00FF4D36" w:rsidRPr="00D5678F" w:rsidRDefault="00FF4D36" w:rsidP="009A3B7E">
      <w:pPr>
        <w:pStyle w:val="Zkratky"/>
        <w:tabs>
          <w:tab w:val="left" w:leader="dot" w:pos="2127"/>
        </w:tabs>
        <w:jc w:val="both"/>
      </w:pPr>
      <w:r w:rsidRPr="00D5678F">
        <w:t>MHD</w:t>
      </w:r>
      <w:r w:rsidRPr="00D5678F">
        <w:tab/>
      </w:r>
      <w:r>
        <w:tab/>
      </w:r>
      <w:r w:rsidRPr="00D5678F">
        <w:t>Městská hromadná doprava</w:t>
      </w:r>
    </w:p>
    <w:p w14:paraId="2D289C2F" w14:textId="77777777" w:rsidR="00FF4D36" w:rsidRPr="00D5678F" w:rsidRDefault="00FF4D36" w:rsidP="009A3B7E">
      <w:pPr>
        <w:pStyle w:val="Zkratky"/>
        <w:tabs>
          <w:tab w:val="left" w:leader="dot" w:pos="2127"/>
        </w:tabs>
        <w:jc w:val="both"/>
      </w:pPr>
      <w:r w:rsidRPr="00D5678F">
        <w:t>MMR</w:t>
      </w:r>
      <w:r w:rsidRPr="00D5678F">
        <w:tab/>
      </w:r>
      <w:r>
        <w:tab/>
      </w:r>
      <w:r w:rsidRPr="00D5678F">
        <w:t>Ministerstvo pro místní rozvoj</w:t>
      </w:r>
    </w:p>
    <w:p w14:paraId="09FC7D10" w14:textId="3A267E71" w:rsidR="00FF4D36" w:rsidRPr="00D5678F" w:rsidRDefault="00FF4D36" w:rsidP="009A3B7E">
      <w:pPr>
        <w:pStyle w:val="Zkratky"/>
        <w:tabs>
          <w:tab w:val="left" w:leader="dot" w:pos="2127"/>
        </w:tabs>
        <w:jc w:val="both"/>
      </w:pPr>
      <w:r w:rsidRPr="00D5678F">
        <w:t>MPO</w:t>
      </w:r>
      <w:r w:rsidRPr="00D5678F">
        <w:tab/>
      </w:r>
      <w:r>
        <w:tab/>
      </w:r>
      <w:r w:rsidRPr="00D5678F">
        <w:t>Ministerstvo průmyslu a</w:t>
      </w:r>
      <w:r w:rsidR="005A1247">
        <w:t> </w:t>
      </w:r>
      <w:r w:rsidRPr="00D5678F">
        <w:t>obchodu</w:t>
      </w:r>
    </w:p>
    <w:p w14:paraId="365674F4" w14:textId="73772EF3" w:rsidR="00FF4D36" w:rsidRDefault="00FF4D36" w:rsidP="009A3B7E">
      <w:pPr>
        <w:pStyle w:val="Zkratky"/>
        <w:tabs>
          <w:tab w:val="left" w:leader="dot" w:pos="2127"/>
        </w:tabs>
        <w:jc w:val="both"/>
      </w:pPr>
      <w:r w:rsidRPr="00D5678F">
        <w:t>MPSV</w:t>
      </w:r>
      <w:r w:rsidRPr="00D5678F">
        <w:tab/>
      </w:r>
      <w:r>
        <w:tab/>
      </w:r>
      <w:r w:rsidRPr="00D5678F">
        <w:t>Ministerstvo práce a</w:t>
      </w:r>
      <w:r w:rsidR="005A1247">
        <w:t> </w:t>
      </w:r>
      <w:r w:rsidRPr="00D5678F">
        <w:t>sociálních věcí</w:t>
      </w:r>
    </w:p>
    <w:p w14:paraId="2DD17993" w14:textId="472FF943" w:rsidR="001C0C96" w:rsidRPr="00D5678F" w:rsidRDefault="001C0C96" w:rsidP="001C0C96">
      <w:pPr>
        <w:pStyle w:val="Zkratky"/>
        <w:tabs>
          <w:tab w:val="left" w:leader="dot" w:pos="2127"/>
        </w:tabs>
        <w:jc w:val="both"/>
      </w:pPr>
      <w:r>
        <w:t>MŠMT</w:t>
      </w:r>
      <w:r>
        <w:tab/>
      </w:r>
      <w:r>
        <w:tab/>
        <w:t>Ministerstvo školství, mládeže a</w:t>
      </w:r>
      <w:r w:rsidR="005A1247">
        <w:t> </w:t>
      </w:r>
      <w:r>
        <w:t xml:space="preserve">tělovýchovy </w:t>
      </w:r>
    </w:p>
    <w:p w14:paraId="5831DA70" w14:textId="77777777" w:rsidR="00FF4D36" w:rsidRPr="00D5678F" w:rsidRDefault="00FF4D36" w:rsidP="009A3B7E">
      <w:pPr>
        <w:pStyle w:val="Zkratky"/>
        <w:tabs>
          <w:tab w:val="left" w:leader="dot" w:pos="2127"/>
        </w:tabs>
        <w:jc w:val="both"/>
      </w:pPr>
      <w:r w:rsidRPr="00D5678F">
        <w:t>MV</w:t>
      </w:r>
      <w:r w:rsidRPr="00D5678F">
        <w:tab/>
      </w:r>
      <w:r>
        <w:tab/>
      </w:r>
      <w:r w:rsidRPr="00D5678F">
        <w:t>Ministerstvo vnitra</w:t>
      </w:r>
    </w:p>
    <w:p w14:paraId="0B95D2F5" w14:textId="77777777" w:rsidR="00FF4D36" w:rsidRPr="00D5678F" w:rsidRDefault="00FF4D36" w:rsidP="009A3B7E">
      <w:pPr>
        <w:pStyle w:val="Zkratky"/>
        <w:tabs>
          <w:tab w:val="left" w:leader="dot" w:pos="2127"/>
        </w:tabs>
        <w:jc w:val="both"/>
      </w:pPr>
      <w:r w:rsidRPr="00D5678F">
        <w:t>MŽP</w:t>
      </w:r>
      <w:r w:rsidRPr="00D5678F">
        <w:tab/>
      </w:r>
      <w:r>
        <w:tab/>
      </w:r>
      <w:r w:rsidRPr="00D5678F">
        <w:t>Ministerstvo životního prostředí</w:t>
      </w:r>
    </w:p>
    <w:p w14:paraId="0DCAB36F" w14:textId="77777777" w:rsidR="00FF4D36" w:rsidRPr="00D5678F" w:rsidRDefault="00FF4D36" w:rsidP="009A3B7E">
      <w:pPr>
        <w:pStyle w:val="Zkratky"/>
        <w:tabs>
          <w:tab w:val="left" w:leader="dot" w:pos="2127"/>
        </w:tabs>
        <w:jc w:val="both"/>
      </w:pPr>
      <w:r w:rsidRPr="00D5678F">
        <w:t>NAP CM</w:t>
      </w:r>
      <w:r w:rsidRPr="00D5678F">
        <w:tab/>
      </w:r>
      <w:r>
        <w:tab/>
      </w:r>
      <w:r w:rsidRPr="00D5678F">
        <w:t>Národní akční plán čisté mobility</w:t>
      </w:r>
    </w:p>
    <w:p w14:paraId="3452662B" w14:textId="77777777" w:rsidR="00FF4D36" w:rsidRDefault="00FF4D36" w:rsidP="009A3B7E">
      <w:pPr>
        <w:pStyle w:val="Zkratky"/>
        <w:jc w:val="both"/>
      </w:pPr>
      <w:r>
        <w:t xml:space="preserve">NAP </w:t>
      </w:r>
      <w:r w:rsidR="008A0F41">
        <w:t>SG</w:t>
      </w:r>
      <w:r>
        <w:tab/>
        <w:t xml:space="preserve">Národní akční plán </w:t>
      </w:r>
      <w:r w:rsidR="008A0F41">
        <w:t xml:space="preserve">pro chytré sítě </w:t>
      </w:r>
    </w:p>
    <w:p w14:paraId="582645FA" w14:textId="77777777" w:rsidR="00FF4D36" w:rsidRDefault="00FF4D36" w:rsidP="009A3B7E">
      <w:pPr>
        <w:pStyle w:val="Zkratky"/>
        <w:tabs>
          <w:tab w:val="left" w:leader="dot" w:pos="2127"/>
        </w:tabs>
        <w:jc w:val="both"/>
      </w:pPr>
      <w:r w:rsidRPr="00D5678F">
        <w:t>NGV</w:t>
      </w:r>
      <w:r w:rsidRPr="00D5678F">
        <w:tab/>
      </w:r>
      <w:r>
        <w:tab/>
      </w:r>
      <w:r w:rsidR="001C0C96">
        <w:t>Natural gas vehicle v</w:t>
      </w:r>
      <w:r w:rsidRPr="00D5678F">
        <w:t>ozidl</w:t>
      </w:r>
      <w:r w:rsidR="001C0C96">
        <w:t>o</w:t>
      </w:r>
      <w:r w:rsidRPr="00D5678F">
        <w:t xml:space="preserve"> na zemní plyn</w:t>
      </w:r>
    </w:p>
    <w:p w14:paraId="4F57772A" w14:textId="2276F568" w:rsidR="001C0C96" w:rsidRDefault="001C0C96" w:rsidP="001C0C96">
      <w:pPr>
        <w:pStyle w:val="Zkratky"/>
        <w:tabs>
          <w:tab w:val="left" w:leader="dot" w:pos="2127"/>
        </w:tabs>
        <w:jc w:val="both"/>
      </w:pPr>
    </w:p>
    <w:p w14:paraId="6F91B62F" w14:textId="77777777" w:rsidR="00FF4D36" w:rsidRPr="00D5678F" w:rsidRDefault="00FF4D36" w:rsidP="009A3B7E">
      <w:pPr>
        <w:pStyle w:val="Zkratky"/>
        <w:tabs>
          <w:tab w:val="left" w:leader="dot" w:pos="2127"/>
        </w:tabs>
        <w:jc w:val="both"/>
      </w:pPr>
      <w:r w:rsidRPr="00D5678F">
        <w:t>NO</w:t>
      </w:r>
      <w:r w:rsidRPr="00D5678F">
        <w:rPr>
          <w:vertAlign w:val="subscript"/>
        </w:rPr>
        <w:t>2</w:t>
      </w:r>
      <w:r w:rsidRPr="00D5678F">
        <w:tab/>
      </w:r>
      <w:r>
        <w:tab/>
      </w:r>
      <w:r w:rsidRPr="00D5678F">
        <w:t>Oxid dusičitý</w:t>
      </w:r>
    </w:p>
    <w:p w14:paraId="44071618" w14:textId="77777777" w:rsidR="00FF4D36" w:rsidRDefault="00FF4D36" w:rsidP="009A3B7E">
      <w:pPr>
        <w:pStyle w:val="Zkratky"/>
        <w:tabs>
          <w:tab w:val="left" w:leader="dot" w:pos="2127"/>
        </w:tabs>
        <w:jc w:val="both"/>
      </w:pPr>
      <w:r w:rsidRPr="00D5678F">
        <w:t>NO</w:t>
      </w:r>
      <w:r w:rsidRPr="00D5678F">
        <w:rPr>
          <w:vertAlign w:val="subscript"/>
        </w:rPr>
        <w:t>x</w:t>
      </w:r>
      <w:r w:rsidRPr="00D5678F">
        <w:tab/>
      </w:r>
      <w:r>
        <w:tab/>
      </w:r>
      <w:r w:rsidRPr="00D5678F">
        <w:t>Oxidy dusíku</w:t>
      </w:r>
    </w:p>
    <w:p w14:paraId="0A3E38D6" w14:textId="3889AF41" w:rsidR="00C77825" w:rsidRDefault="00C77825" w:rsidP="009A3B7E">
      <w:pPr>
        <w:pStyle w:val="Zkratky"/>
        <w:tabs>
          <w:tab w:val="left" w:leader="dot" w:pos="2127"/>
        </w:tabs>
        <w:jc w:val="both"/>
      </w:pPr>
      <w:r>
        <w:t>NPI ČR………………  ………Národní pedagogický institut České republiky</w:t>
      </w:r>
    </w:p>
    <w:p w14:paraId="5EE77BA5" w14:textId="77777777" w:rsidR="001C0C96" w:rsidRDefault="001C0C96" w:rsidP="001C0C96">
      <w:pPr>
        <w:pStyle w:val="Zkratky"/>
        <w:tabs>
          <w:tab w:val="left" w:leader="dot" w:pos="2127"/>
        </w:tabs>
        <w:jc w:val="both"/>
      </w:pPr>
      <w:r>
        <w:t>NPŽP</w:t>
      </w:r>
      <w:r>
        <w:tab/>
      </w:r>
      <w:r>
        <w:tab/>
        <w:t xml:space="preserve">Národní program </w:t>
      </w:r>
      <w:r w:rsidR="003F2CB1">
        <w:t>Ž</w:t>
      </w:r>
      <w:r>
        <w:t>ivotní</w:t>
      </w:r>
      <w:r w:rsidR="003F2CB1">
        <w:t xml:space="preserve"> </w:t>
      </w:r>
      <w:r>
        <w:t>prostřední</w:t>
      </w:r>
    </w:p>
    <w:p w14:paraId="717F5C7A" w14:textId="3E41F815" w:rsidR="001C0C96" w:rsidRDefault="001C0C96" w:rsidP="001C0C96">
      <w:pPr>
        <w:pStyle w:val="Zkratky"/>
        <w:tabs>
          <w:tab w:val="left" w:leader="dot" w:pos="2127"/>
        </w:tabs>
        <w:jc w:val="both"/>
      </w:pPr>
    </w:p>
    <w:p w14:paraId="3E0BB7F8" w14:textId="77777777" w:rsidR="001C0C96" w:rsidRPr="00D5678F" w:rsidRDefault="001C0C96" w:rsidP="001C0C96">
      <w:pPr>
        <w:pStyle w:val="Zkratky"/>
        <w:tabs>
          <w:tab w:val="left" w:leader="dot" w:pos="2127"/>
        </w:tabs>
        <w:jc w:val="both"/>
      </w:pPr>
      <w:r>
        <w:t>NZÚ</w:t>
      </w:r>
      <w:r>
        <w:tab/>
      </w:r>
      <w:r>
        <w:tab/>
        <w:t xml:space="preserve">Nová zelená úsporám </w:t>
      </w:r>
    </w:p>
    <w:p w14:paraId="629D847A" w14:textId="77777777" w:rsidR="00FF4D36" w:rsidRDefault="00FF4D36" w:rsidP="009A3B7E">
      <w:pPr>
        <w:pStyle w:val="Zkratky"/>
        <w:tabs>
          <w:tab w:val="left" w:leader="dot" w:pos="2127"/>
        </w:tabs>
        <w:jc w:val="both"/>
      </w:pPr>
      <w:r w:rsidRPr="00D5678F">
        <w:t>OA</w:t>
      </w:r>
      <w:r w:rsidRPr="00D5678F">
        <w:tab/>
      </w:r>
      <w:r>
        <w:tab/>
      </w:r>
      <w:r w:rsidRPr="00D5678F">
        <w:t>Osobní automobil</w:t>
      </w:r>
    </w:p>
    <w:p w14:paraId="4FF01EED" w14:textId="77777777" w:rsidR="00FF4D36" w:rsidRPr="00D5678F" w:rsidRDefault="00FF4D36" w:rsidP="009A3B7E">
      <w:pPr>
        <w:pStyle w:val="Zkratky"/>
        <w:tabs>
          <w:tab w:val="left" w:leader="dot" w:pos="2127"/>
        </w:tabs>
        <w:jc w:val="both"/>
      </w:pPr>
      <w:r w:rsidRPr="00D5678F">
        <w:t>OM</w:t>
      </w:r>
      <w:r w:rsidRPr="00D5678F">
        <w:tab/>
      </w:r>
      <w:r>
        <w:tab/>
      </w:r>
      <w:r w:rsidRPr="00D5678F">
        <w:t>Odběrné místo</w:t>
      </w:r>
    </w:p>
    <w:p w14:paraId="49DF456F" w14:textId="77777777" w:rsidR="00FF4D36" w:rsidRDefault="00FF4D36" w:rsidP="009A3B7E">
      <w:pPr>
        <w:pStyle w:val="Zkratky"/>
        <w:tabs>
          <w:tab w:val="left" w:leader="dot" w:pos="2127"/>
        </w:tabs>
        <w:jc w:val="both"/>
      </w:pPr>
      <w:r w:rsidRPr="00D5678F">
        <w:t>OPD</w:t>
      </w:r>
      <w:r w:rsidRPr="00D5678F">
        <w:tab/>
      </w:r>
      <w:r>
        <w:tab/>
      </w:r>
      <w:r w:rsidRPr="00D5678F">
        <w:t>Operační program Doprava</w:t>
      </w:r>
    </w:p>
    <w:p w14:paraId="15779D47" w14:textId="6D8E38F6" w:rsidR="001C0C96" w:rsidRDefault="001C0C96" w:rsidP="001C0C96">
      <w:pPr>
        <w:pStyle w:val="Zkratky"/>
        <w:tabs>
          <w:tab w:val="left" w:pos="142"/>
          <w:tab w:val="left" w:leader="dot" w:pos="2127"/>
        </w:tabs>
        <w:ind w:left="2835" w:hanging="2835"/>
        <w:jc w:val="both"/>
      </w:pPr>
      <w:r>
        <w:t>OPPIK</w:t>
      </w:r>
      <w:r>
        <w:tab/>
      </w:r>
      <w:r>
        <w:tab/>
      </w:r>
      <w:r w:rsidRPr="00C84715">
        <w:t>Operační program Podnikání a</w:t>
      </w:r>
      <w:r w:rsidR="005A1247">
        <w:t> </w:t>
      </w:r>
      <w:r w:rsidR="00933130">
        <w:t xml:space="preserve">inovace pro </w:t>
      </w:r>
      <w:r w:rsidRPr="00C84715">
        <w:t>konkurenceschopnost</w:t>
      </w:r>
    </w:p>
    <w:p w14:paraId="28D95A20" w14:textId="77777777" w:rsidR="00FF4D36" w:rsidRPr="00D5678F" w:rsidRDefault="00FF4D36" w:rsidP="009A3B7E">
      <w:pPr>
        <w:pStyle w:val="Zkratky"/>
        <w:tabs>
          <w:tab w:val="left" w:leader="dot" w:pos="2127"/>
        </w:tabs>
        <w:jc w:val="both"/>
      </w:pPr>
      <w:r w:rsidRPr="00D5678F">
        <w:t>OZE</w:t>
      </w:r>
      <w:r w:rsidRPr="00D5678F">
        <w:tab/>
      </w:r>
      <w:r>
        <w:tab/>
      </w:r>
      <w:r w:rsidRPr="00D5678F">
        <w:t>Obnovitelné zdroje energie</w:t>
      </w:r>
    </w:p>
    <w:p w14:paraId="35635358" w14:textId="77777777" w:rsidR="00FF4D36" w:rsidRPr="00D5678F" w:rsidRDefault="00FF4D36" w:rsidP="009A3B7E">
      <w:pPr>
        <w:pStyle w:val="Zkratky"/>
        <w:tabs>
          <w:tab w:val="left" w:leader="dot" w:pos="2127"/>
        </w:tabs>
        <w:jc w:val="both"/>
      </w:pPr>
      <w:r w:rsidRPr="00D5678F">
        <w:t>PDS</w:t>
      </w:r>
      <w:r w:rsidRPr="00D5678F">
        <w:tab/>
      </w:r>
      <w:r>
        <w:tab/>
      </w:r>
      <w:r w:rsidRPr="00D5678F">
        <w:t>Provozovatel distribuční soustavy</w:t>
      </w:r>
    </w:p>
    <w:p w14:paraId="3E812904" w14:textId="77777777" w:rsidR="00FF4D36" w:rsidRPr="00D5678F" w:rsidRDefault="00FF4D36" w:rsidP="009A3B7E">
      <w:pPr>
        <w:pStyle w:val="Zkratky"/>
        <w:tabs>
          <w:tab w:val="left" w:leader="dot" w:pos="2127"/>
        </w:tabs>
        <w:jc w:val="both"/>
      </w:pPr>
      <w:r w:rsidRPr="00D5678F">
        <w:t>PHEV</w:t>
      </w:r>
      <w:r w:rsidRPr="00D5678F">
        <w:tab/>
      </w:r>
      <w:r>
        <w:tab/>
      </w:r>
      <w:r w:rsidRPr="00D5678F">
        <w:t>Plug-in hybridní elektromobil (Plug-in Hybrid Electric Vehicle)</w:t>
      </w:r>
    </w:p>
    <w:p w14:paraId="7C0F5451" w14:textId="77777777" w:rsidR="00FF4D36" w:rsidRDefault="00FF4D36" w:rsidP="009A3B7E">
      <w:pPr>
        <w:pStyle w:val="Zkratky"/>
        <w:tabs>
          <w:tab w:val="left" w:leader="dot" w:pos="2127"/>
        </w:tabs>
        <w:jc w:val="both"/>
      </w:pPr>
      <w:r w:rsidRPr="00D5678F">
        <w:t>PHM</w:t>
      </w:r>
      <w:r w:rsidRPr="00D5678F">
        <w:tab/>
      </w:r>
      <w:r>
        <w:tab/>
      </w:r>
      <w:r w:rsidRPr="00D5678F">
        <w:t>Pohonné hmoty</w:t>
      </w:r>
    </w:p>
    <w:p w14:paraId="7322ADC5" w14:textId="77777777" w:rsidR="00FF4D36" w:rsidRPr="00D5678F" w:rsidRDefault="00FF4D36" w:rsidP="009A3B7E">
      <w:pPr>
        <w:pStyle w:val="Zkratky"/>
        <w:tabs>
          <w:tab w:val="left" w:leader="dot" w:pos="2127"/>
        </w:tabs>
        <w:jc w:val="both"/>
      </w:pPr>
      <w:r w:rsidRPr="00D5678F">
        <w:t>PM</w:t>
      </w:r>
      <w:r w:rsidRPr="00D5678F">
        <w:rPr>
          <w:vertAlign w:val="subscript"/>
        </w:rPr>
        <w:t>10</w:t>
      </w:r>
      <w:r w:rsidRPr="00D5678F">
        <w:tab/>
      </w:r>
      <w:r>
        <w:tab/>
      </w:r>
      <w:r w:rsidRPr="00D5678F">
        <w:t>Pevné prachové částice (částice menší než 10 μm)</w:t>
      </w:r>
    </w:p>
    <w:p w14:paraId="147152A2" w14:textId="77777777" w:rsidR="00FF4D36" w:rsidRPr="00D5678F" w:rsidRDefault="00FF4D36" w:rsidP="009A3B7E">
      <w:pPr>
        <w:pStyle w:val="Zkratky"/>
        <w:tabs>
          <w:tab w:val="left" w:leader="dot" w:pos="2127"/>
        </w:tabs>
        <w:jc w:val="both"/>
      </w:pPr>
      <w:r w:rsidRPr="00D5678F">
        <w:t>PM</w:t>
      </w:r>
      <w:r w:rsidRPr="00D5678F">
        <w:rPr>
          <w:vertAlign w:val="subscript"/>
        </w:rPr>
        <w:t>2,5</w:t>
      </w:r>
      <w:r w:rsidRPr="00D5678F">
        <w:tab/>
      </w:r>
      <w:r>
        <w:tab/>
      </w:r>
      <w:r w:rsidRPr="00D5678F">
        <w:t>Pevné prachové částice (částice menší než 2,5 μm)</w:t>
      </w:r>
    </w:p>
    <w:p w14:paraId="5A7BD243" w14:textId="77777777" w:rsidR="00FF4D36" w:rsidRDefault="00FF4D36" w:rsidP="009A3B7E">
      <w:pPr>
        <w:pStyle w:val="Zkratky"/>
        <w:tabs>
          <w:tab w:val="left" w:leader="dot" w:pos="2127"/>
        </w:tabs>
        <w:jc w:val="both"/>
      </w:pPr>
      <w:r w:rsidRPr="00D5678F">
        <w:t>PPDS</w:t>
      </w:r>
      <w:r w:rsidRPr="00D5678F">
        <w:tab/>
      </w:r>
      <w:r>
        <w:tab/>
      </w:r>
      <w:r w:rsidRPr="00D5678F">
        <w:t>Pravidla provozování distribuční soustavy</w:t>
      </w:r>
    </w:p>
    <w:p w14:paraId="5B3E4422" w14:textId="77777777" w:rsidR="001C0C96" w:rsidRDefault="001C0C96" w:rsidP="001C0C96">
      <w:pPr>
        <w:pStyle w:val="Zkratky"/>
        <w:tabs>
          <w:tab w:val="left" w:leader="dot" w:pos="2127"/>
        </w:tabs>
        <w:jc w:val="both"/>
      </w:pPr>
      <w:r>
        <w:t>PSA</w:t>
      </w:r>
      <w:r>
        <w:tab/>
      </w:r>
      <w:r>
        <w:tab/>
      </w:r>
      <w:r w:rsidRPr="00EE533F">
        <w:t>Programme Support Action</w:t>
      </w:r>
      <w:r>
        <w:t xml:space="preserve"> (technická pomoc programu)</w:t>
      </w:r>
    </w:p>
    <w:p w14:paraId="7EC8A67D" w14:textId="77777777" w:rsidR="001C0C96" w:rsidRDefault="001C0C96" w:rsidP="001C0C96">
      <w:pPr>
        <w:pStyle w:val="Zkratky"/>
        <w:tabs>
          <w:tab w:val="left" w:leader="dot" w:pos="2127"/>
        </w:tabs>
        <w:jc w:val="both"/>
      </w:pPr>
      <w:r>
        <w:t>Ptx</w:t>
      </w:r>
      <w:r>
        <w:tab/>
      </w:r>
      <w:r>
        <w:tab/>
        <w:t>Syntetická paliva</w:t>
      </w:r>
    </w:p>
    <w:p w14:paraId="72A7F6F4" w14:textId="77777777" w:rsidR="001C0C96" w:rsidRPr="00D5678F" w:rsidRDefault="001C0C96" w:rsidP="001C0C96">
      <w:pPr>
        <w:pStyle w:val="Zkratky"/>
        <w:tabs>
          <w:tab w:val="left" w:leader="dot" w:pos="2127"/>
        </w:tabs>
        <w:jc w:val="both"/>
      </w:pPr>
      <w:r w:rsidRPr="00AC6394">
        <w:t xml:space="preserve">RVP </w:t>
      </w:r>
      <w:r>
        <w:tab/>
      </w:r>
      <w:r>
        <w:tab/>
      </w:r>
      <w:r w:rsidRPr="00AC6394">
        <w:t xml:space="preserve">Rámcových vzdělávacích programů </w:t>
      </w:r>
    </w:p>
    <w:p w14:paraId="5A92DFBE" w14:textId="2ADA0436" w:rsidR="00AF1B44" w:rsidRDefault="00AF1B44" w:rsidP="009A3B7E">
      <w:pPr>
        <w:pStyle w:val="Zkratky"/>
        <w:tabs>
          <w:tab w:val="left" w:leader="dot" w:pos="2127"/>
        </w:tabs>
        <w:jc w:val="both"/>
      </w:pPr>
      <w:r>
        <w:t>RVVI…………………  ………Rada pro výzkum, vývoj a</w:t>
      </w:r>
      <w:r w:rsidR="005A1247">
        <w:t> </w:t>
      </w:r>
      <w:r>
        <w:t>inovace</w:t>
      </w:r>
    </w:p>
    <w:p w14:paraId="30B9DE0F" w14:textId="1F70DB6B" w:rsidR="00FF4D36" w:rsidRPr="00D5678F" w:rsidRDefault="00FF4D36" w:rsidP="009A3B7E">
      <w:pPr>
        <w:pStyle w:val="Zkratky"/>
        <w:tabs>
          <w:tab w:val="left" w:leader="dot" w:pos="2127"/>
        </w:tabs>
        <w:jc w:val="both"/>
      </w:pPr>
      <w:r w:rsidRPr="00D5678F">
        <w:t>ŘSD</w:t>
      </w:r>
      <w:r w:rsidRPr="00D5678F">
        <w:tab/>
      </w:r>
      <w:r>
        <w:tab/>
      </w:r>
      <w:r w:rsidRPr="00D5678F">
        <w:t>Ředitelství silnic a</w:t>
      </w:r>
      <w:r w:rsidR="005A1247">
        <w:t> </w:t>
      </w:r>
      <w:r w:rsidRPr="00D5678F">
        <w:t>dálnic České republiky</w:t>
      </w:r>
    </w:p>
    <w:p w14:paraId="6588C32F" w14:textId="77777777" w:rsidR="001C0C96" w:rsidRDefault="00FF4D36" w:rsidP="009A3B7E">
      <w:pPr>
        <w:pStyle w:val="Zkratky"/>
        <w:tabs>
          <w:tab w:val="left" w:leader="dot" w:pos="2127"/>
        </w:tabs>
        <w:jc w:val="both"/>
      </w:pPr>
      <w:r w:rsidRPr="00D5678F">
        <w:t>SDA</w:t>
      </w:r>
      <w:r w:rsidRPr="00D5678F">
        <w:tab/>
      </w:r>
      <w:r>
        <w:tab/>
      </w:r>
      <w:r w:rsidRPr="00D5678F">
        <w:t>Svaz dovozců automobilů</w:t>
      </w:r>
    </w:p>
    <w:p w14:paraId="4AB4C4D4" w14:textId="77777777" w:rsidR="001C0C96" w:rsidRPr="00D5678F" w:rsidRDefault="001C0C96" w:rsidP="001C0C96">
      <w:pPr>
        <w:pStyle w:val="Zkratky"/>
        <w:tabs>
          <w:tab w:val="left" w:leader="dot" w:pos="2127"/>
        </w:tabs>
        <w:jc w:val="both"/>
      </w:pPr>
      <w:r>
        <w:t>SDP</w:t>
      </w:r>
      <w:r>
        <w:tab/>
      </w:r>
      <w:r>
        <w:tab/>
        <w:t>Sdružení dopravních podniků</w:t>
      </w:r>
    </w:p>
    <w:p w14:paraId="13EFE24B" w14:textId="77777777" w:rsidR="00FF4D36" w:rsidRPr="00D5678F" w:rsidRDefault="00FF4D36" w:rsidP="009A3B7E">
      <w:pPr>
        <w:pStyle w:val="Zkratky"/>
        <w:tabs>
          <w:tab w:val="left" w:leader="dot" w:pos="2127"/>
        </w:tabs>
        <w:jc w:val="both"/>
      </w:pPr>
      <w:r w:rsidRPr="00D5678F">
        <w:t>SO</w:t>
      </w:r>
      <w:r w:rsidRPr="00D5678F">
        <w:rPr>
          <w:vertAlign w:val="subscript"/>
        </w:rPr>
        <w:t>2</w:t>
      </w:r>
      <w:r w:rsidRPr="00D5678F">
        <w:tab/>
      </w:r>
      <w:r>
        <w:tab/>
      </w:r>
      <w:r w:rsidRPr="00D5678F">
        <w:t>Oxid siřičitý</w:t>
      </w:r>
    </w:p>
    <w:p w14:paraId="74C91296" w14:textId="77777777" w:rsidR="00FF4D36" w:rsidRDefault="00FF4D36" w:rsidP="009A3B7E">
      <w:pPr>
        <w:pStyle w:val="Zkratky"/>
        <w:tabs>
          <w:tab w:val="left" w:leader="dot" w:pos="2127"/>
        </w:tabs>
        <w:jc w:val="both"/>
      </w:pPr>
      <w:r w:rsidRPr="00D5678F">
        <w:t>SPŽP</w:t>
      </w:r>
      <w:r w:rsidRPr="00D5678F">
        <w:tab/>
      </w:r>
      <w:r>
        <w:tab/>
      </w:r>
      <w:r w:rsidRPr="00D5678F">
        <w:t>Státní politika životního prostředí</w:t>
      </w:r>
    </w:p>
    <w:p w14:paraId="60DAFF4C" w14:textId="77777777" w:rsidR="001C0C96" w:rsidRDefault="001C0C96" w:rsidP="001C0C96">
      <w:pPr>
        <w:pStyle w:val="Zkratky"/>
        <w:tabs>
          <w:tab w:val="left" w:leader="dot" w:pos="2127"/>
        </w:tabs>
        <w:jc w:val="both"/>
      </w:pPr>
      <w:r>
        <w:t>SSZ</w:t>
      </w:r>
      <w:r>
        <w:tab/>
      </w:r>
      <w:r>
        <w:tab/>
      </w:r>
      <w:r w:rsidRPr="00EE533F">
        <w:t>světelné signalizační zařízení</w:t>
      </w:r>
    </w:p>
    <w:p w14:paraId="4C80FBB9" w14:textId="77777777" w:rsidR="001C0C96" w:rsidRDefault="001C0C96" w:rsidP="001C0C96">
      <w:pPr>
        <w:pStyle w:val="Zkratky"/>
        <w:tabs>
          <w:tab w:val="left" w:leader="dot" w:pos="2127"/>
        </w:tabs>
        <w:jc w:val="both"/>
      </w:pPr>
      <w:r>
        <w:t>STK</w:t>
      </w:r>
      <w:r>
        <w:tab/>
      </w:r>
      <w:r>
        <w:tab/>
        <w:t>Stanice technické kontroly</w:t>
      </w:r>
    </w:p>
    <w:p w14:paraId="0B45BE61" w14:textId="77777777" w:rsidR="001C0C96" w:rsidRDefault="001C0C96" w:rsidP="001C0C96">
      <w:pPr>
        <w:pStyle w:val="Zkratky"/>
        <w:tabs>
          <w:tab w:val="left" w:leader="dot" w:pos="2127"/>
        </w:tabs>
        <w:jc w:val="both"/>
      </w:pPr>
      <w:r>
        <w:t>SUMP</w:t>
      </w:r>
      <w:r>
        <w:tab/>
      </w:r>
      <w:r>
        <w:tab/>
        <w:t>S</w:t>
      </w:r>
      <w:r w:rsidRPr="00EE533F">
        <w:t>trategický plán udržitelné městské mobility</w:t>
      </w:r>
    </w:p>
    <w:p w14:paraId="0DA53E5F" w14:textId="77777777" w:rsidR="001C0C96" w:rsidRPr="00D5678F" w:rsidRDefault="001C0C96" w:rsidP="001C0C96">
      <w:pPr>
        <w:pStyle w:val="Zkratky"/>
        <w:tabs>
          <w:tab w:val="left" w:leader="dot" w:pos="2127"/>
        </w:tabs>
        <w:jc w:val="both"/>
      </w:pPr>
      <w:r>
        <w:t>ŠVP</w:t>
      </w:r>
      <w:r>
        <w:tab/>
      </w:r>
      <w:r>
        <w:tab/>
      </w:r>
      <w:r w:rsidRPr="00EE533F">
        <w:t>Školních vzdělávacích programů</w:t>
      </w:r>
    </w:p>
    <w:p w14:paraId="17567FA8" w14:textId="77777777" w:rsidR="00FF4D36" w:rsidRPr="00D5678F" w:rsidRDefault="00FF4D36" w:rsidP="009A3B7E">
      <w:pPr>
        <w:pStyle w:val="Zkratky"/>
        <w:tabs>
          <w:tab w:val="left" w:leader="dot" w:pos="2127"/>
        </w:tabs>
        <w:jc w:val="both"/>
      </w:pPr>
      <w:r w:rsidRPr="00D5678F">
        <w:t>TA ČR</w:t>
      </w:r>
      <w:r w:rsidRPr="00D5678F">
        <w:tab/>
      </w:r>
      <w:r>
        <w:tab/>
      </w:r>
      <w:r w:rsidRPr="00D5678F">
        <w:t>Technologická agentura České republiky</w:t>
      </w:r>
    </w:p>
    <w:p w14:paraId="6C6C0BE6" w14:textId="77777777" w:rsidR="00FF4D36" w:rsidRPr="00D5678F" w:rsidRDefault="00FF4D36" w:rsidP="009A3B7E">
      <w:pPr>
        <w:pStyle w:val="Zkratky"/>
        <w:tabs>
          <w:tab w:val="left" w:leader="dot" w:pos="2127"/>
        </w:tabs>
        <w:jc w:val="both"/>
      </w:pPr>
      <w:r w:rsidRPr="00D5678F">
        <w:t>TCO</w:t>
      </w:r>
      <w:r w:rsidRPr="00D5678F">
        <w:tab/>
      </w:r>
      <w:r>
        <w:tab/>
      </w:r>
      <w:r w:rsidRPr="00D5678F">
        <w:t>Celkové náklady vlastnictví</w:t>
      </w:r>
    </w:p>
    <w:p w14:paraId="0811556B" w14:textId="77777777" w:rsidR="00FF4D36" w:rsidRPr="00D5678F" w:rsidRDefault="00FF4D36" w:rsidP="009A3B7E">
      <w:pPr>
        <w:pStyle w:val="Zkratky"/>
        <w:tabs>
          <w:tab w:val="left" w:leader="dot" w:pos="2127"/>
        </w:tabs>
        <w:jc w:val="both"/>
      </w:pPr>
      <w:r w:rsidRPr="00D5678F">
        <w:t>TDG</w:t>
      </w:r>
      <w:r w:rsidRPr="00D5678F">
        <w:tab/>
      </w:r>
      <w:r>
        <w:tab/>
      </w:r>
      <w:r w:rsidRPr="00D5678F">
        <w:t>Technické doporučení – plyn</w:t>
      </w:r>
    </w:p>
    <w:p w14:paraId="1C069BDA" w14:textId="77777777" w:rsidR="00FF4D36" w:rsidRDefault="00FF4D36" w:rsidP="009A3B7E">
      <w:pPr>
        <w:pStyle w:val="Zkratky"/>
        <w:tabs>
          <w:tab w:val="left" w:leader="dot" w:pos="2127"/>
        </w:tabs>
        <w:jc w:val="both"/>
      </w:pPr>
      <w:r w:rsidRPr="00D5678F">
        <w:t>TEN-T</w:t>
      </w:r>
      <w:r w:rsidRPr="00D5678F">
        <w:tab/>
      </w:r>
      <w:r>
        <w:tab/>
      </w:r>
      <w:r w:rsidRPr="00D5678F">
        <w:t>Transevropská dopravní síť</w:t>
      </w:r>
    </w:p>
    <w:p w14:paraId="4495B397" w14:textId="77777777" w:rsidR="00FF4D36" w:rsidRDefault="00FF4D36" w:rsidP="009A3B7E">
      <w:pPr>
        <w:pStyle w:val="Zkratky"/>
        <w:tabs>
          <w:tab w:val="left" w:leader="dot" w:pos="2127"/>
        </w:tabs>
        <w:jc w:val="both"/>
      </w:pPr>
      <w:r w:rsidRPr="002C18ED">
        <w:t xml:space="preserve">THC </w:t>
      </w:r>
      <w:r w:rsidRPr="002C18ED">
        <w:tab/>
      </w:r>
      <w:r>
        <w:tab/>
        <w:t>S</w:t>
      </w:r>
      <w:r w:rsidRPr="002C18ED">
        <w:t>uma uhlovodíků (Total HydroCarbons)</w:t>
      </w:r>
    </w:p>
    <w:p w14:paraId="3E1786F1" w14:textId="77777777" w:rsidR="001C0C96" w:rsidRPr="00D5678F" w:rsidRDefault="001C0C96" w:rsidP="001C0C96">
      <w:pPr>
        <w:pStyle w:val="Zkratky"/>
        <w:tabs>
          <w:tab w:val="left" w:leader="dot" w:pos="2127"/>
        </w:tabs>
        <w:jc w:val="both"/>
      </w:pPr>
      <w:r>
        <w:t>TI ČR</w:t>
      </w:r>
      <w:r>
        <w:tab/>
      </w:r>
      <w:r>
        <w:tab/>
      </w:r>
      <w:r w:rsidRPr="004A758E">
        <w:t>Technická inspekce České republiky</w:t>
      </w:r>
    </w:p>
    <w:p w14:paraId="27A09249" w14:textId="77777777" w:rsidR="00FF4D36" w:rsidRPr="00D5678F" w:rsidRDefault="00FF4D36" w:rsidP="009A3B7E">
      <w:pPr>
        <w:pStyle w:val="Zkratky"/>
        <w:tabs>
          <w:tab w:val="left" w:leader="dot" w:pos="2127"/>
        </w:tabs>
        <w:jc w:val="both"/>
      </w:pPr>
      <w:r w:rsidRPr="00D5678F">
        <w:t>TS</w:t>
      </w:r>
      <w:r w:rsidRPr="00D5678F">
        <w:tab/>
      </w:r>
      <w:r>
        <w:tab/>
      </w:r>
      <w:r w:rsidRPr="00D5678F">
        <w:t>Transformační stanice</w:t>
      </w:r>
    </w:p>
    <w:p w14:paraId="5618BFFA" w14:textId="77777777" w:rsidR="00FF4D36" w:rsidRDefault="00FF4D36" w:rsidP="009A3B7E">
      <w:pPr>
        <w:pStyle w:val="Zkratky"/>
        <w:jc w:val="both"/>
      </w:pPr>
      <w:r>
        <w:t>TTW</w:t>
      </w:r>
      <w:r>
        <w:tab/>
      </w:r>
      <w:r w:rsidRPr="00011039">
        <w:t>Tank to Wheels (TTW)</w:t>
      </w:r>
    </w:p>
    <w:p w14:paraId="0E89C246" w14:textId="77777777" w:rsidR="001C0C96" w:rsidRDefault="00FF4D36" w:rsidP="009A3B7E">
      <w:pPr>
        <w:pStyle w:val="Zkratky"/>
        <w:tabs>
          <w:tab w:val="left" w:leader="dot" w:pos="2127"/>
        </w:tabs>
        <w:jc w:val="both"/>
      </w:pPr>
      <w:r w:rsidRPr="00D5678F">
        <w:t>TZL</w:t>
      </w:r>
      <w:r w:rsidRPr="00D5678F">
        <w:tab/>
      </w:r>
      <w:r>
        <w:tab/>
      </w:r>
      <w:r w:rsidRPr="00D5678F">
        <w:t>Tuhé znečišťující látky</w:t>
      </w:r>
    </w:p>
    <w:p w14:paraId="55EEB2D9" w14:textId="77777777" w:rsidR="001C0C96" w:rsidRDefault="001C0C96" w:rsidP="001C0C96">
      <w:pPr>
        <w:pStyle w:val="Zkratky"/>
        <w:tabs>
          <w:tab w:val="left" w:leader="dot" w:pos="2127"/>
        </w:tabs>
        <w:jc w:val="both"/>
      </w:pPr>
      <w:r>
        <w:t xml:space="preserve">ÚV </w:t>
      </w:r>
      <w:r>
        <w:tab/>
      </w:r>
      <w:r>
        <w:tab/>
        <w:t>Úřad vlády</w:t>
      </w:r>
    </w:p>
    <w:p w14:paraId="41500A3F" w14:textId="1F10C341" w:rsidR="00FF4D36" w:rsidRPr="00D5678F" w:rsidRDefault="00FF4D36" w:rsidP="009A3B7E">
      <w:pPr>
        <w:pStyle w:val="Zkratky"/>
        <w:tabs>
          <w:tab w:val="left" w:leader="dot" w:pos="2127"/>
        </w:tabs>
        <w:jc w:val="both"/>
      </w:pPr>
      <w:r w:rsidRPr="00D5678F">
        <w:t>VaV</w:t>
      </w:r>
      <w:r w:rsidRPr="00D5678F">
        <w:tab/>
      </w:r>
      <w:r>
        <w:tab/>
      </w:r>
      <w:r w:rsidRPr="00D5678F">
        <w:t>Výzkum a</w:t>
      </w:r>
      <w:r w:rsidR="005A1247">
        <w:t> </w:t>
      </w:r>
      <w:r w:rsidRPr="00D5678F">
        <w:t>vývoj</w:t>
      </w:r>
    </w:p>
    <w:p w14:paraId="36A5DD71" w14:textId="0D225239" w:rsidR="00FF4D36" w:rsidRPr="00D5678F" w:rsidRDefault="00FF4D36" w:rsidP="009A3B7E">
      <w:pPr>
        <w:pStyle w:val="Zkratky"/>
        <w:tabs>
          <w:tab w:val="left" w:leader="dot" w:pos="2127"/>
        </w:tabs>
        <w:jc w:val="both"/>
      </w:pPr>
      <w:r w:rsidRPr="00D5678F">
        <w:t>VaVaI</w:t>
      </w:r>
      <w:r w:rsidRPr="00D5678F">
        <w:tab/>
      </w:r>
      <w:r>
        <w:tab/>
      </w:r>
      <w:r w:rsidRPr="00D5678F">
        <w:t>Výzkum, vývoj a</w:t>
      </w:r>
      <w:r w:rsidR="005A1247">
        <w:t> </w:t>
      </w:r>
      <w:r w:rsidRPr="00D5678F">
        <w:t>inovace</w:t>
      </w:r>
    </w:p>
    <w:p w14:paraId="142D07A1" w14:textId="77777777" w:rsidR="00FF4D36" w:rsidRDefault="00FF4D36" w:rsidP="009A3B7E">
      <w:pPr>
        <w:pStyle w:val="Zkratky"/>
        <w:jc w:val="both"/>
      </w:pPr>
      <w:r>
        <w:t>WTW</w:t>
      </w:r>
      <w:r>
        <w:tab/>
      </w:r>
      <w:r w:rsidRPr="00011039">
        <w:t>Well to Wheels (WTW)</w:t>
      </w:r>
    </w:p>
    <w:p w14:paraId="1E8A5B38" w14:textId="77777777" w:rsidR="001C0C96" w:rsidRDefault="00592CC4" w:rsidP="009A3B7E">
      <w:pPr>
        <w:pStyle w:val="Zkratky"/>
        <w:tabs>
          <w:tab w:val="left" w:leader="dot" w:pos="2127"/>
        </w:tabs>
        <w:jc w:val="both"/>
      </w:pPr>
      <w:r w:rsidRPr="00D5678F">
        <w:t>VOC</w:t>
      </w:r>
      <w:r w:rsidRPr="00D5678F">
        <w:tab/>
      </w:r>
      <w:r w:rsidR="00A8795D">
        <w:tab/>
      </w:r>
      <w:r w:rsidRPr="00D5678F">
        <w:t>Těkavé organické látky</w:t>
      </w:r>
    </w:p>
    <w:p w14:paraId="3CDA41DE" w14:textId="77777777" w:rsidR="001C0C96" w:rsidRDefault="001C0C96" w:rsidP="001C0C96">
      <w:pPr>
        <w:pStyle w:val="Zkratky"/>
        <w:tabs>
          <w:tab w:val="left" w:leader="dot" w:pos="2127"/>
        </w:tabs>
        <w:jc w:val="both"/>
      </w:pPr>
      <w:r>
        <w:t>VOŠ</w:t>
      </w:r>
      <w:r>
        <w:tab/>
      </w:r>
      <w:r>
        <w:tab/>
        <w:t>Vyšší odborná škola</w:t>
      </w:r>
    </w:p>
    <w:p w14:paraId="1C1DC947" w14:textId="77777777" w:rsidR="001C0C96" w:rsidRDefault="001C0C96" w:rsidP="001C0C96">
      <w:pPr>
        <w:pStyle w:val="Zkratky"/>
        <w:tabs>
          <w:tab w:val="left" w:leader="dot" w:pos="2127"/>
        </w:tabs>
        <w:jc w:val="both"/>
      </w:pPr>
      <w:r>
        <w:t>VŠ</w:t>
      </w:r>
      <w:r>
        <w:tab/>
      </w:r>
      <w:r>
        <w:tab/>
        <w:t>Vysoká škola</w:t>
      </w:r>
    </w:p>
    <w:p w14:paraId="3DBF6449" w14:textId="6D50A6AF" w:rsidR="001C0C96" w:rsidRDefault="001C0C96" w:rsidP="001C0C96">
      <w:pPr>
        <w:pStyle w:val="Zkratky"/>
        <w:tabs>
          <w:tab w:val="left" w:leader="dot" w:pos="2127"/>
        </w:tabs>
        <w:jc w:val="both"/>
      </w:pPr>
      <w:r>
        <w:t>VŠCHT</w:t>
      </w:r>
      <w:r>
        <w:tab/>
      </w:r>
      <w:r>
        <w:tab/>
      </w:r>
      <w:r w:rsidRPr="001139A4">
        <w:t>Vysoká škola chemicko-technologická v</w:t>
      </w:r>
      <w:r w:rsidR="005A1247">
        <w:t> </w:t>
      </w:r>
      <w:r w:rsidRPr="001139A4">
        <w:t>Praze</w:t>
      </w:r>
    </w:p>
    <w:p w14:paraId="727726E6" w14:textId="77777777" w:rsidR="001C0C96" w:rsidRDefault="001C0C96" w:rsidP="001C0C96">
      <w:pPr>
        <w:pStyle w:val="Zkratky"/>
        <w:tabs>
          <w:tab w:val="left" w:leader="dot" w:pos="2127"/>
        </w:tabs>
        <w:jc w:val="both"/>
      </w:pPr>
      <w:r>
        <w:t>VTE</w:t>
      </w:r>
      <w:r>
        <w:tab/>
      </w:r>
      <w:r>
        <w:tab/>
        <w:t>Větrná elektrárna</w:t>
      </w:r>
    </w:p>
    <w:p w14:paraId="601C3259" w14:textId="77777777" w:rsidR="001C0C96" w:rsidRDefault="001C0C96" w:rsidP="001C0C96">
      <w:pPr>
        <w:pStyle w:val="Zkratky"/>
        <w:tabs>
          <w:tab w:val="left" w:leader="dot" w:pos="2127"/>
        </w:tabs>
        <w:jc w:val="both"/>
      </w:pPr>
      <w:r w:rsidRPr="001139A4">
        <w:t>V2G</w:t>
      </w:r>
      <w:r>
        <w:tab/>
      </w:r>
      <w:r>
        <w:tab/>
        <w:t>V</w:t>
      </w:r>
      <w:r w:rsidRPr="001139A4">
        <w:t>ehicle-to-grid</w:t>
      </w:r>
      <w:r>
        <w:t xml:space="preserve">  (vozidlo jako záložní zdroj pro rozvodnou síť)</w:t>
      </w:r>
    </w:p>
    <w:p w14:paraId="34C476A5" w14:textId="77777777" w:rsidR="00592CC4" w:rsidRPr="00D5678F" w:rsidRDefault="001C0C96" w:rsidP="001C0C96">
      <w:pPr>
        <w:pStyle w:val="Zkratky"/>
        <w:tabs>
          <w:tab w:val="left" w:leader="dot" w:pos="2127"/>
        </w:tabs>
        <w:jc w:val="both"/>
      </w:pPr>
      <w:r w:rsidRPr="001139A4">
        <w:t xml:space="preserve">V2H </w:t>
      </w:r>
      <w:r>
        <w:tab/>
      </w:r>
      <w:r>
        <w:tab/>
        <w:t>V</w:t>
      </w:r>
      <w:r w:rsidRPr="001139A4">
        <w:t>ehicle-to-home</w:t>
      </w:r>
      <w:r>
        <w:t xml:space="preserve"> (vozidlo jako zdroj elektřiny pro dům)</w:t>
      </w:r>
      <w:r w:rsidR="00592CC4" w:rsidRPr="00D5678F">
        <w:t xml:space="preserve"> </w:t>
      </w:r>
    </w:p>
    <w:p w14:paraId="70086A83" w14:textId="77777777" w:rsidR="00592CC4" w:rsidRPr="00D5678F" w:rsidRDefault="00592CC4" w:rsidP="009A3B7E">
      <w:pPr>
        <w:pStyle w:val="Zkratky"/>
        <w:tabs>
          <w:tab w:val="left" w:leader="dot" w:pos="2127"/>
        </w:tabs>
        <w:jc w:val="both"/>
      </w:pPr>
      <w:r w:rsidRPr="00D5678F">
        <w:t>ZP</w:t>
      </w:r>
      <w:r w:rsidRPr="00D5678F">
        <w:tab/>
      </w:r>
      <w:r w:rsidR="00A8795D">
        <w:tab/>
      </w:r>
      <w:r w:rsidRPr="00D5678F">
        <w:t>Zemní plyn</w:t>
      </w:r>
    </w:p>
    <w:p w14:paraId="0DEB03E0" w14:textId="77777777" w:rsidR="00724C55" w:rsidRPr="000A789F" w:rsidRDefault="00592CC4" w:rsidP="00933130">
      <w:pPr>
        <w:pStyle w:val="Zkratky"/>
        <w:jc w:val="both"/>
      </w:pPr>
      <w:r w:rsidRPr="00D5678F">
        <w:t>ŽP</w:t>
      </w:r>
      <w:r w:rsidRPr="00D5678F">
        <w:tab/>
        <w:t>Životní prostředí</w:t>
      </w:r>
    </w:p>
    <w:sectPr w:rsidR="00724C55" w:rsidRPr="000A789F" w:rsidSect="00B31113">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B7543" w14:textId="77777777" w:rsidR="005A1247" w:rsidRDefault="005A1247" w:rsidP="001A2533">
      <w:pPr>
        <w:spacing w:before="0" w:after="0"/>
      </w:pPr>
      <w:r>
        <w:separator/>
      </w:r>
    </w:p>
  </w:endnote>
  <w:endnote w:type="continuationSeparator" w:id="0">
    <w:p w14:paraId="1A1B7F2E" w14:textId="77777777" w:rsidR="005A1247" w:rsidRDefault="005A1247" w:rsidP="001A2533">
      <w:pPr>
        <w:spacing w:before="0" w:after="0"/>
      </w:pPr>
      <w:r>
        <w:continuationSeparator/>
      </w:r>
    </w:p>
  </w:endnote>
  <w:endnote w:type="continuationNotice" w:id="1">
    <w:p w14:paraId="6B773FEE" w14:textId="77777777" w:rsidR="005A1247" w:rsidRDefault="005A12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Roboto-Light">
    <w:altName w:val="Times New Roman"/>
    <w:charset w:val="0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B25D2" w14:textId="77777777" w:rsidR="005A1247" w:rsidRDefault="005A1247">
    <w:pPr>
      <w:pStyle w:val="Zpat"/>
      <w:framePr w:wrap="around" w:vAnchor="text" w:hAnchor="margin" w:xAlign="center" w:y="1"/>
    </w:pPr>
    <w:r>
      <w:fldChar w:fldCharType="begin"/>
    </w:r>
    <w:r>
      <w:instrText xml:space="preserve">PAGE  </w:instrText>
    </w:r>
    <w:r>
      <w:fldChar w:fldCharType="end"/>
    </w:r>
  </w:p>
  <w:p w14:paraId="21C6D3D7" w14:textId="77777777" w:rsidR="005A1247" w:rsidRDefault="005A124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E1C24" w14:textId="77777777" w:rsidR="005A1247" w:rsidRDefault="005A1247" w:rsidP="00596A32">
    <w:pPr>
      <w:pStyle w:val="Zpat"/>
      <w:pBdr>
        <w:top w:val="single" w:sz="4" w:space="1" w:color="auto"/>
      </w:pBdr>
    </w:pPr>
    <w:r>
      <w:t>Aktualizace NAP CM</w:t>
    </w:r>
    <w:r>
      <w:tab/>
    </w:r>
    <w:r>
      <w:fldChar w:fldCharType="begin"/>
    </w:r>
    <w:r>
      <w:instrText xml:space="preserve"> PAGE  \* MERGEFORMAT </w:instrText>
    </w:r>
    <w:r>
      <w:fldChar w:fldCharType="separate"/>
    </w:r>
    <w:r>
      <w:rPr>
        <w:noProof/>
      </w:rPr>
      <w:t>2</w:t>
    </w:r>
    <w:r>
      <w:fldChar w:fldCharType="end"/>
    </w:r>
    <w:r>
      <w:tab/>
      <w:t>Důvěrné</w:t>
    </w:r>
  </w:p>
  <w:p w14:paraId="63BA843E" w14:textId="77777777" w:rsidR="005A1247" w:rsidRDefault="005A1247">
    <w:pPr>
      <w:pStyle w:val="Zpat"/>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5FD46" w14:textId="109698FC" w:rsidR="005A1247" w:rsidRDefault="005A1247" w:rsidP="00596A32">
    <w:pPr>
      <w:pStyle w:val="Zpat"/>
      <w:pBdr>
        <w:top w:val="single" w:sz="4" w:space="1" w:color="auto"/>
      </w:pBdr>
    </w:pPr>
    <w:r>
      <w:t>Aktualizace NAP CM</w:t>
    </w:r>
    <w:r>
      <w:tab/>
    </w:r>
    <w:r>
      <w:fldChar w:fldCharType="begin"/>
    </w:r>
    <w:r>
      <w:instrText xml:space="preserve"> PAGE  \* MERGEFORMAT </w:instrText>
    </w:r>
    <w:r>
      <w:fldChar w:fldCharType="separate"/>
    </w:r>
    <w:r w:rsidR="00B85251">
      <w:rPr>
        <w:noProof/>
      </w:rPr>
      <w:t>46</w:t>
    </w:r>
    <w:r>
      <w:fldChar w:fldCharType="end"/>
    </w:r>
    <w:r>
      <w:tab/>
    </w:r>
  </w:p>
  <w:p w14:paraId="30B23196" w14:textId="77777777" w:rsidR="005A1247" w:rsidRDefault="005A1247">
    <w:pPr>
      <w:pStyle w:val="Zpat"/>
      <w:pBdr>
        <w:top w:val="single" w:sz="4" w:space="1"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940B5" w14:textId="3CD7AC26" w:rsidR="005A1247" w:rsidRDefault="005A1247" w:rsidP="00EE3554">
    <w:pPr>
      <w:pStyle w:val="Zpat"/>
      <w:pBdr>
        <w:top w:val="single" w:sz="4" w:space="1" w:color="auto"/>
      </w:pBdr>
      <w:tabs>
        <w:tab w:val="clear" w:pos="4536"/>
        <w:tab w:val="clear" w:pos="9072"/>
        <w:tab w:val="center" w:pos="6804"/>
        <w:tab w:val="right" w:pos="14034"/>
      </w:tabs>
    </w:pPr>
    <w:r>
      <w:t>Aktualizace NAP CM</w:t>
    </w:r>
    <w:r>
      <w:tab/>
    </w:r>
    <w:r>
      <w:fldChar w:fldCharType="begin"/>
    </w:r>
    <w:r>
      <w:instrText xml:space="preserve"> PAGE  \* MERGEFORMAT </w:instrText>
    </w:r>
    <w:r>
      <w:fldChar w:fldCharType="separate"/>
    </w:r>
    <w:r w:rsidR="00B85251">
      <w:rPr>
        <w:noProof/>
      </w:rPr>
      <w:t>51</w:t>
    </w:r>
    <w:r>
      <w:fldChar w:fldCharType="end"/>
    </w:r>
    <w:r>
      <w:tab/>
    </w:r>
  </w:p>
  <w:p w14:paraId="11E45924" w14:textId="77777777" w:rsidR="005A1247" w:rsidRDefault="005A1247">
    <w:pPr>
      <w:pStyle w:val="Zpat"/>
      <w:pBdr>
        <w:top w:val="single" w:sz="4" w:space="1" w:color="auto"/>
      </w:pBd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849181"/>
      <w:docPartObj>
        <w:docPartGallery w:val="Page Numbers (Bottom of Page)"/>
        <w:docPartUnique/>
      </w:docPartObj>
    </w:sdtPr>
    <w:sdtEndPr/>
    <w:sdtContent>
      <w:p w14:paraId="03CF9FA1" w14:textId="55C6A7D8" w:rsidR="005A1247" w:rsidRDefault="005A1247">
        <w:pPr>
          <w:pStyle w:val="Zpat"/>
          <w:jc w:val="center"/>
        </w:pPr>
        <w:r>
          <w:fldChar w:fldCharType="begin"/>
        </w:r>
        <w:r>
          <w:instrText>PAGE   \* MERGEFORMAT</w:instrText>
        </w:r>
        <w:r>
          <w:fldChar w:fldCharType="separate"/>
        </w:r>
        <w:r w:rsidR="00B85251">
          <w:rPr>
            <w:noProof/>
          </w:rPr>
          <w:t>59</w:t>
        </w:r>
        <w:r>
          <w:fldChar w:fldCharType="end"/>
        </w:r>
      </w:p>
    </w:sdtContent>
  </w:sdt>
  <w:p w14:paraId="4F2B928B" w14:textId="77777777" w:rsidR="005A1247" w:rsidRDefault="005A1247">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9F4B5" w14:textId="77777777" w:rsidR="005A1247" w:rsidRDefault="005A1247" w:rsidP="001A2533">
      <w:pPr>
        <w:spacing w:before="0" w:after="0"/>
      </w:pPr>
      <w:r>
        <w:separator/>
      </w:r>
    </w:p>
  </w:footnote>
  <w:footnote w:type="continuationSeparator" w:id="0">
    <w:p w14:paraId="16827339" w14:textId="77777777" w:rsidR="005A1247" w:rsidRDefault="005A1247" w:rsidP="001A2533">
      <w:pPr>
        <w:spacing w:before="0" w:after="0"/>
      </w:pPr>
      <w:r>
        <w:continuationSeparator/>
      </w:r>
    </w:p>
  </w:footnote>
  <w:footnote w:type="continuationNotice" w:id="1">
    <w:p w14:paraId="63861465" w14:textId="77777777" w:rsidR="005A1247" w:rsidRDefault="005A1247">
      <w:pPr>
        <w:spacing w:before="0" w:after="0"/>
      </w:pPr>
    </w:p>
  </w:footnote>
  <w:footnote w:id="2">
    <w:p w14:paraId="2EF6AA76" w14:textId="77777777" w:rsidR="005A1247" w:rsidRDefault="005A1247">
      <w:pPr>
        <w:pStyle w:val="Textpoznpodarou"/>
      </w:pPr>
      <w:r>
        <w:rPr>
          <w:rStyle w:val="Znakapoznpodarou"/>
        </w:rPr>
        <w:footnoteRef/>
      </w:r>
      <w:r>
        <w:t xml:space="preserve"> K datu aktualizace NAP CM ještě nebyla schválena finální verze Vnitrostátního plánu České republiky v oblasti energetiky a klimatu a tudíž NAP CM pracuje s návrhovou verzí</w:t>
      </w:r>
    </w:p>
  </w:footnote>
  <w:footnote w:id="3">
    <w:p w14:paraId="47F64C94" w14:textId="77777777" w:rsidR="005A1247" w:rsidRDefault="005A1247">
      <w:pPr>
        <w:pStyle w:val="Textpoznpodarou"/>
      </w:pPr>
      <w:r>
        <w:rPr>
          <w:rStyle w:val="Znakapoznpodarou"/>
        </w:rPr>
        <w:footnoteRef/>
      </w:r>
      <w:r>
        <w:t xml:space="preserve"> Pojem je používán odbornou veřejností, prozatím není legislativně definován.</w:t>
      </w:r>
    </w:p>
  </w:footnote>
  <w:footnote w:id="4">
    <w:p w14:paraId="4EE4B031" w14:textId="77777777" w:rsidR="005A1247" w:rsidRPr="00B502A0" w:rsidRDefault="005A1247" w:rsidP="00C31320">
      <w:pPr>
        <w:autoSpaceDE w:val="0"/>
        <w:autoSpaceDN w:val="0"/>
        <w:adjustRightInd w:val="0"/>
        <w:spacing w:before="0" w:after="0"/>
        <w:rPr>
          <w:rFonts w:asciiTheme="minorHAnsi" w:eastAsiaTheme="minorHAnsi" w:hAnsiTheme="minorHAnsi" w:cstheme="minorHAnsi"/>
          <w:bCs/>
          <w:sz w:val="18"/>
          <w:szCs w:val="18"/>
          <w:lang w:eastAsia="en-US"/>
        </w:rPr>
      </w:pPr>
      <w:r w:rsidRPr="00EF5CDB">
        <w:rPr>
          <w:rStyle w:val="Znakapoznpodarou"/>
          <w:rFonts w:asciiTheme="minorHAnsi" w:hAnsiTheme="minorHAnsi" w:cstheme="minorHAnsi"/>
          <w:b/>
        </w:rPr>
        <w:footnoteRef/>
      </w:r>
      <w:r w:rsidRPr="00EF5CDB">
        <w:rPr>
          <w:rFonts w:asciiTheme="minorHAnsi" w:hAnsiTheme="minorHAnsi" w:cstheme="minorHAnsi"/>
          <w:b/>
        </w:rPr>
        <w:t xml:space="preserve"> </w:t>
      </w:r>
      <w:r w:rsidRPr="00B502A0">
        <w:rPr>
          <w:rFonts w:asciiTheme="minorHAnsi" w:eastAsiaTheme="minorHAnsi" w:hAnsiTheme="minorHAnsi" w:cstheme="minorHAnsi"/>
          <w:bCs/>
          <w:sz w:val="18"/>
          <w:szCs w:val="18"/>
          <w:lang w:eastAsia="en-US"/>
        </w:rPr>
        <w:t>Koncepce nákladní dopravy pro období 2017–2023 s výhledem do roku 2030</w:t>
      </w:r>
    </w:p>
  </w:footnote>
  <w:footnote w:id="5">
    <w:p w14:paraId="36482D41" w14:textId="77777777" w:rsidR="005A1247" w:rsidRDefault="005A1247">
      <w:pPr>
        <w:pStyle w:val="Textpoznpodarou"/>
      </w:pPr>
      <w:r>
        <w:rPr>
          <w:rStyle w:val="Znakapoznpodarou"/>
        </w:rPr>
        <w:footnoteRef/>
      </w:r>
      <w:r>
        <w:t xml:space="preserve"> V bateriových trolejbusech se využívají nanotechnologické lithium-titanátové baterie, u nichž se po skončení životnosti předpokládá vysoká kapacita, ale vzrůstá vnitřní odpor, tj. hodí se např. pro krátkodobé zatížení o velkých výkonech - vyrovnání špiček, FVE apod. </w:t>
      </w:r>
    </w:p>
  </w:footnote>
  <w:footnote w:id="6">
    <w:p w14:paraId="09FCEE35" w14:textId="77777777" w:rsidR="005A1247" w:rsidRDefault="005A1247">
      <w:pPr>
        <w:pStyle w:val="Textpoznpodarou"/>
      </w:pPr>
      <w:r>
        <w:rPr>
          <w:rStyle w:val="Znakapoznpodarou"/>
        </w:rPr>
        <w:footnoteRef/>
      </w:r>
      <w:r>
        <w:t xml:space="preserve"> Názvy opatření korespondují s názvy karet opatření, které se v některých případech týkají i ostatních druhů alternativních paliv</w:t>
      </w:r>
    </w:p>
  </w:footnote>
  <w:footnote w:id="7">
    <w:p w14:paraId="474B27B1" w14:textId="77777777" w:rsidR="005A1247" w:rsidRDefault="005A1247" w:rsidP="00876832">
      <w:pPr>
        <w:pStyle w:val="Textpoznpodarou"/>
        <w:jc w:val="both"/>
      </w:pPr>
      <w:r>
        <w:rPr>
          <w:rStyle w:val="Znakapoznpodarou"/>
        </w:rPr>
        <w:footnoteRef/>
      </w:r>
      <w:r>
        <w:t xml:space="preserve"> GSG (Governmental Support Group) představuje neformální uskupení ca 12 států EU, které vzniklo za účelem spolupráce členských států při implementaci směrnice 2014/94/EU o zavádění infrastruktury pro alternativní paliva. Za tímto účelem se jednou za půl roku konají jednání řídícího výboru plus ad hoc pak probíhají (z pravidla formou videokonference) jednání pracovníku skupin k jednotlivým alternativním palivům.    </w:t>
      </w:r>
    </w:p>
  </w:footnote>
  <w:footnote w:id="8">
    <w:p w14:paraId="293E933C" w14:textId="77777777" w:rsidR="005A1247" w:rsidRDefault="005A1247">
      <w:pPr>
        <w:pStyle w:val="Textpoznpodarou"/>
      </w:pPr>
      <w:r>
        <w:rPr>
          <w:rStyle w:val="Znakapoznpodarou"/>
        </w:rPr>
        <w:footnoteRef/>
      </w:r>
      <w:r>
        <w:t xml:space="preserve"> Toto se </w:t>
      </w:r>
      <w:r>
        <w:rPr>
          <w:rFonts w:cstheme="minorHAnsi"/>
        </w:rPr>
        <w:t>týká i </w:t>
      </w:r>
      <w:r w:rsidRPr="001D6FF1">
        <w:rPr>
          <w:rFonts w:cstheme="minorHAnsi"/>
        </w:rPr>
        <w:t>norem pro homologaci vodíkových železničních vozidel</w:t>
      </w:r>
      <w:r>
        <w:rPr>
          <w:rFonts w:cstheme="minorHAnsi"/>
        </w:rPr>
        <w:t xml:space="preserve"> – viz kapitola  </w:t>
      </w:r>
      <w:r>
        <w:rPr>
          <w:rFonts w:cstheme="minorHAnsi"/>
        </w:rPr>
        <w:fldChar w:fldCharType="begin"/>
      </w:r>
      <w:r>
        <w:rPr>
          <w:rFonts w:cstheme="minorHAnsi"/>
        </w:rPr>
        <w:instrText xml:space="preserve"> REF _Ref21597760 \r \h  \* MERGEFORMAT </w:instrText>
      </w:r>
      <w:r>
        <w:rPr>
          <w:rFonts w:cstheme="minorHAnsi"/>
        </w:rPr>
      </w:r>
      <w:r>
        <w:rPr>
          <w:rFonts w:cstheme="minorHAnsi"/>
        </w:rPr>
        <w:fldChar w:fldCharType="separate"/>
      </w:r>
      <w:r>
        <w:rPr>
          <w:rFonts w:cstheme="minorHAnsi"/>
        </w:rPr>
        <w:t>6.2</w:t>
      </w:r>
      <w:r>
        <w:rPr>
          <w:rFonts w:cstheme="minorHAnsi"/>
        </w:rPr>
        <w:fldChar w:fldCharType="end"/>
      </w:r>
    </w:p>
  </w:footnote>
  <w:footnote w:id="9">
    <w:p w14:paraId="60A327C8" w14:textId="77777777" w:rsidR="005A1247" w:rsidRDefault="005A1247" w:rsidP="00EC2BF5">
      <w:pPr>
        <w:pStyle w:val="Textpoznpodarou"/>
      </w:pPr>
      <w:r>
        <w:rPr>
          <w:rStyle w:val="Znakapoznpodarou"/>
        </w:rPr>
        <w:footnoteRef/>
      </w:r>
      <w:r>
        <w:t xml:space="preserve"> </w:t>
      </w:r>
      <w:r w:rsidRPr="00A61976">
        <w:t>https://www.fch.europa.eu/page/european-hydrogen-safety-panel</w:t>
      </w:r>
    </w:p>
  </w:footnote>
  <w:footnote w:id="10">
    <w:p w14:paraId="6E3A0C54" w14:textId="77777777" w:rsidR="005A1247" w:rsidRDefault="005A1247" w:rsidP="00EC2BF5">
      <w:pPr>
        <w:pStyle w:val="Textpoznpodarou"/>
      </w:pPr>
      <w:r>
        <w:rPr>
          <w:rStyle w:val="Znakapoznpodarou"/>
        </w:rPr>
        <w:footnoteRef/>
      </w:r>
      <w:r>
        <w:t xml:space="preserve"> </w:t>
      </w:r>
      <w:r w:rsidRPr="00B23106">
        <w:t>https://www.hylaw.eu/</w:t>
      </w:r>
    </w:p>
  </w:footnote>
  <w:footnote w:id="11">
    <w:p w14:paraId="43F7E934" w14:textId="77777777" w:rsidR="005A1247" w:rsidRDefault="005A1247" w:rsidP="00EC2BF5">
      <w:pPr>
        <w:pStyle w:val="Textpoznpodarou"/>
      </w:pPr>
      <w:r>
        <w:rPr>
          <w:rStyle w:val="Znakapoznpodarou"/>
        </w:rPr>
        <w:footnoteRef/>
      </w:r>
      <w:r>
        <w:t xml:space="preserve"> V rámci aktivit společností APT spol. s.r.o. a ÚJV Řež vnikla v roce 2018 také certifikovaná metodika „METODIKA VÝSTAVBY A PROVOZU PLNICÍCH STANIC STLAČENÉHO VODÍKU PRO MOBILNÍ ZAŘÍZENÍ“</w:t>
      </w:r>
    </w:p>
  </w:footnote>
  <w:footnote w:id="12">
    <w:p w14:paraId="18BA3EF1" w14:textId="77777777" w:rsidR="005A1247" w:rsidRDefault="005A1247">
      <w:pPr>
        <w:pStyle w:val="Textpoznpodarou"/>
      </w:pPr>
      <w:r>
        <w:rPr>
          <w:rStyle w:val="Znakapoznpodarou"/>
        </w:rPr>
        <w:footnoteRef/>
      </w:r>
      <w:r>
        <w:t xml:space="preserve"> Pro zajištění 30% pokrytí spotřeby je potřeba výrobní kapacita cca 30 tisíc tun ročně</w:t>
      </w:r>
    </w:p>
  </w:footnote>
  <w:footnote w:id="13">
    <w:p w14:paraId="3C0D6F3B" w14:textId="77777777" w:rsidR="005A1247" w:rsidRDefault="005A1247">
      <w:pPr>
        <w:pStyle w:val="Textpoznpodarou"/>
      </w:pPr>
      <w:r>
        <w:rPr>
          <w:rStyle w:val="Znakapoznpodarou"/>
        </w:rPr>
        <w:footnoteRef/>
      </w:r>
      <w:r>
        <w:t xml:space="preserve"> Některá opatření původního NAP CM mají vazbu na schválené programy podpory, a proto budou realizována i v období po schválení aktualizace NAP CM.</w:t>
      </w:r>
    </w:p>
  </w:footnote>
  <w:footnote w:id="14">
    <w:p w14:paraId="6A70EF71" w14:textId="77777777" w:rsidR="005A1247" w:rsidRDefault="005A1247" w:rsidP="001530C0">
      <w:pPr>
        <w:pStyle w:val="Textpoznpodarou"/>
      </w:pPr>
      <w:r>
        <w:rPr>
          <w:rStyle w:val="Znakapoznpodarou"/>
        </w:rPr>
        <w:footnoteRef/>
      </w:r>
      <w:r>
        <w:t xml:space="preserve"> </w:t>
      </w:r>
      <w:r w:rsidRPr="00943B40">
        <w:t xml:space="preserve">S variantou přímých dotací lze počítat především za předpokladu, že by se v rámci případné revize OPD podařilo dojednat s EK úpravu zacílení tohoto programu ve vztahu k podpoře vozidel na alternativní paliva (specifický cíl 2.2) ze současné podpory pouze na oblast rozvoje infrastruktury pro alternativní paliva rovněž na částečnou podporu nákupu vozidel.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9F24A" w14:textId="77777777" w:rsidR="005A1247" w:rsidRDefault="005A1247">
    <w:pPr>
      <w:pBdr>
        <w:bottom w:val="single" w:sz="4" w:space="1" w:color="auto"/>
      </w:pBdr>
    </w:pPr>
  </w:p>
  <w:p w14:paraId="7610BBEC" w14:textId="77777777" w:rsidR="005A1247" w:rsidRDefault="005A1247">
    <w:pPr>
      <w:pBdr>
        <w:bottom w:val="single" w:sz="4" w:space="1" w:color="auto"/>
      </w:pBdr>
    </w:pPr>
  </w:p>
  <w:p w14:paraId="7B065207" w14:textId="77777777" w:rsidR="005A1247" w:rsidRDefault="005A1247">
    <w:pPr>
      <w:pBdr>
        <w:bottom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ECD6E" w14:textId="77777777" w:rsidR="005A1247" w:rsidRDefault="005A1247">
    <w:pPr>
      <w:pBdr>
        <w:bottom w:val="single" w:sz="4" w:space="1" w:color="auto"/>
      </w:pBdr>
    </w:pPr>
  </w:p>
  <w:p w14:paraId="6ACBCEB9" w14:textId="77777777" w:rsidR="005A1247" w:rsidRDefault="005A1247">
    <w:pPr>
      <w:pBdr>
        <w:bottom w:val="single" w:sz="4" w:space="1" w:color="auto"/>
      </w:pBdr>
    </w:pPr>
  </w:p>
  <w:p w14:paraId="27C68047" w14:textId="77777777" w:rsidR="005A1247" w:rsidRDefault="005A1247">
    <w:pPr>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DE17C" w14:textId="77777777" w:rsidR="005A1247" w:rsidRDefault="005A1247">
    <w:pPr>
      <w:pBdr>
        <w:bottom w:val="single" w:sz="4" w:space="1" w:color="auto"/>
      </w:pBdr>
    </w:pPr>
  </w:p>
  <w:p w14:paraId="3A4FFD35" w14:textId="77777777" w:rsidR="005A1247" w:rsidRDefault="005A1247">
    <w:pPr>
      <w:pBdr>
        <w:bottom w:val="single" w:sz="4" w:space="1" w:color="auto"/>
      </w:pBdr>
    </w:pPr>
  </w:p>
  <w:p w14:paraId="29B1A5B5" w14:textId="77777777" w:rsidR="005A1247" w:rsidRDefault="005A1247">
    <w:pPr>
      <w:pBdr>
        <w:bottom w:val="single" w:sz="4"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F2130" w14:textId="77777777" w:rsidR="005A1247" w:rsidRDefault="005A1247">
    <w:pPr>
      <w:pBdr>
        <w:bottom w:val="single" w:sz="4" w:space="1" w:color="auto"/>
      </w:pBdr>
    </w:pPr>
  </w:p>
  <w:p w14:paraId="016900F0" w14:textId="77777777" w:rsidR="005A1247" w:rsidRDefault="005A1247">
    <w:pPr>
      <w:pBdr>
        <w:bottom w:val="single" w:sz="4" w:space="1" w:color="auto"/>
      </w:pBdr>
    </w:pPr>
  </w:p>
  <w:p w14:paraId="3455B887" w14:textId="77777777" w:rsidR="005A1247" w:rsidRDefault="005A1247">
    <w:pP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7F2"/>
    <w:multiLevelType w:val="hybridMultilevel"/>
    <w:tmpl w:val="61CC405C"/>
    <w:lvl w:ilvl="0" w:tplc="A11639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715CC5"/>
    <w:multiLevelType w:val="hybridMultilevel"/>
    <w:tmpl w:val="D6806F42"/>
    <w:lvl w:ilvl="0" w:tplc="C4323DD8">
      <w:numFmt w:val="bullet"/>
      <w:lvlText w:val="-"/>
      <w:lvlJc w:val="left"/>
      <w:pPr>
        <w:ind w:left="720" w:hanging="360"/>
      </w:pPr>
      <w:rPr>
        <w:rFonts w:ascii="Arial" w:eastAsia="Times New Roman" w:hAnsi="Arial" w:cs="Arial" w:hint="default"/>
        <w:b/>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A268B"/>
    <w:multiLevelType w:val="multilevel"/>
    <w:tmpl w:val="CD302B10"/>
    <w:lvl w:ilvl="0">
      <w:start w:val="1"/>
      <w:numFmt w:val="decimal"/>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502"/>
        </w:tabs>
        <w:ind w:left="502" w:hanging="360"/>
      </w:pPr>
      <w:rPr>
        <w:rFonts w:asciiTheme="minorHAnsi" w:eastAsia="Times New Roman" w:hAnsiTheme="minorHAnsi" w:cstheme="minorHAnsi"/>
        <w:b/>
      </w:rPr>
    </w:lvl>
    <w:lvl w:ilvl="2">
      <w:start w:val="1"/>
      <w:numFmt w:val="lowerLetter"/>
      <w:lvlText w:val="%3)"/>
      <w:lvlJc w:val="left"/>
      <w:pPr>
        <w:ind w:left="2205" w:hanging="405"/>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2734AE"/>
    <w:multiLevelType w:val="multilevel"/>
    <w:tmpl w:val="A9F0EBEE"/>
    <w:lvl w:ilvl="0">
      <w:start w:val="1"/>
      <w:numFmt w:val="decimal"/>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502"/>
        </w:tabs>
        <w:ind w:left="502" w:hanging="360"/>
      </w:pPr>
      <w:rPr>
        <w:rFonts w:asciiTheme="minorHAnsi" w:eastAsia="Times New Roman" w:hAnsiTheme="minorHAnsi" w:cstheme="minorHAnsi"/>
        <w:b/>
      </w:rPr>
    </w:lvl>
    <w:lvl w:ilvl="2">
      <w:start w:val="1"/>
      <w:numFmt w:val="lowerLetter"/>
      <w:lvlText w:val="%3)"/>
      <w:lvlJc w:val="left"/>
      <w:pPr>
        <w:ind w:left="2205" w:hanging="405"/>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DE39A0"/>
    <w:multiLevelType w:val="hybridMultilevel"/>
    <w:tmpl w:val="367230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052181"/>
    <w:multiLevelType w:val="multilevel"/>
    <w:tmpl w:val="87A2F11A"/>
    <w:lvl w:ilvl="0">
      <w:start w:val="1"/>
      <w:numFmt w:val="decimal"/>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502"/>
        </w:tabs>
        <w:ind w:left="502" w:hanging="360"/>
      </w:pPr>
      <w:rPr>
        <w:rFonts w:ascii="Arial" w:eastAsia="Times New Roman" w:hAnsi="Arial" w:cs="Arial" w:hint="default"/>
        <w:b w:val="0"/>
      </w:rPr>
    </w:lvl>
    <w:lvl w:ilvl="2">
      <w:start w:val="1"/>
      <w:numFmt w:val="lowerLetter"/>
      <w:lvlText w:val="%3)"/>
      <w:lvlJc w:val="left"/>
      <w:pPr>
        <w:ind w:left="2205" w:hanging="405"/>
      </w:pPr>
      <w:rPr>
        <w:rFonts w:hint="default"/>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EE412A"/>
    <w:multiLevelType w:val="hybridMultilevel"/>
    <w:tmpl w:val="630C2328"/>
    <w:lvl w:ilvl="0" w:tplc="A2A06D4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FF60A0E"/>
    <w:multiLevelType w:val="hybridMultilevel"/>
    <w:tmpl w:val="E4DC5712"/>
    <w:lvl w:ilvl="0" w:tplc="79960EE6">
      <w:start w:val="29"/>
      <w:numFmt w:val="bullet"/>
      <w:lvlText w:val="-"/>
      <w:lvlJc w:val="left"/>
      <w:pPr>
        <w:ind w:left="360" w:hanging="360"/>
      </w:pPr>
      <w:rPr>
        <w:rFonts w:ascii="Calibri" w:eastAsiaTheme="minorEastAsia" w:hAnsi="Calibri" w:cs="Roboto-Light"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5AF08D9"/>
    <w:multiLevelType w:val="hybridMultilevel"/>
    <w:tmpl w:val="64545B6C"/>
    <w:lvl w:ilvl="0" w:tplc="C9C633AE">
      <w:start w:val="1"/>
      <w:numFmt w:val="bullet"/>
      <w:pStyle w:val="Table-bu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84D0A94"/>
    <w:multiLevelType w:val="hybridMultilevel"/>
    <w:tmpl w:val="392CDE7A"/>
    <w:lvl w:ilvl="0" w:tplc="5300BBC6">
      <w:start w:val="2019"/>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5B108A"/>
    <w:multiLevelType w:val="hybridMultilevel"/>
    <w:tmpl w:val="057251FE"/>
    <w:lvl w:ilvl="0" w:tplc="0E985FDE">
      <w:start w:val="1"/>
      <w:numFmt w:val="bullet"/>
      <w:pStyle w:val="Bullet2"/>
      <w:lvlText w:val="o"/>
      <w:lvlJc w:val="left"/>
      <w:pPr>
        <w:tabs>
          <w:tab w:val="num" w:pos="720"/>
        </w:tabs>
        <w:ind w:left="720" w:hanging="360"/>
      </w:pPr>
      <w:rPr>
        <w:rFonts w:ascii="Courier New" w:hAnsi="Courier New"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668B7"/>
    <w:multiLevelType w:val="multilevel"/>
    <w:tmpl w:val="368E6B64"/>
    <w:lvl w:ilvl="0">
      <w:start w:val="1"/>
      <w:numFmt w:val="decimal"/>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502"/>
        </w:tabs>
        <w:ind w:left="502" w:hanging="360"/>
      </w:pPr>
      <w:rPr>
        <w:rFonts w:asciiTheme="minorHAnsi" w:eastAsia="Times New Roman" w:hAnsiTheme="minorHAnsi" w:cstheme="minorHAnsi"/>
        <w:b/>
      </w:rPr>
    </w:lvl>
    <w:lvl w:ilvl="2">
      <w:start w:val="1"/>
      <w:numFmt w:val="lowerLetter"/>
      <w:lvlText w:val="%3)"/>
      <w:lvlJc w:val="left"/>
      <w:pPr>
        <w:ind w:left="2205" w:hanging="405"/>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C96F43"/>
    <w:multiLevelType w:val="hybridMultilevel"/>
    <w:tmpl w:val="61CC405C"/>
    <w:lvl w:ilvl="0" w:tplc="A11639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224A4"/>
    <w:multiLevelType w:val="hybridMultilevel"/>
    <w:tmpl w:val="E17CD726"/>
    <w:lvl w:ilvl="0" w:tplc="336E8DD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780348"/>
    <w:multiLevelType w:val="hybridMultilevel"/>
    <w:tmpl w:val="BE926E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EA1725"/>
    <w:multiLevelType w:val="hybridMultilevel"/>
    <w:tmpl w:val="D082B97C"/>
    <w:lvl w:ilvl="0" w:tplc="1EDC3B3C">
      <w:start w:val="2020"/>
      <w:numFmt w:val="decimal"/>
      <w:lvlText w:val="%1"/>
      <w:lvlJc w:val="left"/>
      <w:pPr>
        <w:ind w:left="840" w:hanging="4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760EEA"/>
    <w:multiLevelType w:val="hybridMultilevel"/>
    <w:tmpl w:val="C22A58D0"/>
    <w:lvl w:ilvl="0" w:tplc="0405001B">
      <w:start w:val="1"/>
      <w:numFmt w:val="lowerRoman"/>
      <w:lvlText w:val="%1."/>
      <w:lvlJc w:val="right"/>
      <w:pPr>
        <w:tabs>
          <w:tab w:val="num" w:pos="567"/>
        </w:tabs>
        <w:ind w:left="567" w:hanging="397"/>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E122D4"/>
    <w:multiLevelType w:val="hybridMultilevel"/>
    <w:tmpl w:val="DBDADD80"/>
    <w:lvl w:ilvl="0" w:tplc="2390BAB8">
      <w:start w:val="1"/>
      <w:numFmt w:val="lowerLetter"/>
      <w:lvlText w:val="%1)"/>
      <w:lvlJc w:val="left"/>
      <w:pPr>
        <w:ind w:left="720" w:hanging="360"/>
      </w:pPr>
      <w:rPr>
        <w:rFonts w:ascii="Arial"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FF0D2B"/>
    <w:multiLevelType w:val="hybridMultilevel"/>
    <w:tmpl w:val="90AED246"/>
    <w:lvl w:ilvl="0" w:tplc="4AA86D1A">
      <w:start w:val="1"/>
      <w:numFmt w:val="decimal"/>
      <w:lvlText w:val="%1)"/>
      <w:lvlJc w:val="left"/>
      <w:pPr>
        <w:ind w:left="720" w:hanging="360"/>
      </w:pPr>
      <w:rPr>
        <w:rFonts w:cstheme="minorBid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2C3E08"/>
    <w:multiLevelType w:val="hybridMultilevel"/>
    <w:tmpl w:val="61CC405C"/>
    <w:lvl w:ilvl="0" w:tplc="A11639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744EA"/>
    <w:multiLevelType w:val="hybridMultilevel"/>
    <w:tmpl w:val="051EA1E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A7B40F0"/>
    <w:multiLevelType w:val="multilevel"/>
    <w:tmpl w:val="1466DD4A"/>
    <w:lvl w:ilvl="0">
      <w:start w:val="8"/>
      <w:numFmt w:val="decimal"/>
      <w:lvlText w:val="%1."/>
      <w:lvlJc w:val="left"/>
      <w:pPr>
        <w:ind w:left="660" w:hanging="660"/>
      </w:pPr>
      <w:rPr>
        <w:rFonts w:hint="default"/>
      </w:rPr>
    </w:lvl>
    <w:lvl w:ilvl="1">
      <w:start w:val="2"/>
      <w:numFmt w:val="decimal"/>
      <w:lvlText w:val="%1.%2."/>
      <w:lvlJc w:val="left"/>
      <w:pPr>
        <w:ind w:left="862" w:hanging="720"/>
      </w:pPr>
      <w:rPr>
        <w:rFonts w:hint="default"/>
      </w:rPr>
    </w:lvl>
    <w:lvl w:ilvl="2">
      <w:start w:val="10"/>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3E3D6336"/>
    <w:multiLevelType w:val="hybridMultilevel"/>
    <w:tmpl w:val="9092BF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C7188C"/>
    <w:multiLevelType w:val="hybridMultilevel"/>
    <w:tmpl w:val="61CC405C"/>
    <w:lvl w:ilvl="0" w:tplc="A11639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890D53"/>
    <w:multiLevelType w:val="hybridMultilevel"/>
    <w:tmpl w:val="CE7AAA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E4917E6"/>
    <w:multiLevelType w:val="hybridMultilevel"/>
    <w:tmpl w:val="87A2CCC8"/>
    <w:lvl w:ilvl="0" w:tplc="150CAA6C">
      <w:start w:val="1"/>
      <w:numFmt w:val="bullet"/>
      <w:lvlText w:val="-"/>
      <w:lvlJc w:val="left"/>
      <w:pPr>
        <w:ind w:left="1068" w:hanging="360"/>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02432C8"/>
    <w:multiLevelType w:val="hybridMultilevel"/>
    <w:tmpl w:val="751AC696"/>
    <w:lvl w:ilvl="0" w:tplc="EBF4AFEC">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287F8D"/>
    <w:multiLevelType w:val="hybridMultilevel"/>
    <w:tmpl w:val="8C840C06"/>
    <w:lvl w:ilvl="0" w:tplc="0405000F">
      <w:start w:val="1"/>
      <w:numFmt w:val="decimal"/>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7756CE5"/>
    <w:multiLevelType w:val="hybridMultilevel"/>
    <w:tmpl w:val="B68A4242"/>
    <w:lvl w:ilvl="0" w:tplc="04050011">
      <w:start w:val="1"/>
      <w:numFmt w:val="decimal"/>
      <w:lvlText w:val="%1)"/>
      <w:lvlJc w:val="left"/>
      <w:pPr>
        <w:tabs>
          <w:tab w:val="num" w:pos="567"/>
        </w:tabs>
        <w:ind w:left="567" w:hanging="397"/>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B756D1"/>
    <w:multiLevelType w:val="hybridMultilevel"/>
    <w:tmpl w:val="A15CD932"/>
    <w:lvl w:ilvl="0" w:tplc="7D6AD338">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5F283AF0"/>
    <w:multiLevelType w:val="hybridMultilevel"/>
    <w:tmpl w:val="B69ADF0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663899"/>
    <w:multiLevelType w:val="hybridMultilevel"/>
    <w:tmpl w:val="E5BAAF4A"/>
    <w:lvl w:ilvl="0" w:tplc="04050011">
      <w:start w:val="1"/>
      <w:numFmt w:val="decimal"/>
      <w:lvlText w:val="%1)"/>
      <w:lvlJc w:val="left"/>
      <w:pPr>
        <w:tabs>
          <w:tab w:val="num" w:pos="567"/>
        </w:tabs>
        <w:ind w:left="567" w:hanging="397"/>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480B3B"/>
    <w:multiLevelType w:val="hybridMultilevel"/>
    <w:tmpl w:val="02864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C20522B"/>
    <w:multiLevelType w:val="hybridMultilevel"/>
    <w:tmpl w:val="00B2E970"/>
    <w:lvl w:ilvl="0" w:tplc="040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EE1078B"/>
    <w:multiLevelType w:val="multilevel"/>
    <w:tmpl w:val="F5426572"/>
    <w:lvl w:ilvl="0">
      <w:start w:val="1"/>
      <w:numFmt w:val="decimal"/>
      <w:pStyle w:val="Nadpis1"/>
      <w:lvlText w:val="%1."/>
      <w:lvlJc w:val="left"/>
      <w:pPr>
        <w:tabs>
          <w:tab w:val="num" w:pos="567"/>
        </w:tabs>
        <w:ind w:left="567" w:hanging="567"/>
      </w:pPr>
      <w:rPr>
        <w:rFonts w:ascii="Arial" w:hAnsi="Arial" w:hint="default"/>
        <w:b/>
        <w:i w:val="0"/>
        <w:sz w:val="28"/>
      </w:rPr>
    </w:lvl>
    <w:lvl w:ilvl="1">
      <w:start w:val="1"/>
      <w:numFmt w:val="decimal"/>
      <w:pStyle w:val="Nadpis2"/>
      <w:lvlText w:val="%1.%2"/>
      <w:lvlJc w:val="left"/>
      <w:pPr>
        <w:tabs>
          <w:tab w:val="num" w:pos="567"/>
        </w:tabs>
        <w:ind w:left="567" w:hanging="567"/>
      </w:pPr>
      <w:rPr>
        <w:rFonts w:ascii="Arial" w:hAnsi="Arial" w:hint="default"/>
        <w:b/>
        <w:i w:val="0"/>
        <w:sz w:val="24"/>
      </w:rPr>
    </w:lvl>
    <w:lvl w:ilvl="2">
      <w:start w:val="1"/>
      <w:numFmt w:val="decimal"/>
      <w:pStyle w:val="Nadpis3"/>
      <w:lvlText w:val="%1.%2.%3."/>
      <w:lvlJc w:val="left"/>
      <w:pPr>
        <w:tabs>
          <w:tab w:val="num" w:pos="1418"/>
        </w:tabs>
        <w:ind w:left="425" w:firstLine="42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7" w15:restartNumberingAfterBreak="0">
    <w:nsid w:val="6F5C6BE2"/>
    <w:multiLevelType w:val="hybridMultilevel"/>
    <w:tmpl w:val="0290AF54"/>
    <w:lvl w:ilvl="0" w:tplc="96B2AC10">
      <w:start w:val="1"/>
      <w:numFmt w:val="decimal"/>
      <w:lvlText w:val="%1)"/>
      <w:lvlJc w:val="left"/>
      <w:pPr>
        <w:ind w:left="720" w:hanging="360"/>
      </w:pPr>
      <w:rPr>
        <w:rFonts w:ascii="Arial"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0C6F8D"/>
    <w:multiLevelType w:val="hybridMultilevel"/>
    <w:tmpl w:val="D04C68CA"/>
    <w:lvl w:ilvl="0" w:tplc="0F3A73F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144032"/>
    <w:multiLevelType w:val="hybridMultilevel"/>
    <w:tmpl w:val="06FA176C"/>
    <w:lvl w:ilvl="0" w:tplc="4434DD3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954F17"/>
    <w:multiLevelType w:val="hybridMultilevel"/>
    <w:tmpl w:val="93F499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D6724EB"/>
    <w:multiLevelType w:val="hybridMultilevel"/>
    <w:tmpl w:val="29A876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7D893353"/>
    <w:multiLevelType w:val="hybridMultilevel"/>
    <w:tmpl w:val="27E4D3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EA7D25"/>
    <w:multiLevelType w:val="hybridMultilevel"/>
    <w:tmpl w:val="5FD28C4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39"/>
  </w:num>
  <w:num w:numId="3">
    <w:abstractNumId w:val="28"/>
  </w:num>
  <w:num w:numId="4">
    <w:abstractNumId w:val="7"/>
  </w:num>
  <w:num w:numId="5">
    <w:abstractNumId w:val="7"/>
    <w:lvlOverride w:ilvl="0">
      <w:startOverride w:val="1"/>
    </w:lvlOverride>
  </w:num>
  <w:num w:numId="6">
    <w:abstractNumId w:val="37"/>
  </w:num>
  <w:num w:numId="7">
    <w:abstractNumId w:val="4"/>
  </w:num>
  <w:num w:numId="8">
    <w:abstractNumId w:val="42"/>
  </w:num>
  <w:num w:numId="9">
    <w:abstractNumId w:val="34"/>
  </w:num>
  <w:num w:numId="10">
    <w:abstractNumId w:val="30"/>
  </w:num>
  <w:num w:numId="11">
    <w:abstractNumId w:val="17"/>
  </w:num>
  <w:num w:numId="12">
    <w:abstractNumId w:val="11"/>
  </w:num>
  <w:num w:numId="13">
    <w:abstractNumId w:val="32"/>
  </w:num>
  <w:num w:numId="14">
    <w:abstractNumId w:val="27"/>
  </w:num>
  <w:num w:numId="15">
    <w:abstractNumId w:val="8"/>
  </w:num>
  <w:num w:numId="16">
    <w:abstractNumId w:val="6"/>
  </w:num>
  <w:num w:numId="17">
    <w:abstractNumId w:val="33"/>
  </w:num>
  <w:num w:numId="18">
    <w:abstractNumId w:val="13"/>
  </w:num>
  <w:num w:numId="19">
    <w:abstractNumId w:val="43"/>
  </w:num>
  <w:num w:numId="20">
    <w:abstractNumId w:val="26"/>
  </w:num>
  <w:num w:numId="21">
    <w:abstractNumId w:val="18"/>
  </w:num>
  <w:num w:numId="22">
    <w:abstractNumId w:val="38"/>
  </w:num>
  <w:num w:numId="23">
    <w:abstractNumId w:val="35"/>
  </w:num>
  <w:num w:numId="24">
    <w:abstractNumId w:val="5"/>
  </w:num>
  <w:num w:numId="25">
    <w:abstractNumId w:val="19"/>
  </w:num>
  <w:num w:numId="26">
    <w:abstractNumId w:val="2"/>
  </w:num>
  <w:num w:numId="27">
    <w:abstractNumId w:val="3"/>
  </w:num>
  <w:num w:numId="28">
    <w:abstractNumId w:val="12"/>
  </w:num>
  <w:num w:numId="29">
    <w:abstractNumId w:val="20"/>
  </w:num>
  <w:num w:numId="30">
    <w:abstractNumId w:val="24"/>
  </w:num>
  <w:num w:numId="31">
    <w:abstractNumId w:val="0"/>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 w:numId="55">
    <w:abstractNumId w:val="7"/>
  </w:num>
  <w:num w:numId="56">
    <w:abstractNumId w:val="25"/>
  </w:num>
  <w:num w:numId="57">
    <w:abstractNumId w:val="10"/>
  </w:num>
  <w:num w:numId="58">
    <w:abstractNumId w:val="9"/>
  </w:num>
  <w:num w:numId="59">
    <w:abstractNumId w:val="15"/>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num>
  <w:num w:numId="64">
    <w:abstractNumId w:val="1"/>
  </w:num>
  <w:num w:numId="65">
    <w:abstractNumId w:val="7"/>
    <w:lvlOverride w:ilvl="0">
      <w:startOverride w:val="1"/>
    </w:lvlOverride>
  </w:num>
  <w:num w:numId="66">
    <w:abstractNumId w:val="7"/>
    <w:lvlOverride w:ilvl="0">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1"/>
  </w:num>
  <w:num w:numId="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9C"/>
    <w:rsid w:val="000119B6"/>
    <w:rsid w:val="0001606C"/>
    <w:rsid w:val="00016368"/>
    <w:rsid w:val="00016AEF"/>
    <w:rsid w:val="00021261"/>
    <w:rsid w:val="00021AC8"/>
    <w:rsid w:val="00022746"/>
    <w:rsid w:val="0003284E"/>
    <w:rsid w:val="00034C9F"/>
    <w:rsid w:val="00034EB3"/>
    <w:rsid w:val="00037910"/>
    <w:rsid w:val="00037994"/>
    <w:rsid w:val="00040D2B"/>
    <w:rsid w:val="000418CF"/>
    <w:rsid w:val="00041B7C"/>
    <w:rsid w:val="00041D30"/>
    <w:rsid w:val="00042582"/>
    <w:rsid w:val="00042AB5"/>
    <w:rsid w:val="00042CC2"/>
    <w:rsid w:val="000448E5"/>
    <w:rsid w:val="00045054"/>
    <w:rsid w:val="00046DE0"/>
    <w:rsid w:val="000520DC"/>
    <w:rsid w:val="00052345"/>
    <w:rsid w:val="000544D6"/>
    <w:rsid w:val="00055801"/>
    <w:rsid w:val="00056999"/>
    <w:rsid w:val="00061FB2"/>
    <w:rsid w:val="000628FF"/>
    <w:rsid w:val="0006658C"/>
    <w:rsid w:val="000668FF"/>
    <w:rsid w:val="000703AE"/>
    <w:rsid w:val="000706CE"/>
    <w:rsid w:val="0007313B"/>
    <w:rsid w:val="00074F7B"/>
    <w:rsid w:val="0007655C"/>
    <w:rsid w:val="00081016"/>
    <w:rsid w:val="00082A9D"/>
    <w:rsid w:val="000831F8"/>
    <w:rsid w:val="00084E4B"/>
    <w:rsid w:val="000855DD"/>
    <w:rsid w:val="00090193"/>
    <w:rsid w:val="00092D88"/>
    <w:rsid w:val="00094218"/>
    <w:rsid w:val="0009496B"/>
    <w:rsid w:val="00097451"/>
    <w:rsid w:val="000A5305"/>
    <w:rsid w:val="000A5663"/>
    <w:rsid w:val="000A595A"/>
    <w:rsid w:val="000A6149"/>
    <w:rsid w:val="000A789F"/>
    <w:rsid w:val="000B67AA"/>
    <w:rsid w:val="000B7293"/>
    <w:rsid w:val="000B7C4F"/>
    <w:rsid w:val="000B7F4B"/>
    <w:rsid w:val="000C1E6F"/>
    <w:rsid w:val="000C3800"/>
    <w:rsid w:val="000C6157"/>
    <w:rsid w:val="000C706E"/>
    <w:rsid w:val="000D17B9"/>
    <w:rsid w:val="000D31C9"/>
    <w:rsid w:val="000E081A"/>
    <w:rsid w:val="000E10B5"/>
    <w:rsid w:val="000E1823"/>
    <w:rsid w:val="000E1FE6"/>
    <w:rsid w:val="000E3E39"/>
    <w:rsid w:val="000E46A1"/>
    <w:rsid w:val="000E7428"/>
    <w:rsid w:val="000F0805"/>
    <w:rsid w:val="000F17EC"/>
    <w:rsid w:val="000F2439"/>
    <w:rsid w:val="000F63E1"/>
    <w:rsid w:val="000F75F4"/>
    <w:rsid w:val="000F7F0F"/>
    <w:rsid w:val="001008D1"/>
    <w:rsid w:val="00102130"/>
    <w:rsid w:val="00110620"/>
    <w:rsid w:val="00110B5F"/>
    <w:rsid w:val="0011225B"/>
    <w:rsid w:val="0011643B"/>
    <w:rsid w:val="001168F8"/>
    <w:rsid w:val="0012139C"/>
    <w:rsid w:val="001214BF"/>
    <w:rsid w:val="001269A0"/>
    <w:rsid w:val="00126B2E"/>
    <w:rsid w:val="00127975"/>
    <w:rsid w:val="00132FDF"/>
    <w:rsid w:val="00133297"/>
    <w:rsid w:val="001409B5"/>
    <w:rsid w:val="001451AE"/>
    <w:rsid w:val="00146884"/>
    <w:rsid w:val="001470FC"/>
    <w:rsid w:val="001478DA"/>
    <w:rsid w:val="00150B82"/>
    <w:rsid w:val="0015268E"/>
    <w:rsid w:val="001530C0"/>
    <w:rsid w:val="00153BD6"/>
    <w:rsid w:val="00154581"/>
    <w:rsid w:val="00156793"/>
    <w:rsid w:val="001578F3"/>
    <w:rsid w:val="00161961"/>
    <w:rsid w:val="00163058"/>
    <w:rsid w:val="00163085"/>
    <w:rsid w:val="0016335D"/>
    <w:rsid w:val="001770F0"/>
    <w:rsid w:val="00181AE1"/>
    <w:rsid w:val="00182399"/>
    <w:rsid w:val="00186DE0"/>
    <w:rsid w:val="00193D66"/>
    <w:rsid w:val="0019610D"/>
    <w:rsid w:val="00197390"/>
    <w:rsid w:val="001A2533"/>
    <w:rsid w:val="001A3909"/>
    <w:rsid w:val="001A3C2C"/>
    <w:rsid w:val="001B0CEE"/>
    <w:rsid w:val="001B2476"/>
    <w:rsid w:val="001B53B7"/>
    <w:rsid w:val="001B5AF7"/>
    <w:rsid w:val="001B648F"/>
    <w:rsid w:val="001C0C96"/>
    <w:rsid w:val="001C1498"/>
    <w:rsid w:val="001C1B2D"/>
    <w:rsid w:val="001C66AA"/>
    <w:rsid w:val="001D15B8"/>
    <w:rsid w:val="001E10EF"/>
    <w:rsid w:val="001E6B89"/>
    <w:rsid w:val="001F2268"/>
    <w:rsid w:val="001F3149"/>
    <w:rsid w:val="001F67CE"/>
    <w:rsid w:val="001F77C8"/>
    <w:rsid w:val="001F7AA2"/>
    <w:rsid w:val="00200580"/>
    <w:rsid w:val="00202AB8"/>
    <w:rsid w:val="0020319B"/>
    <w:rsid w:val="00205ECA"/>
    <w:rsid w:val="00210AA9"/>
    <w:rsid w:val="00212E29"/>
    <w:rsid w:val="00215856"/>
    <w:rsid w:val="00216237"/>
    <w:rsid w:val="0021704C"/>
    <w:rsid w:val="002174EF"/>
    <w:rsid w:val="0021757F"/>
    <w:rsid w:val="00222E5B"/>
    <w:rsid w:val="002249E4"/>
    <w:rsid w:val="00225DB7"/>
    <w:rsid w:val="00236D49"/>
    <w:rsid w:val="00237448"/>
    <w:rsid w:val="00245CB0"/>
    <w:rsid w:val="002462D1"/>
    <w:rsid w:val="00246679"/>
    <w:rsid w:val="00251D5F"/>
    <w:rsid w:val="002543B1"/>
    <w:rsid w:val="00254A92"/>
    <w:rsid w:val="00260697"/>
    <w:rsid w:val="00262622"/>
    <w:rsid w:val="00264253"/>
    <w:rsid w:val="00264F80"/>
    <w:rsid w:val="00270ADF"/>
    <w:rsid w:val="0027112A"/>
    <w:rsid w:val="00272A4E"/>
    <w:rsid w:val="00274653"/>
    <w:rsid w:val="002810F1"/>
    <w:rsid w:val="0028386A"/>
    <w:rsid w:val="00287656"/>
    <w:rsid w:val="00290732"/>
    <w:rsid w:val="00292AF3"/>
    <w:rsid w:val="00296D4D"/>
    <w:rsid w:val="002A0321"/>
    <w:rsid w:val="002A0818"/>
    <w:rsid w:val="002A418E"/>
    <w:rsid w:val="002A74A5"/>
    <w:rsid w:val="002A79DA"/>
    <w:rsid w:val="002B0B5C"/>
    <w:rsid w:val="002B3EE3"/>
    <w:rsid w:val="002B4B2E"/>
    <w:rsid w:val="002B4E7B"/>
    <w:rsid w:val="002B5889"/>
    <w:rsid w:val="002C16D5"/>
    <w:rsid w:val="002C1A4D"/>
    <w:rsid w:val="002C696B"/>
    <w:rsid w:val="002D0C36"/>
    <w:rsid w:val="002D2E82"/>
    <w:rsid w:val="002E1BD1"/>
    <w:rsid w:val="002E3349"/>
    <w:rsid w:val="002E707C"/>
    <w:rsid w:val="002F075C"/>
    <w:rsid w:val="002F0D1A"/>
    <w:rsid w:val="002F2D7A"/>
    <w:rsid w:val="002F33E0"/>
    <w:rsid w:val="00302D16"/>
    <w:rsid w:val="00302EBA"/>
    <w:rsid w:val="00303A13"/>
    <w:rsid w:val="00304282"/>
    <w:rsid w:val="00304F50"/>
    <w:rsid w:val="0030660D"/>
    <w:rsid w:val="0030707D"/>
    <w:rsid w:val="0030784F"/>
    <w:rsid w:val="00307E04"/>
    <w:rsid w:val="0031079C"/>
    <w:rsid w:val="003127F2"/>
    <w:rsid w:val="0031282D"/>
    <w:rsid w:val="00312A01"/>
    <w:rsid w:val="0031310C"/>
    <w:rsid w:val="00314AC7"/>
    <w:rsid w:val="00314CBE"/>
    <w:rsid w:val="00314E77"/>
    <w:rsid w:val="00315171"/>
    <w:rsid w:val="00323B34"/>
    <w:rsid w:val="00325840"/>
    <w:rsid w:val="00325E88"/>
    <w:rsid w:val="00327426"/>
    <w:rsid w:val="00336384"/>
    <w:rsid w:val="00336FAF"/>
    <w:rsid w:val="003413DA"/>
    <w:rsid w:val="003421D4"/>
    <w:rsid w:val="0034311C"/>
    <w:rsid w:val="00343C5F"/>
    <w:rsid w:val="003447F9"/>
    <w:rsid w:val="003477BD"/>
    <w:rsid w:val="0035067A"/>
    <w:rsid w:val="00351FF9"/>
    <w:rsid w:val="0035260E"/>
    <w:rsid w:val="00353568"/>
    <w:rsid w:val="0035536D"/>
    <w:rsid w:val="003563E6"/>
    <w:rsid w:val="00357F9D"/>
    <w:rsid w:val="00362094"/>
    <w:rsid w:val="003651AC"/>
    <w:rsid w:val="00365A34"/>
    <w:rsid w:val="003675C3"/>
    <w:rsid w:val="0037166E"/>
    <w:rsid w:val="003721F3"/>
    <w:rsid w:val="00382A52"/>
    <w:rsid w:val="00384C46"/>
    <w:rsid w:val="00385E46"/>
    <w:rsid w:val="00390BFC"/>
    <w:rsid w:val="00392695"/>
    <w:rsid w:val="003A1ED5"/>
    <w:rsid w:val="003A36EF"/>
    <w:rsid w:val="003A443A"/>
    <w:rsid w:val="003A4842"/>
    <w:rsid w:val="003B581B"/>
    <w:rsid w:val="003C6101"/>
    <w:rsid w:val="003C7D3E"/>
    <w:rsid w:val="003D3A8E"/>
    <w:rsid w:val="003D46EF"/>
    <w:rsid w:val="003D5852"/>
    <w:rsid w:val="003E02FE"/>
    <w:rsid w:val="003E1FF7"/>
    <w:rsid w:val="003E3367"/>
    <w:rsid w:val="003E7FF4"/>
    <w:rsid w:val="003F2CB1"/>
    <w:rsid w:val="003F3ABE"/>
    <w:rsid w:val="003F703A"/>
    <w:rsid w:val="003F73C2"/>
    <w:rsid w:val="00400373"/>
    <w:rsid w:val="00402BF0"/>
    <w:rsid w:val="00402DFB"/>
    <w:rsid w:val="00405F17"/>
    <w:rsid w:val="00411077"/>
    <w:rsid w:val="00413546"/>
    <w:rsid w:val="00413D4E"/>
    <w:rsid w:val="004151EF"/>
    <w:rsid w:val="0041530E"/>
    <w:rsid w:val="004221A8"/>
    <w:rsid w:val="00423434"/>
    <w:rsid w:val="004239FB"/>
    <w:rsid w:val="00426245"/>
    <w:rsid w:val="00426D6A"/>
    <w:rsid w:val="00431641"/>
    <w:rsid w:val="00432262"/>
    <w:rsid w:val="004332C2"/>
    <w:rsid w:val="004341A1"/>
    <w:rsid w:val="004347B9"/>
    <w:rsid w:val="0043602A"/>
    <w:rsid w:val="00436E32"/>
    <w:rsid w:val="004379EA"/>
    <w:rsid w:val="004406CE"/>
    <w:rsid w:val="00440F23"/>
    <w:rsid w:val="00441909"/>
    <w:rsid w:val="00442D82"/>
    <w:rsid w:val="00443642"/>
    <w:rsid w:val="00443EDE"/>
    <w:rsid w:val="004453F4"/>
    <w:rsid w:val="004477C2"/>
    <w:rsid w:val="004504CA"/>
    <w:rsid w:val="004512A7"/>
    <w:rsid w:val="0045176D"/>
    <w:rsid w:val="00451E88"/>
    <w:rsid w:val="004554B7"/>
    <w:rsid w:val="00455822"/>
    <w:rsid w:val="00457CC4"/>
    <w:rsid w:val="0046132B"/>
    <w:rsid w:val="004627A2"/>
    <w:rsid w:val="00463BE1"/>
    <w:rsid w:val="004666E7"/>
    <w:rsid w:val="004670FB"/>
    <w:rsid w:val="00467EA9"/>
    <w:rsid w:val="004712D3"/>
    <w:rsid w:val="0047155C"/>
    <w:rsid w:val="00472349"/>
    <w:rsid w:val="00472BA4"/>
    <w:rsid w:val="00474B32"/>
    <w:rsid w:val="004828EE"/>
    <w:rsid w:val="004832AB"/>
    <w:rsid w:val="0048466F"/>
    <w:rsid w:val="0048785B"/>
    <w:rsid w:val="00490F3E"/>
    <w:rsid w:val="004913D7"/>
    <w:rsid w:val="004932B7"/>
    <w:rsid w:val="00495667"/>
    <w:rsid w:val="004A1364"/>
    <w:rsid w:val="004A2A17"/>
    <w:rsid w:val="004A40EF"/>
    <w:rsid w:val="004A6046"/>
    <w:rsid w:val="004B5BE8"/>
    <w:rsid w:val="004B7B92"/>
    <w:rsid w:val="004C07BE"/>
    <w:rsid w:val="004C4551"/>
    <w:rsid w:val="004C77F9"/>
    <w:rsid w:val="004D1A9C"/>
    <w:rsid w:val="004D1C5B"/>
    <w:rsid w:val="004D2CC3"/>
    <w:rsid w:val="004E1082"/>
    <w:rsid w:val="004E1577"/>
    <w:rsid w:val="004E3F9E"/>
    <w:rsid w:val="004E6087"/>
    <w:rsid w:val="004F0700"/>
    <w:rsid w:val="004F1798"/>
    <w:rsid w:val="004F183B"/>
    <w:rsid w:val="004F4761"/>
    <w:rsid w:val="004F5BC3"/>
    <w:rsid w:val="004F6770"/>
    <w:rsid w:val="004F6FB4"/>
    <w:rsid w:val="0050006D"/>
    <w:rsid w:val="005029EC"/>
    <w:rsid w:val="005030A5"/>
    <w:rsid w:val="00503470"/>
    <w:rsid w:val="00505026"/>
    <w:rsid w:val="00505904"/>
    <w:rsid w:val="005074E1"/>
    <w:rsid w:val="0051083C"/>
    <w:rsid w:val="0051177D"/>
    <w:rsid w:val="00512504"/>
    <w:rsid w:val="00512687"/>
    <w:rsid w:val="00516FB1"/>
    <w:rsid w:val="00517B6D"/>
    <w:rsid w:val="0052222D"/>
    <w:rsid w:val="0052290A"/>
    <w:rsid w:val="0052396B"/>
    <w:rsid w:val="005243F5"/>
    <w:rsid w:val="00530EDA"/>
    <w:rsid w:val="00531E3D"/>
    <w:rsid w:val="00534284"/>
    <w:rsid w:val="00541A02"/>
    <w:rsid w:val="0054245B"/>
    <w:rsid w:val="00543445"/>
    <w:rsid w:val="0054385A"/>
    <w:rsid w:val="00547C19"/>
    <w:rsid w:val="00551674"/>
    <w:rsid w:val="00552AB7"/>
    <w:rsid w:val="0055463C"/>
    <w:rsid w:val="00554C5A"/>
    <w:rsid w:val="00554FBE"/>
    <w:rsid w:val="00563C6E"/>
    <w:rsid w:val="00564905"/>
    <w:rsid w:val="005660B2"/>
    <w:rsid w:val="00566C68"/>
    <w:rsid w:val="00571C45"/>
    <w:rsid w:val="0057372B"/>
    <w:rsid w:val="0057587F"/>
    <w:rsid w:val="00575DF0"/>
    <w:rsid w:val="00576CE7"/>
    <w:rsid w:val="005870FA"/>
    <w:rsid w:val="00587983"/>
    <w:rsid w:val="00587D5F"/>
    <w:rsid w:val="00590307"/>
    <w:rsid w:val="00592CC4"/>
    <w:rsid w:val="00596A32"/>
    <w:rsid w:val="005A0E0C"/>
    <w:rsid w:val="005A1247"/>
    <w:rsid w:val="005A50D2"/>
    <w:rsid w:val="005A511B"/>
    <w:rsid w:val="005A6D54"/>
    <w:rsid w:val="005A6F70"/>
    <w:rsid w:val="005A717D"/>
    <w:rsid w:val="005B021D"/>
    <w:rsid w:val="005B2015"/>
    <w:rsid w:val="005B312E"/>
    <w:rsid w:val="005B5947"/>
    <w:rsid w:val="005C2937"/>
    <w:rsid w:val="005C2B54"/>
    <w:rsid w:val="005C39DD"/>
    <w:rsid w:val="005C762C"/>
    <w:rsid w:val="005C7AD1"/>
    <w:rsid w:val="005C7C48"/>
    <w:rsid w:val="005D196A"/>
    <w:rsid w:val="005D55E7"/>
    <w:rsid w:val="005D5E95"/>
    <w:rsid w:val="005D68C8"/>
    <w:rsid w:val="005D7CC9"/>
    <w:rsid w:val="005D7FB9"/>
    <w:rsid w:val="005E11AB"/>
    <w:rsid w:val="005E2F6F"/>
    <w:rsid w:val="005E4384"/>
    <w:rsid w:val="005E4C43"/>
    <w:rsid w:val="005E68C7"/>
    <w:rsid w:val="005F2614"/>
    <w:rsid w:val="005F44C6"/>
    <w:rsid w:val="005F7393"/>
    <w:rsid w:val="0060271B"/>
    <w:rsid w:val="00603567"/>
    <w:rsid w:val="00603DFA"/>
    <w:rsid w:val="00603F6E"/>
    <w:rsid w:val="006041B7"/>
    <w:rsid w:val="00605D3E"/>
    <w:rsid w:val="00616F23"/>
    <w:rsid w:val="006172E7"/>
    <w:rsid w:val="00620F9F"/>
    <w:rsid w:val="0062154C"/>
    <w:rsid w:val="00622244"/>
    <w:rsid w:val="00632563"/>
    <w:rsid w:val="00634713"/>
    <w:rsid w:val="00634AEC"/>
    <w:rsid w:val="00644BC7"/>
    <w:rsid w:val="00644FD0"/>
    <w:rsid w:val="00646392"/>
    <w:rsid w:val="00652D0A"/>
    <w:rsid w:val="006537A3"/>
    <w:rsid w:val="00653F49"/>
    <w:rsid w:val="00654C10"/>
    <w:rsid w:val="0065516A"/>
    <w:rsid w:val="006564D5"/>
    <w:rsid w:val="00660DB8"/>
    <w:rsid w:val="00664A81"/>
    <w:rsid w:val="00670EA8"/>
    <w:rsid w:val="00673038"/>
    <w:rsid w:val="00673536"/>
    <w:rsid w:val="00680538"/>
    <w:rsid w:val="00682D1C"/>
    <w:rsid w:val="006846D6"/>
    <w:rsid w:val="00687BA2"/>
    <w:rsid w:val="00690286"/>
    <w:rsid w:val="006909CA"/>
    <w:rsid w:val="00693E2C"/>
    <w:rsid w:val="006A3213"/>
    <w:rsid w:val="006A447D"/>
    <w:rsid w:val="006B09DC"/>
    <w:rsid w:val="006B272E"/>
    <w:rsid w:val="006B2CA5"/>
    <w:rsid w:val="006B6BEC"/>
    <w:rsid w:val="006B6EA4"/>
    <w:rsid w:val="006C356D"/>
    <w:rsid w:val="006C6305"/>
    <w:rsid w:val="006D1167"/>
    <w:rsid w:val="006D30A5"/>
    <w:rsid w:val="006D78D0"/>
    <w:rsid w:val="006E03AD"/>
    <w:rsid w:val="006E292F"/>
    <w:rsid w:val="006E6859"/>
    <w:rsid w:val="006F0254"/>
    <w:rsid w:val="006F3602"/>
    <w:rsid w:val="006F6F03"/>
    <w:rsid w:val="00705447"/>
    <w:rsid w:val="007166A5"/>
    <w:rsid w:val="00722161"/>
    <w:rsid w:val="00724C55"/>
    <w:rsid w:val="00727AB9"/>
    <w:rsid w:val="007309E5"/>
    <w:rsid w:val="00730E79"/>
    <w:rsid w:val="007317BA"/>
    <w:rsid w:val="00731D11"/>
    <w:rsid w:val="007332DF"/>
    <w:rsid w:val="00733DC8"/>
    <w:rsid w:val="007376F7"/>
    <w:rsid w:val="00740788"/>
    <w:rsid w:val="00740A03"/>
    <w:rsid w:val="00746DC1"/>
    <w:rsid w:val="00747849"/>
    <w:rsid w:val="007478C8"/>
    <w:rsid w:val="0075174B"/>
    <w:rsid w:val="0075371B"/>
    <w:rsid w:val="00753845"/>
    <w:rsid w:val="0075681D"/>
    <w:rsid w:val="00757375"/>
    <w:rsid w:val="00763B6D"/>
    <w:rsid w:val="00767821"/>
    <w:rsid w:val="00773DF8"/>
    <w:rsid w:val="00774DFA"/>
    <w:rsid w:val="00776C90"/>
    <w:rsid w:val="00776D10"/>
    <w:rsid w:val="00782889"/>
    <w:rsid w:val="007935C6"/>
    <w:rsid w:val="00793E02"/>
    <w:rsid w:val="00797504"/>
    <w:rsid w:val="00797C43"/>
    <w:rsid w:val="007A4F94"/>
    <w:rsid w:val="007A6A09"/>
    <w:rsid w:val="007B1D59"/>
    <w:rsid w:val="007B3088"/>
    <w:rsid w:val="007B3794"/>
    <w:rsid w:val="007B3EFC"/>
    <w:rsid w:val="007B43B3"/>
    <w:rsid w:val="007B48CA"/>
    <w:rsid w:val="007B6D91"/>
    <w:rsid w:val="007B7E3A"/>
    <w:rsid w:val="007C13B3"/>
    <w:rsid w:val="007C163C"/>
    <w:rsid w:val="007C2A08"/>
    <w:rsid w:val="007C4A1E"/>
    <w:rsid w:val="007C5202"/>
    <w:rsid w:val="007C5FE8"/>
    <w:rsid w:val="007D1618"/>
    <w:rsid w:val="007D1931"/>
    <w:rsid w:val="007D33CB"/>
    <w:rsid w:val="007D531A"/>
    <w:rsid w:val="007D5B64"/>
    <w:rsid w:val="007E0734"/>
    <w:rsid w:val="007E136D"/>
    <w:rsid w:val="007E541C"/>
    <w:rsid w:val="007E5BF4"/>
    <w:rsid w:val="007E6F8C"/>
    <w:rsid w:val="007E7A32"/>
    <w:rsid w:val="007E7A4E"/>
    <w:rsid w:val="007F5E93"/>
    <w:rsid w:val="007F623E"/>
    <w:rsid w:val="007F6B1B"/>
    <w:rsid w:val="00800CFD"/>
    <w:rsid w:val="00804034"/>
    <w:rsid w:val="008045E0"/>
    <w:rsid w:val="00804ED0"/>
    <w:rsid w:val="008117E3"/>
    <w:rsid w:val="00813219"/>
    <w:rsid w:val="008135B3"/>
    <w:rsid w:val="00815526"/>
    <w:rsid w:val="00821755"/>
    <w:rsid w:val="00822BBA"/>
    <w:rsid w:val="0082383A"/>
    <w:rsid w:val="00833BFE"/>
    <w:rsid w:val="008341B9"/>
    <w:rsid w:val="00836D64"/>
    <w:rsid w:val="00837979"/>
    <w:rsid w:val="00840A4B"/>
    <w:rsid w:val="00841F2D"/>
    <w:rsid w:val="00842D47"/>
    <w:rsid w:val="008446F9"/>
    <w:rsid w:val="00844891"/>
    <w:rsid w:val="00845D27"/>
    <w:rsid w:val="00847432"/>
    <w:rsid w:val="008550B3"/>
    <w:rsid w:val="00860EAF"/>
    <w:rsid w:val="008617E6"/>
    <w:rsid w:val="00867B68"/>
    <w:rsid w:val="00872795"/>
    <w:rsid w:val="0087397C"/>
    <w:rsid w:val="00874625"/>
    <w:rsid w:val="00875156"/>
    <w:rsid w:val="00875E3D"/>
    <w:rsid w:val="008765EB"/>
    <w:rsid w:val="00876832"/>
    <w:rsid w:val="00876BB2"/>
    <w:rsid w:val="008866B5"/>
    <w:rsid w:val="0089253C"/>
    <w:rsid w:val="008929CA"/>
    <w:rsid w:val="00893C78"/>
    <w:rsid w:val="00896AE4"/>
    <w:rsid w:val="008A0CC2"/>
    <w:rsid w:val="008A0F41"/>
    <w:rsid w:val="008A5BC8"/>
    <w:rsid w:val="008A71A0"/>
    <w:rsid w:val="008A79CC"/>
    <w:rsid w:val="008B17BF"/>
    <w:rsid w:val="008B262E"/>
    <w:rsid w:val="008B2D12"/>
    <w:rsid w:val="008B4028"/>
    <w:rsid w:val="008C53DF"/>
    <w:rsid w:val="008C6968"/>
    <w:rsid w:val="008C79A4"/>
    <w:rsid w:val="008D0378"/>
    <w:rsid w:val="008D4349"/>
    <w:rsid w:val="008D7813"/>
    <w:rsid w:val="008E07C9"/>
    <w:rsid w:val="008E0FDD"/>
    <w:rsid w:val="008E1A19"/>
    <w:rsid w:val="008E3A56"/>
    <w:rsid w:val="008E722E"/>
    <w:rsid w:val="008F44EB"/>
    <w:rsid w:val="008F4A01"/>
    <w:rsid w:val="008F4FE3"/>
    <w:rsid w:val="00902DA0"/>
    <w:rsid w:val="0090409A"/>
    <w:rsid w:val="00905341"/>
    <w:rsid w:val="00906F23"/>
    <w:rsid w:val="009072F7"/>
    <w:rsid w:val="00910645"/>
    <w:rsid w:val="00911B11"/>
    <w:rsid w:val="00912A24"/>
    <w:rsid w:val="009143B2"/>
    <w:rsid w:val="009175AC"/>
    <w:rsid w:val="00920890"/>
    <w:rsid w:val="0092126B"/>
    <w:rsid w:val="00925889"/>
    <w:rsid w:val="009273B5"/>
    <w:rsid w:val="00927472"/>
    <w:rsid w:val="00931D00"/>
    <w:rsid w:val="00933130"/>
    <w:rsid w:val="0093374C"/>
    <w:rsid w:val="00933EF9"/>
    <w:rsid w:val="00934266"/>
    <w:rsid w:val="0093608B"/>
    <w:rsid w:val="00940A17"/>
    <w:rsid w:val="009432A9"/>
    <w:rsid w:val="00943EFA"/>
    <w:rsid w:val="00944EFB"/>
    <w:rsid w:val="00947846"/>
    <w:rsid w:val="009526AB"/>
    <w:rsid w:val="00955121"/>
    <w:rsid w:val="009559F1"/>
    <w:rsid w:val="0096246B"/>
    <w:rsid w:val="0096470F"/>
    <w:rsid w:val="0096505F"/>
    <w:rsid w:val="00965395"/>
    <w:rsid w:val="009678FA"/>
    <w:rsid w:val="00982B1C"/>
    <w:rsid w:val="00982BBC"/>
    <w:rsid w:val="00985F6F"/>
    <w:rsid w:val="009910B8"/>
    <w:rsid w:val="009A01C0"/>
    <w:rsid w:val="009A1DF0"/>
    <w:rsid w:val="009A1F26"/>
    <w:rsid w:val="009A2782"/>
    <w:rsid w:val="009A373F"/>
    <w:rsid w:val="009A3B7E"/>
    <w:rsid w:val="009A5848"/>
    <w:rsid w:val="009A7D6D"/>
    <w:rsid w:val="009B26B6"/>
    <w:rsid w:val="009B55B6"/>
    <w:rsid w:val="009B6C6C"/>
    <w:rsid w:val="009B7A39"/>
    <w:rsid w:val="009C0D51"/>
    <w:rsid w:val="009C2B07"/>
    <w:rsid w:val="009C69B7"/>
    <w:rsid w:val="009D0770"/>
    <w:rsid w:val="009D0871"/>
    <w:rsid w:val="009D2A09"/>
    <w:rsid w:val="009D6177"/>
    <w:rsid w:val="009D7E4E"/>
    <w:rsid w:val="009E1B82"/>
    <w:rsid w:val="009E21A8"/>
    <w:rsid w:val="009E40B8"/>
    <w:rsid w:val="009E6295"/>
    <w:rsid w:val="009E67F4"/>
    <w:rsid w:val="009F7BCD"/>
    <w:rsid w:val="00A00164"/>
    <w:rsid w:val="00A00869"/>
    <w:rsid w:val="00A0132C"/>
    <w:rsid w:val="00A019C6"/>
    <w:rsid w:val="00A02531"/>
    <w:rsid w:val="00A0449C"/>
    <w:rsid w:val="00A04BE8"/>
    <w:rsid w:val="00A05636"/>
    <w:rsid w:val="00A07F2E"/>
    <w:rsid w:val="00A10EF8"/>
    <w:rsid w:val="00A11930"/>
    <w:rsid w:val="00A13540"/>
    <w:rsid w:val="00A1356C"/>
    <w:rsid w:val="00A21286"/>
    <w:rsid w:val="00A213BF"/>
    <w:rsid w:val="00A22750"/>
    <w:rsid w:val="00A22B95"/>
    <w:rsid w:val="00A2347D"/>
    <w:rsid w:val="00A23768"/>
    <w:rsid w:val="00A2409D"/>
    <w:rsid w:val="00A2487C"/>
    <w:rsid w:val="00A27087"/>
    <w:rsid w:val="00A32895"/>
    <w:rsid w:val="00A35026"/>
    <w:rsid w:val="00A409FD"/>
    <w:rsid w:val="00A41D32"/>
    <w:rsid w:val="00A5158B"/>
    <w:rsid w:val="00A645EA"/>
    <w:rsid w:val="00A70656"/>
    <w:rsid w:val="00A74829"/>
    <w:rsid w:val="00A803CD"/>
    <w:rsid w:val="00A8181B"/>
    <w:rsid w:val="00A82554"/>
    <w:rsid w:val="00A83CDD"/>
    <w:rsid w:val="00A87622"/>
    <w:rsid w:val="00A8795D"/>
    <w:rsid w:val="00A90250"/>
    <w:rsid w:val="00A94096"/>
    <w:rsid w:val="00A94AE2"/>
    <w:rsid w:val="00A9501D"/>
    <w:rsid w:val="00A9566E"/>
    <w:rsid w:val="00A95AE7"/>
    <w:rsid w:val="00A9654F"/>
    <w:rsid w:val="00AA00C8"/>
    <w:rsid w:val="00AA0DB9"/>
    <w:rsid w:val="00AA1CD0"/>
    <w:rsid w:val="00AA1EB3"/>
    <w:rsid w:val="00AA2290"/>
    <w:rsid w:val="00AA3E2A"/>
    <w:rsid w:val="00AB22D2"/>
    <w:rsid w:val="00AB771C"/>
    <w:rsid w:val="00AC247D"/>
    <w:rsid w:val="00AC5933"/>
    <w:rsid w:val="00AC7521"/>
    <w:rsid w:val="00AD380B"/>
    <w:rsid w:val="00AD57F9"/>
    <w:rsid w:val="00AE0635"/>
    <w:rsid w:val="00AE7D64"/>
    <w:rsid w:val="00AF1B44"/>
    <w:rsid w:val="00AF3C37"/>
    <w:rsid w:val="00AF534E"/>
    <w:rsid w:val="00AF5C97"/>
    <w:rsid w:val="00B01803"/>
    <w:rsid w:val="00B040EF"/>
    <w:rsid w:val="00B060AC"/>
    <w:rsid w:val="00B10342"/>
    <w:rsid w:val="00B11B19"/>
    <w:rsid w:val="00B120C0"/>
    <w:rsid w:val="00B14107"/>
    <w:rsid w:val="00B14E5E"/>
    <w:rsid w:val="00B21801"/>
    <w:rsid w:val="00B22B2B"/>
    <w:rsid w:val="00B31113"/>
    <w:rsid w:val="00B32265"/>
    <w:rsid w:val="00B322A6"/>
    <w:rsid w:val="00B37D85"/>
    <w:rsid w:val="00B37FA6"/>
    <w:rsid w:val="00B408DD"/>
    <w:rsid w:val="00B431D0"/>
    <w:rsid w:val="00B46D31"/>
    <w:rsid w:val="00B502A0"/>
    <w:rsid w:val="00B549EB"/>
    <w:rsid w:val="00B604D6"/>
    <w:rsid w:val="00B618F0"/>
    <w:rsid w:val="00B712CF"/>
    <w:rsid w:val="00B72230"/>
    <w:rsid w:val="00B72AD5"/>
    <w:rsid w:val="00B72B03"/>
    <w:rsid w:val="00B73E65"/>
    <w:rsid w:val="00B75DCD"/>
    <w:rsid w:val="00B7720F"/>
    <w:rsid w:val="00B812DA"/>
    <w:rsid w:val="00B83AE5"/>
    <w:rsid w:val="00B85251"/>
    <w:rsid w:val="00B85563"/>
    <w:rsid w:val="00B86B45"/>
    <w:rsid w:val="00B87D29"/>
    <w:rsid w:val="00B902F9"/>
    <w:rsid w:val="00BA1560"/>
    <w:rsid w:val="00BA1A25"/>
    <w:rsid w:val="00BA24BB"/>
    <w:rsid w:val="00BA6D49"/>
    <w:rsid w:val="00BA729D"/>
    <w:rsid w:val="00BB2018"/>
    <w:rsid w:val="00BB47E4"/>
    <w:rsid w:val="00BB6609"/>
    <w:rsid w:val="00BC507E"/>
    <w:rsid w:val="00BC724C"/>
    <w:rsid w:val="00BD1A62"/>
    <w:rsid w:val="00BD1B6A"/>
    <w:rsid w:val="00BD376B"/>
    <w:rsid w:val="00BD4010"/>
    <w:rsid w:val="00BD4557"/>
    <w:rsid w:val="00BD5A6B"/>
    <w:rsid w:val="00BE3542"/>
    <w:rsid w:val="00BE5DBC"/>
    <w:rsid w:val="00BE63BC"/>
    <w:rsid w:val="00BE70CE"/>
    <w:rsid w:val="00BF224A"/>
    <w:rsid w:val="00BF2C37"/>
    <w:rsid w:val="00BF514A"/>
    <w:rsid w:val="00BF5310"/>
    <w:rsid w:val="00C042D4"/>
    <w:rsid w:val="00C048E5"/>
    <w:rsid w:val="00C05672"/>
    <w:rsid w:val="00C07726"/>
    <w:rsid w:val="00C10781"/>
    <w:rsid w:val="00C13BE6"/>
    <w:rsid w:val="00C159EE"/>
    <w:rsid w:val="00C16EB6"/>
    <w:rsid w:val="00C21A17"/>
    <w:rsid w:val="00C25F23"/>
    <w:rsid w:val="00C277B3"/>
    <w:rsid w:val="00C27AA9"/>
    <w:rsid w:val="00C30E37"/>
    <w:rsid w:val="00C30F0D"/>
    <w:rsid w:val="00C31320"/>
    <w:rsid w:val="00C3192F"/>
    <w:rsid w:val="00C328B1"/>
    <w:rsid w:val="00C33271"/>
    <w:rsid w:val="00C3474D"/>
    <w:rsid w:val="00C36257"/>
    <w:rsid w:val="00C374D6"/>
    <w:rsid w:val="00C374FF"/>
    <w:rsid w:val="00C43D90"/>
    <w:rsid w:val="00C4518A"/>
    <w:rsid w:val="00C45452"/>
    <w:rsid w:val="00C46313"/>
    <w:rsid w:val="00C46A15"/>
    <w:rsid w:val="00C55FF1"/>
    <w:rsid w:val="00C5691A"/>
    <w:rsid w:val="00C5746F"/>
    <w:rsid w:val="00C60CE0"/>
    <w:rsid w:val="00C61CCF"/>
    <w:rsid w:val="00C63B50"/>
    <w:rsid w:val="00C63E9D"/>
    <w:rsid w:val="00C66E86"/>
    <w:rsid w:val="00C70AFD"/>
    <w:rsid w:val="00C71824"/>
    <w:rsid w:val="00C71F27"/>
    <w:rsid w:val="00C75FC2"/>
    <w:rsid w:val="00C77546"/>
    <w:rsid w:val="00C77825"/>
    <w:rsid w:val="00C779C7"/>
    <w:rsid w:val="00C80078"/>
    <w:rsid w:val="00C851BF"/>
    <w:rsid w:val="00C86070"/>
    <w:rsid w:val="00C867EE"/>
    <w:rsid w:val="00C942DC"/>
    <w:rsid w:val="00C959F1"/>
    <w:rsid w:val="00C95BB1"/>
    <w:rsid w:val="00C978CF"/>
    <w:rsid w:val="00CA2A8C"/>
    <w:rsid w:val="00CA5E1B"/>
    <w:rsid w:val="00CB1AAC"/>
    <w:rsid w:val="00CB21D1"/>
    <w:rsid w:val="00CB47DD"/>
    <w:rsid w:val="00CB68EF"/>
    <w:rsid w:val="00CB6C44"/>
    <w:rsid w:val="00CC1937"/>
    <w:rsid w:val="00CC4369"/>
    <w:rsid w:val="00CC679B"/>
    <w:rsid w:val="00CC7EBC"/>
    <w:rsid w:val="00CD6636"/>
    <w:rsid w:val="00CE3239"/>
    <w:rsid w:val="00CE3EB5"/>
    <w:rsid w:val="00CE6E1B"/>
    <w:rsid w:val="00CE7666"/>
    <w:rsid w:val="00CF2D43"/>
    <w:rsid w:val="00CF6F4D"/>
    <w:rsid w:val="00D000CF"/>
    <w:rsid w:val="00D005FA"/>
    <w:rsid w:val="00D00D8D"/>
    <w:rsid w:val="00D011DD"/>
    <w:rsid w:val="00D0182F"/>
    <w:rsid w:val="00D04560"/>
    <w:rsid w:val="00D04A98"/>
    <w:rsid w:val="00D05E4A"/>
    <w:rsid w:val="00D07486"/>
    <w:rsid w:val="00D11210"/>
    <w:rsid w:val="00D12011"/>
    <w:rsid w:val="00D161BC"/>
    <w:rsid w:val="00D17AFB"/>
    <w:rsid w:val="00D222E5"/>
    <w:rsid w:val="00D24EFC"/>
    <w:rsid w:val="00D26ED2"/>
    <w:rsid w:val="00D31D34"/>
    <w:rsid w:val="00D31F63"/>
    <w:rsid w:val="00D320C5"/>
    <w:rsid w:val="00D35AC2"/>
    <w:rsid w:val="00D37095"/>
    <w:rsid w:val="00D403BC"/>
    <w:rsid w:val="00D40CEB"/>
    <w:rsid w:val="00D4195D"/>
    <w:rsid w:val="00D439A1"/>
    <w:rsid w:val="00D4457B"/>
    <w:rsid w:val="00D54059"/>
    <w:rsid w:val="00D560A5"/>
    <w:rsid w:val="00D57151"/>
    <w:rsid w:val="00D6049D"/>
    <w:rsid w:val="00D62740"/>
    <w:rsid w:val="00D639DF"/>
    <w:rsid w:val="00D64901"/>
    <w:rsid w:val="00D64D00"/>
    <w:rsid w:val="00D65B7C"/>
    <w:rsid w:val="00D70490"/>
    <w:rsid w:val="00D70BAB"/>
    <w:rsid w:val="00D71ECE"/>
    <w:rsid w:val="00D726C4"/>
    <w:rsid w:val="00D7283F"/>
    <w:rsid w:val="00D75AE3"/>
    <w:rsid w:val="00D762F4"/>
    <w:rsid w:val="00D77CA4"/>
    <w:rsid w:val="00D84922"/>
    <w:rsid w:val="00D85AA7"/>
    <w:rsid w:val="00D86838"/>
    <w:rsid w:val="00D8771D"/>
    <w:rsid w:val="00D87A83"/>
    <w:rsid w:val="00D90A18"/>
    <w:rsid w:val="00D944E5"/>
    <w:rsid w:val="00D957A6"/>
    <w:rsid w:val="00D95CCB"/>
    <w:rsid w:val="00D976B9"/>
    <w:rsid w:val="00DA2238"/>
    <w:rsid w:val="00DA2DE8"/>
    <w:rsid w:val="00DA4B04"/>
    <w:rsid w:val="00DA4FB6"/>
    <w:rsid w:val="00DA57EC"/>
    <w:rsid w:val="00DA5BB6"/>
    <w:rsid w:val="00DA61F4"/>
    <w:rsid w:val="00DB04A9"/>
    <w:rsid w:val="00DB6BF9"/>
    <w:rsid w:val="00DC0E36"/>
    <w:rsid w:val="00DC195B"/>
    <w:rsid w:val="00DC661A"/>
    <w:rsid w:val="00DC7044"/>
    <w:rsid w:val="00DD2E8A"/>
    <w:rsid w:val="00DD4D5A"/>
    <w:rsid w:val="00DD6719"/>
    <w:rsid w:val="00DD77C6"/>
    <w:rsid w:val="00DE1C08"/>
    <w:rsid w:val="00DE5AD6"/>
    <w:rsid w:val="00DE68E6"/>
    <w:rsid w:val="00DF1368"/>
    <w:rsid w:val="00DF507E"/>
    <w:rsid w:val="00E02245"/>
    <w:rsid w:val="00E145D5"/>
    <w:rsid w:val="00E201F8"/>
    <w:rsid w:val="00E20BCF"/>
    <w:rsid w:val="00E21494"/>
    <w:rsid w:val="00E238FB"/>
    <w:rsid w:val="00E25B44"/>
    <w:rsid w:val="00E31D72"/>
    <w:rsid w:val="00E32BDA"/>
    <w:rsid w:val="00E3649F"/>
    <w:rsid w:val="00E4181C"/>
    <w:rsid w:val="00E420BE"/>
    <w:rsid w:val="00E45C0E"/>
    <w:rsid w:val="00E501FA"/>
    <w:rsid w:val="00E520F7"/>
    <w:rsid w:val="00E57E7F"/>
    <w:rsid w:val="00E6154E"/>
    <w:rsid w:val="00E61B81"/>
    <w:rsid w:val="00E70846"/>
    <w:rsid w:val="00E7152C"/>
    <w:rsid w:val="00E85FEF"/>
    <w:rsid w:val="00E864D2"/>
    <w:rsid w:val="00E92517"/>
    <w:rsid w:val="00E92930"/>
    <w:rsid w:val="00E93CD8"/>
    <w:rsid w:val="00E957C2"/>
    <w:rsid w:val="00EA0DAA"/>
    <w:rsid w:val="00EA22F5"/>
    <w:rsid w:val="00EA6792"/>
    <w:rsid w:val="00EA6C97"/>
    <w:rsid w:val="00EA7595"/>
    <w:rsid w:val="00EB4383"/>
    <w:rsid w:val="00EB4A9B"/>
    <w:rsid w:val="00EB5B3D"/>
    <w:rsid w:val="00EB5DB8"/>
    <w:rsid w:val="00EB6257"/>
    <w:rsid w:val="00EC10F9"/>
    <w:rsid w:val="00EC2BF5"/>
    <w:rsid w:val="00EC5F1E"/>
    <w:rsid w:val="00EC6038"/>
    <w:rsid w:val="00ED25EF"/>
    <w:rsid w:val="00ED449F"/>
    <w:rsid w:val="00ED5C55"/>
    <w:rsid w:val="00EE3554"/>
    <w:rsid w:val="00EE3F7B"/>
    <w:rsid w:val="00EE456A"/>
    <w:rsid w:val="00EE4638"/>
    <w:rsid w:val="00EE5D95"/>
    <w:rsid w:val="00EE6464"/>
    <w:rsid w:val="00EF1925"/>
    <w:rsid w:val="00EF5916"/>
    <w:rsid w:val="00EF5E80"/>
    <w:rsid w:val="00F01393"/>
    <w:rsid w:val="00F0163E"/>
    <w:rsid w:val="00F07279"/>
    <w:rsid w:val="00F14B46"/>
    <w:rsid w:val="00F164D9"/>
    <w:rsid w:val="00F17093"/>
    <w:rsid w:val="00F20409"/>
    <w:rsid w:val="00F211FB"/>
    <w:rsid w:val="00F21F2C"/>
    <w:rsid w:val="00F24CC5"/>
    <w:rsid w:val="00F24F63"/>
    <w:rsid w:val="00F251F3"/>
    <w:rsid w:val="00F25B90"/>
    <w:rsid w:val="00F27C85"/>
    <w:rsid w:val="00F3042F"/>
    <w:rsid w:val="00F30E45"/>
    <w:rsid w:val="00F326FA"/>
    <w:rsid w:val="00F32F9F"/>
    <w:rsid w:val="00F33533"/>
    <w:rsid w:val="00F33CB6"/>
    <w:rsid w:val="00F3547E"/>
    <w:rsid w:val="00F35721"/>
    <w:rsid w:val="00F37F37"/>
    <w:rsid w:val="00F40807"/>
    <w:rsid w:val="00F40ADC"/>
    <w:rsid w:val="00F421DA"/>
    <w:rsid w:val="00F442A4"/>
    <w:rsid w:val="00F44375"/>
    <w:rsid w:val="00F45218"/>
    <w:rsid w:val="00F46234"/>
    <w:rsid w:val="00F463D4"/>
    <w:rsid w:val="00F5183B"/>
    <w:rsid w:val="00F52552"/>
    <w:rsid w:val="00F615EB"/>
    <w:rsid w:val="00F63BAC"/>
    <w:rsid w:val="00F64AAF"/>
    <w:rsid w:val="00F64AF9"/>
    <w:rsid w:val="00F64BAC"/>
    <w:rsid w:val="00F65F59"/>
    <w:rsid w:val="00F664CF"/>
    <w:rsid w:val="00F66BD2"/>
    <w:rsid w:val="00F6740E"/>
    <w:rsid w:val="00F67E6B"/>
    <w:rsid w:val="00F67F51"/>
    <w:rsid w:val="00F71C88"/>
    <w:rsid w:val="00F729BF"/>
    <w:rsid w:val="00F75FE0"/>
    <w:rsid w:val="00F76CEE"/>
    <w:rsid w:val="00F80BD0"/>
    <w:rsid w:val="00F82193"/>
    <w:rsid w:val="00F824D9"/>
    <w:rsid w:val="00F8479D"/>
    <w:rsid w:val="00F909F1"/>
    <w:rsid w:val="00F93A0E"/>
    <w:rsid w:val="00F962CD"/>
    <w:rsid w:val="00F97C42"/>
    <w:rsid w:val="00F97CB2"/>
    <w:rsid w:val="00FA0863"/>
    <w:rsid w:val="00FA1781"/>
    <w:rsid w:val="00FA66DA"/>
    <w:rsid w:val="00FB182A"/>
    <w:rsid w:val="00FB3866"/>
    <w:rsid w:val="00FB3DDD"/>
    <w:rsid w:val="00FB5CA5"/>
    <w:rsid w:val="00FB5F31"/>
    <w:rsid w:val="00FB78CE"/>
    <w:rsid w:val="00FC318B"/>
    <w:rsid w:val="00FC5309"/>
    <w:rsid w:val="00FC6F8E"/>
    <w:rsid w:val="00FD0373"/>
    <w:rsid w:val="00FD21B3"/>
    <w:rsid w:val="00FD45C5"/>
    <w:rsid w:val="00FD4F8B"/>
    <w:rsid w:val="00FD5746"/>
    <w:rsid w:val="00FD5860"/>
    <w:rsid w:val="00FD6BCB"/>
    <w:rsid w:val="00FD6F0D"/>
    <w:rsid w:val="00FD7A23"/>
    <w:rsid w:val="00FE08D3"/>
    <w:rsid w:val="00FF116C"/>
    <w:rsid w:val="00FF2276"/>
    <w:rsid w:val="00FF4D36"/>
    <w:rsid w:val="00FF64F0"/>
    <w:rsid w:val="00FF6899"/>
    <w:rsid w:val="00FF7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738D8D7"/>
  <w15:docId w15:val="{70FD538D-1E40-473B-A6C2-55D42DA66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449C"/>
    <w:pPr>
      <w:spacing w:before="120" w:after="120" w:line="240" w:lineRule="auto"/>
    </w:pPr>
    <w:rPr>
      <w:rFonts w:ascii="Arial" w:eastAsia="Times New Roman" w:hAnsi="Arial" w:cs="Times New Roman"/>
      <w:szCs w:val="24"/>
      <w:lang w:eastAsia="cs-CZ"/>
    </w:rPr>
  </w:style>
  <w:style w:type="paragraph" w:styleId="Nadpis1">
    <w:name w:val="heading 1"/>
    <w:aliases w:val="t"/>
    <w:basedOn w:val="Normln"/>
    <w:next w:val="Normln"/>
    <w:link w:val="Nadpis1Char"/>
    <w:uiPriority w:val="99"/>
    <w:qFormat/>
    <w:rsid w:val="00A0449C"/>
    <w:pPr>
      <w:keepNext/>
      <w:numPr>
        <w:numId w:val="1"/>
      </w:numPr>
      <w:spacing w:before="240" w:after="240"/>
      <w:outlineLvl w:val="0"/>
    </w:pPr>
    <w:rPr>
      <w:rFonts w:cs="Arial"/>
      <w:b/>
      <w:bCs/>
      <w:kern w:val="32"/>
      <w:sz w:val="28"/>
      <w:szCs w:val="32"/>
    </w:rPr>
  </w:style>
  <w:style w:type="paragraph" w:styleId="Nadpis2">
    <w:name w:val="heading 2"/>
    <w:basedOn w:val="Normln"/>
    <w:next w:val="Normln"/>
    <w:link w:val="Nadpis2Char"/>
    <w:uiPriority w:val="99"/>
    <w:qFormat/>
    <w:rsid w:val="00A0449C"/>
    <w:pPr>
      <w:keepNext/>
      <w:numPr>
        <w:ilvl w:val="1"/>
        <w:numId w:val="1"/>
      </w:numPr>
      <w:spacing w:before="240" w:after="240"/>
      <w:outlineLvl w:val="1"/>
    </w:pPr>
    <w:rPr>
      <w:rFonts w:cs="Arial"/>
      <w:b/>
      <w:bCs/>
      <w:iCs/>
      <w:sz w:val="24"/>
      <w:szCs w:val="28"/>
    </w:rPr>
  </w:style>
  <w:style w:type="paragraph" w:styleId="Nadpis3">
    <w:name w:val="heading 3"/>
    <w:basedOn w:val="Normln"/>
    <w:next w:val="Normln"/>
    <w:link w:val="Nadpis3Char"/>
    <w:uiPriority w:val="99"/>
    <w:qFormat/>
    <w:rsid w:val="0075371B"/>
    <w:pPr>
      <w:keepNext/>
      <w:numPr>
        <w:ilvl w:val="2"/>
        <w:numId w:val="1"/>
      </w:numPr>
      <w:tabs>
        <w:tab w:val="clear" w:pos="1418"/>
        <w:tab w:val="left" w:pos="851"/>
        <w:tab w:val="num" w:pos="2411"/>
      </w:tabs>
      <w:spacing w:before="240" w:after="240"/>
      <w:ind w:left="284" w:firstLine="0"/>
      <w:outlineLvl w:val="2"/>
    </w:pPr>
    <w:rPr>
      <w:rFonts w:cs="Arial"/>
      <w:b/>
      <w:bCs/>
      <w:szCs w:val="26"/>
    </w:rPr>
  </w:style>
  <w:style w:type="paragraph" w:styleId="Nadpis4">
    <w:name w:val="heading 4"/>
    <w:basedOn w:val="Normln"/>
    <w:next w:val="Normln"/>
    <w:link w:val="Nadpis4Char"/>
    <w:uiPriority w:val="99"/>
    <w:qFormat/>
    <w:rsid w:val="00A0449C"/>
    <w:pPr>
      <w:keepNext/>
      <w:numPr>
        <w:ilvl w:val="3"/>
        <w:numId w:val="1"/>
      </w:numPr>
      <w:spacing w:before="240" w:after="240"/>
      <w:outlineLvl w:val="3"/>
    </w:pPr>
    <w:rPr>
      <w:b/>
      <w:bCs/>
      <w:szCs w:val="28"/>
    </w:rPr>
  </w:style>
  <w:style w:type="paragraph" w:styleId="Nadpis5">
    <w:name w:val="heading 5"/>
    <w:basedOn w:val="Normln"/>
    <w:next w:val="Normln"/>
    <w:link w:val="Nadpis5Char"/>
    <w:uiPriority w:val="99"/>
    <w:qFormat/>
    <w:rsid w:val="00A0449C"/>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A0449C"/>
    <w:pPr>
      <w:numPr>
        <w:ilvl w:val="5"/>
        <w:numId w:val="1"/>
      </w:numPr>
      <w:spacing w:before="240" w:after="60"/>
      <w:outlineLvl w:val="5"/>
    </w:pPr>
    <w:rPr>
      <w:b/>
      <w:bCs/>
      <w:szCs w:val="22"/>
    </w:rPr>
  </w:style>
  <w:style w:type="paragraph" w:styleId="Nadpis7">
    <w:name w:val="heading 7"/>
    <w:basedOn w:val="Normln"/>
    <w:next w:val="Normln"/>
    <w:link w:val="Nadpis7Char"/>
    <w:uiPriority w:val="99"/>
    <w:qFormat/>
    <w:rsid w:val="00A0449C"/>
    <w:pPr>
      <w:numPr>
        <w:ilvl w:val="6"/>
        <w:numId w:val="1"/>
      </w:numPr>
      <w:spacing w:before="240" w:after="60"/>
      <w:outlineLvl w:val="6"/>
    </w:pPr>
  </w:style>
  <w:style w:type="paragraph" w:styleId="Nadpis8">
    <w:name w:val="heading 8"/>
    <w:basedOn w:val="Normln"/>
    <w:next w:val="Normln"/>
    <w:link w:val="Nadpis8Char"/>
    <w:uiPriority w:val="99"/>
    <w:qFormat/>
    <w:rsid w:val="00A0449C"/>
    <w:pPr>
      <w:numPr>
        <w:ilvl w:val="7"/>
        <w:numId w:val="1"/>
      </w:numPr>
      <w:spacing w:before="240" w:after="60"/>
      <w:outlineLvl w:val="7"/>
    </w:pPr>
    <w:rPr>
      <w:i/>
      <w:iCs/>
    </w:rPr>
  </w:style>
  <w:style w:type="paragraph" w:styleId="Nadpis9">
    <w:name w:val="heading 9"/>
    <w:aliases w:val="Příloha"/>
    <w:basedOn w:val="Normln"/>
    <w:next w:val="Normln"/>
    <w:link w:val="Nadpis9Char"/>
    <w:uiPriority w:val="99"/>
    <w:qFormat/>
    <w:rsid w:val="00A0449C"/>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 Char"/>
    <w:basedOn w:val="Standardnpsmoodstavce"/>
    <w:link w:val="Nadpis1"/>
    <w:uiPriority w:val="9"/>
    <w:rsid w:val="00A0449C"/>
    <w:rPr>
      <w:rFonts w:ascii="Arial" w:eastAsia="Times New Roman" w:hAnsi="Arial" w:cs="Arial"/>
      <w:b/>
      <w:bCs/>
      <w:kern w:val="32"/>
      <w:sz w:val="28"/>
      <w:szCs w:val="32"/>
      <w:lang w:eastAsia="cs-CZ"/>
    </w:rPr>
  </w:style>
  <w:style w:type="character" w:customStyle="1" w:styleId="Nadpis2Char">
    <w:name w:val="Nadpis 2 Char"/>
    <w:basedOn w:val="Standardnpsmoodstavce"/>
    <w:link w:val="Nadpis2"/>
    <w:uiPriority w:val="99"/>
    <w:rsid w:val="00A0449C"/>
    <w:rPr>
      <w:rFonts w:ascii="Arial" w:eastAsia="Times New Roman" w:hAnsi="Arial" w:cs="Arial"/>
      <w:b/>
      <w:bCs/>
      <w:iCs/>
      <w:sz w:val="24"/>
      <w:szCs w:val="28"/>
      <w:lang w:eastAsia="cs-CZ"/>
    </w:rPr>
  </w:style>
  <w:style w:type="character" w:customStyle="1" w:styleId="Nadpis3Char">
    <w:name w:val="Nadpis 3 Char"/>
    <w:basedOn w:val="Standardnpsmoodstavce"/>
    <w:link w:val="Nadpis3"/>
    <w:uiPriority w:val="99"/>
    <w:rsid w:val="0075371B"/>
    <w:rPr>
      <w:rFonts w:ascii="Arial" w:eastAsia="Times New Roman" w:hAnsi="Arial" w:cs="Arial"/>
      <w:b/>
      <w:bCs/>
      <w:szCs w:val="26"/>
      <w:lang w:eastAsia="cs-CZ"/>
    </w:rPr>
  </w:style>
  <w:style w:type="character" w:customStyle="1" w:styleId="Nadpis4Char">
    <w:name w:val="Nadpis 4 Char"/>
    <w:basedOn w:val="Standardnpsmoodstavce"/>
    <w:link w:val="Nadpis4"/>
    <w:uiPriority w:val="9"/>
    <w:rsid w:val="00A0449C"/>
    <w:rPr>
      <w:rFonts w:ascii="Arial" w:eastAsia="Times New Roman" w:hAnsi="Arial" w:cs="Times New Roman"/>
      <w:b/>
      <w:bCs/>
      <w:szCs w:val="28"/>
      <w:lang w:eastAsia="cs-CZ"/>
    </w:rPr>
  </w:style>
  <w:style w:type="character" w:customStyle="1" w:styleId="Nadpis5Char">
    <w:name w:val="Nadpis 5 Char"/>
    <w:basedOn w:val="Standardnpsmoodstavce"/>
    <w:link w:val="Nadpis5"/>
    <w:uiPriority w:val="99"/>
    <w:rsid w:val="00A0449C"/>
    <w:rPr>
      <w:rFonts w:ascii="Arial" w:eastAsia="Times New Roman" w:hAnsi="Arial" w:cs="Times New Roman"/>
      <w:b/>
      <w:bCs/>
      <w:i/>
      <w:iCs/>
      <w:sz w:val="26"/>
      <w:szCs w:val="26"/>
      <w:lang w:eastAsia="cs-CZ"/>
    </w:rPr>
  </w:style>
  <w:style w:type="character" w:customStyle="1" w:styleId="Nadpis6Char">
    <w:name w:val="Nadpis 6 Char"/>
    <w:basedOn w:val="Standardnpsmoodstavce"/>
    <w:link w:val="Nadpis6"/>
    <w:uiPriority w:val="99"/>
    <w:rsid w:val="00A0449C"/>
    <w:rPr>
      <w:rFonts w:ascii="Arial" w:eastAsia="Times New Roman" w:hAnsi="Arial" w:cs="Times New Roman"/>
      <w:b/>
      <w:bCs/>
      <w:lang w:eastAsia="cs-CZ"/>
    </w:rPr>
  </w:style>
  <w:style w:type="character" w:customStyle="1" w:styleId="Nadpis7Char">
    <w:name w:val="Nadpis 7 Char"/>
    <w:basedOn w:val="Standardnpsmoodstavce"/>
    <w:link w:val="Nadpis7"/>
    <w:uiPriority w:val="99"/>
    <w:rsid w:val="00A0449C"/>
    <w:rPr>
      <w:rFonts w:ascii="Arial" w:eastAsia="Times New Roman" w:hAnsi="Arial" w:cs="Times New Roman"/>
      <w:szCs w:val="24"/>
      <w:lang w:eastAsia="cs-CZ"/>
    </w:rPr>
  </w:style>
  <w:style w:type="character" w:customStyle="1" w:styleId="Nadpis8Char">
    <w:name w:val="Nadpis 8 Char"/>
    <w:basedOn w:val="Standardnpsmoodstavce"/>
    <w:link w:val="Nadpis8"/>
    <w:uiPriority w:val="99"/>
    <w:rsid w:val="00A0449C"/>
    <w:rPr>
      <w:rFonts w:ascii="Arial" w:eastAsia="Times New Roman" w:hAnsi="Arial" w:cs="Times New Roman"/>
      <w:i/>
      <w:iCs/>
      <w:szCs w:val="24"/>
      <w:lang w:eastAsia="cs-CZ"/>
    </w:rPr>
  </w:style>
  <w:style w:type="character" w:customStyle="1" w:styleId="Nadpis9Char">
    <w:name w:val="Nadpis 9 Char"/>
    <w:aliases w:val="Příloha Char"/>
    <w:basedOn w:val="Standardnpsmoodstavce"/>
    <w:link w:val="Nadpis9"/>
    <w:uiPriority w:val="99"/>
    <w:rsid w:val="00A0449C"/>
    <w:rPr>
      <w:rFonts w:ascii="Arial" w:eastAsia="Times New Roman" w:hAnsi="Arial" w:cs="Arial"/>
      <w:lang w:eastAsia="cs-CZ"/>
    </w:rPr>
  </w:style>
  <w:style w:type="character" w:styleId="Odkaznakoment">
    <w:name w:val="annotation reference"/>
    <w:uiPriority w:val="99"/>
    <w:semiHidden/>
    <w:rsid w:val="00A0449C"/>
    <w:rPr>
      <w:sz w:val="16"/>
      <w:szCs w:val="16"/>
    </w:rPr>
  </w:style>
  <w:style w:type="paragraph" w:styleId="Textkomente">
    <w:name w:val="annotation text"/>
    <w:basedOn w:val="Normln"/>
    <w:link w:val="TextkomenteChar1"/>
    <w:uiPriority w:val="99"/>
    <w:rsid w:val="00A0449C"/>
    <w:rPr>
      <w:sz w:val="20"/>
      <w:szCs w:val="20"/>
    </w:rPr>
  </w:style>
  <w:style w:type="character" w:customStyle="1" w:styleId="TextkomenteChar">
    <w:name w:val="Text komentáře Char"/>
    <w:basedOn w:val="Standardnpsmoodstavce"/>
    <w:uiPriority w:val="99"/>
    <w:rsid w:val="00A0449C"/>
    <w:rPr>
      <w:rFonts w:ascii="Arial" w:eastAsia="Times New Roman" w:hAnsi="Arial" w:cs="Times New Roman"/>
      <w:sz w:val="20"/>
      <w:szCs w:val="20"/>
      <w:lang w:eastAsia="cs-CZ"/>
    </w:rPr>
  </w:style>
  <w:style w:type="character" w:customStyle="1" w:styleId="TextkomenteChar1">
    <w:name w:val="Text komentáře Char1"/>
    <w:basedOn w:val="Standardnpsmoodstavce"/>
    <w:link w:val="Textkomente"/>
    <w:uiPriority w:val="99"/>
    <w:rsid w:val="00A0449C"/>
    <w:rPr>
      <w:rFonts w:ascii="Arial" w:eastAsia="Times New Roman" w:hAnsi="Arial" w:cs="Times New Roman"/>
      <w:sz w:val="20"/>
      <w:szCs w:val="20"/>
      <w:lang w:eastAsia="cs-CZ"/>
    </w:rPr>
  </w:style>
  <w:style w:type="paragraph" w:styleId="Odstavecseseznamem">
    <w:name w:val="List Paragraph"/>
    <w:aliases w:val="Odrážky 1,seznam písmena,(1) odstavec"/>
    <w:basedOn w:val="Normln"/>
    <w:link w:val="OdstavecseseznamemChar"/>
    <w:uiPriority w:val="34"/>
    <w:qFormat/>
    <w:rsid w:val="00A0449C"/>
    <w:pPr>
      <w:spacing w:after="0"/>
      <w:ind w:left="284" w:hanging="5"/>
    </w:pPr>
    <w:rPr>
      <w:rFonts w:asciiTheme="minorHAnsi" w:eastAsiaTheme="minorHAnsi" w:hAnsiTheme="minorHAnsi"/>
      <w:sz w:val="24"/>
      <w:lang w:eastAsia="en-US"/>
    </w:rPr>
  </w:style>
  <w:style w:type="character" w:customStyle="1" w:styleId="OdstavecseseznamemChar">
    <w:name w:val="Odstavec se seznamem Char"/>
    <w:aliases w:val="Odrážky 1 Char,seznam písmena Char,(1) odstavec Char"/>
    <w:basedOn w:val="Standardnpsmoodstavce"/>
    <w:link w:val="Odstavecseseznamem"/>
    <w:uiPriority w:val="34"/>
    <w:qFormat/>
    <w:rsid w:val="00A0449C"/>
    <w:rPr>
      <w:rFonts w:cs="Times New Roman"/>
      <w:sz w:val="24"/>
      <w:szCs w:val="24"/>
    </w:rPr>
  </w:style>
  <w:style w:type="paragraph" w:styleId="Textbubliny">
    <w:name w:val="Balloon Text"/>
    <w:basedOn w:val="Normln"/>
    <w:link w:val="TextbublinyChar"/>
    <w:uiPriority w:val="99"/>
    <w:semiHidden/>
    <w:unhideWhenUsed/>
    <w:rsid w:val="00A0449C"/>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0449C"/>
    <w:rPr>
      <w:rFonts w:ascii="Tahoma" w:eastAsia="Times New Roman" w:hAnsi="Tahoma" w:cs="Tahoma"/>
      <w:sz w:val="16"/>
      <w:szCs w:val="16"/>
      <w:lang w:eastAsia="cs-CZ"/>
    </w:rPr>
  </w:style>
  <w:style w:type="paragraph" w:customStyle="1" w:styleId="Bullet1">
    <w:name w:val="Bullet 1"/>
    <w:basedOn w:val="Normln"/>
    <w:link w:val="Bullet1Char"/>
    <w:uiPriority w:val="99"/>
    <w:qFormat/>
    <w:rsid w:val="00A0449C"/>
    <w:pPr>
      <w:numPr>
        <w:numId w:val="3"/>
      </w:numPr>
    </w:pPr>
  </w:style>
  <w:style w:type="paragraph" w:customStyle="1" w:styleId="Odrka1">
    <w:name w:val="Odrážka 1"/>
    <w:basedOn w:val="Bullet1"/>
    <w:link w:val="Odrka1Char"/>
    <w:qFormat/>
    <w:rsid w:val="00A0449C"/>
  </w:style>
  <w:style w:type="character" w:customStyle="1" w:styleId="Odrka1Char">
    <w:name w:val="Odrážka 1 Char"/>
    <w:basedOn w:val="Standardnpsmoodstavce"/>
    <w:link w:val="Odrka1"/>
    <w:rsid w:val="00A0449C"/>
    <w:rPr>
      <w:rFonts w:ascii="Arial" w:eastAsia="Times New Roman" w:hAnsi="Arial" w:cs="Times New Roman"/>
      <w:szCs w:val="24"/>
      <w:lang w:eastAsia="cs-CZ"/>
    </w:rPr>
  </w:style>
  <w:style w:type="paragraph" w:styleId="Pedmtkomente">
    <w:name w:val="annotation subject"/>
    <w:basedOn w:val="Textkomente"/>
    <w:next w:val="Textkomente"/>
    <w:link w:val="PedmtkomenteChar"/>
    <w:uiPriority w:val="99"/>
    <w:semiHidden/>
    <w:unhideWhenUsed/>
    <w:rsid w:val="004B5BE8"/>
    <w:rPr>
      <w:b/>
      <w:bCs/>
    </w:rPr>
  </w:style>
  <w:style w:type="character" w:customStyle="1" w:styleId="PedmtkomenteChar">
    <w:name w:val="Předmět komentáře Char"/>
    <w:basedOn w:val="TextkomenteChar1"/>
    <w:link w:val="Pedmtkomente"/>
    <w:uiPriority w:val="99"/>
    <w:semiHidden/>
    <w:rsid w:val="004B5BE8"/>
    <w:rPr>
      <w:rFonts w:ascii="Arial" w:eastAsia="Times New Roman" w:hAnsi="Arial" w:cs="Times New Roman"/>
      <w:b/>
      <w:bCs/>
      <w:sz w:val="20"/>
      <w:szCs w:val="20"/>
      <w:lang w:eastAsia="cs-CZ"/>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basedOn w:val="Normln"/>
    <w:link w:val="TextpoznpodarouChar"/>
    <w:uiPriority w:val="99"/>
    <w:qFormat/>
    <w:rsid w:val="001A2533"/>
    <w:rPr>
      <w:sz w:val="16"/>
      <w:szCs w:val="20"/>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1A2533"/>
    <w:rPr>
      <w:rFonts w:ascii="Arial" w:eastAsia="Times New Roman" w:hAnsi="Arial" w:cs="Times New Roman"/>
      <w:sz w:val="16"/>
      <w:szCs w:val="20"/>
      <w:lang w:eastAsia="cs-CZ"/>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uiPriority w:val="99"/>
    <w:rsid w:val="001A2533"/>
    <w:rPr>
      <w:vertAlign w:val="superscript"/>
    </w:rPr>
  </w:style>
  <w:style w:type="paragraph" w:styleId="Titulek">
    <w:name w:val="caption"/>
    <w:basedOn w:val="Normln"/>
    <w:next w:val="Normln"/>
    <w:link w:val="TitulekChar"/>
    <w:qFormat/>
    <w:rsid w:val="00D35AC2"/>
    <w:pPr>
      <w:spacing w:before="240" w:after="240"/>
    </w:pPr>
    <w:rPr>
      <w:b/>
      <w:bCs/>
      <w:szCs w:val="20"/>
    </w:rPr>
  </w:style>
  <w:style w:type="character" w:customStyle="1" w:styleId="TitulekChar">
    <w:name w:val="Titulek Char"/>
    <w:link w:val="Titulek"/>
    <w:locked/>
    <w:rsid w:val="001A2533"/>
    <w:rPr>
      <w:rFonts w:ascii="Arial" w:eastAsia="Times New Roman" w:hAnsi="Arial" w:cs="Times New Roman"/>
      <w:b/>
      <w:bCs/>
      <w:szCs w:val="20"/>
      <w:lang w:eastAsia="cs-CZ"/>
    </w:rPr>
  </w:style>
  <w:style w:type="paragraph" w:customStyle="1" w:styleId="Odrkyabc">
    <w:name w:val="Odrážky abc"/>
    <w:basedOn w:val="Normln"/>
    <w:link w:val="OdrkyabcChar"/>
    <w:uiPriority w:val="99"/>
    <w:rsid w:val="001A2533"/>
    <w:pPr>
      <w:numPr>
        <w:numId w:val="4"/>
      </w:numPr>
    </w:pPr>
  </w:style>
  <w:style w:type="character" w:customStyle="1" w:styleId="OdrkyabcChar">
    <w:name w:val="Odrážky abc Char"/>
    <w:basedOn w:val="Standardnpsmoodstavce"/>
    <w:link w:val="Odrkyabc"/>
    <w:rsid w:val="001A2533"/>
    <w:rPr>
      <w:rFonts w:ascii="Arial" w:eastAsia="Times New Roman" w:hAnsi="Arial" w:cs="Times New Roman"/>
      <w:szCs w:val="24"/>
      <w:lang w:eastAsia="cs-CZ"/>
    </w:rPr>
  </w:style>
  <w:style w:type="table" w:styleId="Mkatabulky">
    <w:name w:val="Table Grid"/>
    <w:basedOn w:val="Normlntabulka"/>
    <w:uiPriority w:val="59"/>
    <w:rsid w:val="001A2533"/>
    <w:pPr>
      <w:spacing w:before="120" w:after="0" w:line="240" w:lineRule="auto"/>
      <w:ind w:left="714" w:hanging="357"/>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a">
    <w:name w:val="odrážka a)"/>
    <w:basedOn w:val="Odrkyabc"/>
    <w:link w:val="odrkaaChar"/>
    <w:qFormat/>
    <w:rsid w:val="001A2533"/>
  </w:style>
  <w:style w:type="character" w:customStyle="1" w:styleId="odrkaaChar">
    <w:name w:val="odrážka a) Char"/>
    <w:basedOn w:val="OdrkyabcChar"/>
    <w:link w:val="odrkaa"/>
    <w:rsid w:val="001A2533"/>
    <w:rPr>
      <w:rFonts w:ascii="Arial" w:eastAsia="Times New Roman" w:hAnsi="Arial" w:cs="Times New Roman"/>
      <w:szCs w:val="24"/>
      <w:lang w:eastAsia="cs-CZ"/>
    </w:rPr>
  </w:style>
  <w:style w:type="paragraph" w:styleId="Zpat">
    <w:name w:val="footer"/>
    <w:basedOn w:val="Normln"/>
    <w:link w:val="ZpatChar"/>
    <w:uiPriority w:val="99"/>
    <w:rsid w:val="00A07F2E"/>
    <w:pPr>
      <w:tabs>
        <w:tab w:val="center" w:pos="4536"/>
        <w:tab w:val="right" w:pos="9072"/>
      </w:tabs>
    </w:pPr>
  </w:style>
  <w:style w:type="character" w:customStyle="1" w:styleId="ZpatChar">
    <w:name w:val="Zápatí Char"/>
    <w:basedOn w:val="Standardnpsmoodstavce"/>
    <w:link w:val="Zpat"/>
    <w:uiPriority w:val="99"/>
    <w:rsid w:val="00A07F2E"/>
    <w:rPr>
      <w:rFonts w:ascii="Arial" w:eastAsia="Times New Roman" w:hAnsi="Arial" w:cs="Times New Roman"/>
      <w:szCs w:val="24"/>
      <w:lang w:eastAsia="cs-CZ"/>
    </w:rPr>
  </w:style>
  <w:style w:type="paragraph" w:styleId="Zhlav">
    <w:name w:val="header"/>
    <w:basedOn w:val="Normln"/>
    <w:link w:val="ZhlavChar"/>
    <w:uiPriority w:val="99"/>
    <w:rsid w:val="00A07F2E"/>
    <w:pPr>
      <w:tabs>
        <w:tab w:val="center" w:pos="4536"/>
        <w:tab w:val="right" w:pos="9072"/>
      </w:tabs>
    </w:pPr>
  </w:style>
  <w:style w:type="character" w:customStyle="1" w:styleId="ZhlavChar">
    <w:name w:val="Záhlaví Char"/>
    <w:basedOn w:val="Standardnpsmoodstavce"/>
    <w:link w:val="Zhlav"/>
    <w:uiPriority w:val="99"/>
    <w:rsid w:val="00A07F2E"/>
    <w:rPr>
      <w:rFonts w:ascii="Arial" w:eastAsia="Times New Roman" w:hAnsi="Arial" w:cs="Times New Roman"/>
      <w:szCs w:val="24"/>
      <w:lang w:eastAsia="cs-CZ"/>
    </w:rPr>
  </w:style>
  <w:style w:type="paragraph" w:styleId="Obsah1">
    <w:name w:val="toc 1"/>
    <w:basedOn w:val="Normln"/>
    <w:next w:val="Normln"/>
    <w:autoRedefine/>
    <w:uiPriority w:val="39"/>
    <w:rsid w:val="00A07F2E"/>
    <w:pPr>
      <w:tabs>
        <w:tab w:val="right" w:leader="dot" w:pos="9062"/>
      </w:tabs>
      <w:spacing w:before="240" w:after="240"/>
      <w:ind w:left="709" w:hanging="709"/>
    </w:pPr>
    <w:rPr>
      <w:rFonts w:cs="Arial"/>
      <w:b/>
      <w:bCs/>
      <w:noProof/>
      <w:sz w:val="28"/>
      <w:szCs w:val="22"/>
    </w:rPr>
  </w:style>
  <w:style w:type="paragraph" w:styleId="Obsah2">
    <w:name w:val="toc 2"/>
    <w:basedOn w:val="Normln"/>
    <w:next w:val="Normln"/>
    <w:autoRedefine/>
    <w:uiPriority w:val="39"/>
    <w:rsid w:val="00A07F2E"/>
    <w:pPr>
      <w:ind w:left="709" w:hanging="709"/>
    </w:pPr>
    <w:rPr>
      <w:b/>
      <w:sz w:val="24"/>
      <w:szCs w:val="22"/>
    </w:rPr>
  </w:style>
  <w:style w:type="paragraph" w:styleId="Obsah3">
    <w:name w:val="toc 3"/>
    <w:basedOn w:val="Normln"/>
    <w:next w:val="Normln"/>
    <w:autoRedefine/>
    <w:uiPriority w:val="39"/>
    <w:rsid w:val="00A07F2E"/>
    <w:pPr>
      <w:tabs>
        <w:tab w:val="right" w:leader="dot" w:pos="9062"/>
      </w:tabs>
      <w:ind w:left="1135" w:hanging="851"/>
    </w:pPr>
    <w:rPr>
      <w:rFonts w:cs="Arial"/>
      <w:noProof/>
      <w:szCs w:val="22"/>
    </w:rPr>
  </w:style>
  <w:style w:type="paragraph" w:styleId="Obsah4">
    <w:name w:val="toc 4"/>
    <w:basedOn w:val="Normln"/>
    <w:next w:val="Normln"/>
    <w:autoRedefine/>
    <w:uiPriority w:val="39"/>
    <w:rsid w:val="00A07F2E"/>
    <w:pPr>
      <w:tabs>
        <w:tab w:val="left" w:pos="1701"/>
        <w:tab w:val="right" w:leader="dot" w:pos="9061"/>
      </w:tabs>
      <w:ind w:left="1135" w:hanging="851"/>
    </w:pPr>
    <w:rPr>
      <w:szCs w:val="21"/>
    </w:rPr>
  </w:style>
  <w:style w:type="paragraph" w:styleId="Obsah5">
    <w:name w:val="toc 5"/>
    <w:basedOn w:val="Normln"/>
    <w:next w:val="Normln"/>
    <w:autoRedefine/>
    <w:uiPriority w:val="39"/>
    <w:rsid w:val="00A07F2E"/>
    <w:pPr>
      <w:ind w:left="880"/>
    </w:pPr>
    <w:rPr>
      <w:rFonts w:ascii="Times New Roman" w:hAnsi="Times New Roman"/>
      <w:szCs w:val="21"/>
    </w:rPr>
  </w:style>
  <w:style w:type="paragraph" w:styleId="Obsah6">
    <w:name w:val="toc 6"/>
    <w:basedOn w:val="Normln"/>
    <w:next w:val="Normln"/>
    <w:autoRedefine/>
    <w:uiPriority w:val="39"/>
    <w:rsid w:val="00A07F2E"/>
    <w:pPr>
      <w:ind w:left="1100"/>
    </w:pPr>
    <w:rPr>
      <w:rFonts w:ascii="Times New Roman" w:hAnsi="Times New Roman"/>
      <w:szCs w:val="21"/>
    </w:rPr>
  </w:style>
  <w:style w:type="paragraph" w:styleId="Obsah7">
    <w:name w:val="toc 7"/>
    <w:basedOn w:val="Normln"/>
    <w:next w:val="Normln"/>
    <w:autoRedefine/>
    <w:uiPriority w:val="39"/>
    <w:rsid w:val="00A07F2E"/>
    <w:pPr>
      <w:ind w:left="1320"/>
    </w:pPr>
    <w:rPr>
      <w:rFonts w:ascii="Times New Roman" w:hAnsi="Times New Roman"/>
      <w:szCs w:val="21"/>
    </w:rPr>
  </w:style>
  <w:style w:type="paragraph" w:styleId="Obsah8">
    <w:name w:val="toc 8"/>
    <w:basedOn w:val="Normln"/>
    <w:next w:val="Normln"/>
    <w:autoRedefine/>
    <w:uiPriority w:val="39"/>
    <w:rsid w:val="00A07F2E"/>
    <w:pPr>
      <w:ind w:left="1540"/>
    </w:pPr>
    <w:rPr>
      <w:rFonts w:ascii="Times New Roman" w:hAnsi="Times New Roman"/>
      <w:szCs w:val="21"/>
    </w:rPr>
  </w:style>
  <w:style w:type="paragraph" w:styleId="Obsah9">
    <w:name w:val="toc 9"/>
    <w:basedOn w:val="Normln"/>
    <w:next w:val="Normln"/>
    <w:autoRedefine/>
    <w:uiPriority w:val="39"/>
    <w:rsid w:val="00A07F2E"/>
    <w:pPr>
      <w:ind w:left="1760"/>
    </w:pPr>
    <w:rPr>
      <w:rFonts w:ascii="Times New Roman" w:hAnsi="Times New Roman"/>
      <w:szCs w:val="21"/>
    </w:rPr>
  </w:style>
  <w:style w:type="character" w:styleId="slostrnky">
    <w:name w:val="page number"/>
    <w:basedOn w:val="Standardnpsmoodstavce"/>
    <w:semiHidden/>
    <w:rsid w:val="00A07F2E"/>
  </w:style>
  <w:style w:type="character" w:styleId="Hypertextovodkaz">
    <w:name w:val="Hyperlink"/>
    <w:uiPriority w:val="99"/>
    <w:rsid w:val="00A07F2E"/>
    <w:rPr>
      <w:color w:val="0000FF"/>
      <w:u w:val="single"/>
    </w:rPr>
  </w:style>
  <w:style w:type="paragraph" w:styleId="Podtitul">
    <w:name w:val="Subtitle"/>
    <w:basedOn w:val="Normln"/>
    <w:link w:val="PodtitulChar"/>
    <w:qFormat/>
    <w:rsid w:val="00A07F2E"/>
    <w:pPr>
      <w:overflowPunct w:val="0"/>
      <w:autoSpaceDE w:val="0"/>
      <w:autoSpaceDN w:val="0"/>
      <w:adjustRightInd w:val="0"/>
      <w:spacing w:before="240"/>
      <w:jc w:val="center"/>
      <w:textAlignment w:val="baseline"/>
    </w:pPr>
    <w:rPr>
      <w:sz w:val="32"/>
      <w:szCs w:val="20"/>
    </w:rPr>
  </w:style>
  <w:style w:type="character" w:customStyle="1" w:styleId="PodtitulChar">
    <w:name w:val="Podtitul Char"/>
    <w:basedOn w:val="Standardnpsmoodstavce"/>
    <w:link w:val="Podtitul"/>
    <w:rsid w:val="00A07F2E"/>
    <w:rPr>
      <w:rFonts w:ascii="Arial" w:eastAsia="Times New Roman" w:hAnsi="Arial" w:cs="Times New Roman"/>
      <w:sz w:val="32"/>
      <w:szCs w:val="20"/>
      <w:lang w:eastAsia="cs-CZ"/>
    </w:rPr>
  </w:style>
  <w:style w:type="paragraph" w:styleId="Seznamobrzk">
    <w:name w:val="table of figures"/>
    <w:basedOn w:val="Normln"/>
    <w:next w:val="Normln"/>
    <w:uiPriority w:val="99"/>
    <w:rsid w:val="00A07F2E"/>
    <w:pPr>
      <w:ind w:left="440" w:hanging="440"/>
    </w:pPr>
  </w:style>
  <w:style w:type="paragraph" w:customStyle="1" w:styleId="Nadpisobsahuaseznamu">
    <w:name w:val="Nadpis obsahu a seznamu"/>
    <w:basedOn w:val="Obsah1"/>
    <w:rsid w:val="00A07F2E"/>
    <w:pPr>
      <w:ind w:left="0" w:firstLine="0"/>
    </w:pPr>
    <w:rPr>
      <w:caps/>
    </w:rPr>
  </w:style>
  <w:style w:type="paragraph" w:customStyle="1" w:styleId="Zkratky">
    <w:name w:val="Zkratky"/>
    <w:basedOn w:val="Normln"/>
    <w:uiPriority w:val="99"/>
    <w:rsid w:val="00A07F2E"/>
    <w:pPr>
      <w:tabs>
        <w:tab w:val="left" w:leader="dot" w:pos="2835"/>
      </w:tabs>
    </w:pPr>
  </w:style>
  <w:style w:type="paragraph" w:styleId="Rozloendokumentu">
    <w:name w:val="Document Map"/>
    <w:basedOn w:val="Normln"/>
    <w:link w:val="RozloendokumentuChar"/>
    <w:semiHidden/>
    <w:rsid w:val="00A07F2E"/>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A07F2E"/>
    <w:rPr>
      <w:rFonts w:ascii="Tahoma" w:eastAsia="Times New Roman" w:hAnsi="Tahoma" w:cs="Tahoma"/>
      <w:szCs w:val="24"/>
      <w:shd w:val="clear" w:color="auto" w:fill="000080"/>
      <w:lang w:eastAsia="cs-CZ"/>
    </w:rPr>
  </w:style>
  <w:style w:type="paragraph" w:customStyle="1" w:styleId="Zhlavtabulky">
    <w:name w:val="Záhlaví tabulky"/>
    <w:basedOn w:val="Normln"/>
    <w:uiPriority w:val="99"/>
    <w:rsid w:val="00A07F2E"/>
    <w:pPr>
      <w:jc w:val="center"/>
    </w:pPr>
    <w:rPr>
      <w:b/>
    </w:rPr>
  </w:style>
  <w:style w:type="character" w:customStyle="1" w:styleId="Bullet1Char">
    <w:name w:val="Bullet 1 Char"/>
    <w:basedOn w:val="Standardnpsmoodstavce"/>
    <w:link w:val="Bullet1"/>
    <w:uiPriority w:val="99"/>
    <w:rsid w:val="00A07F2E"/>
    <w:rPr>
      <w:rFonts w:ascii="Arial" w:eastAsia="Times New Roman" w:hAnsi="Arial" w:cs="Times New Roman"/>
      <w:szCs w:val="24"/>
      <w:lang w:eastAsia="cs-CZ"/>
    </w:rPr>
  </w:style>
  <w:style w:type="paragraph" w:customStyle="1" w:styleId="Bullet2">
    <w:name w:val="Bullet 2"/>
    <w:basedOn w:val="Normln"/>
    <w:link w:val="Bullet2Char"/>
    <w:rsid w:val="00A07F2E"/>
    <w:pPr>
      <w:numPr>
        <w:numId w:val="12"/>
      </w:numPr>
      <w:tabs>
        <w:tab w:val="clear" w:pos="720"/>
        <w:tab w:val="left" w:pos="851"/>
      </w:tabs>
      <w:ind w:left="851" w:hanging="284"/>
    </w:pPr>
  </w:style>
  <w:style w:type="character" w:customStyle="1" w:styleId="Bullet2Char">
    <w:name w:val="Bullet 2 Char"/>
    <w:basedOn w:val="Standardnpsmoodstavce"/>
    <w:link w:val="Bullet2"/>
    <w:rsid w:val="00A07F2E"/>
    <w:rPr>
      <w:rFonts w:ascii="Arial" w:eastAsia="Times New Roman" w:hAnsi="Arial" w:cs="Times New Roman"/>
      <w:szCs w:val="24"/>
      <w:lang w:eastAsia="cs-CZ"/>
    </w:rPr>
  </w:style>
  <w:style w:type="paragraph" w:styleId="Nzev">
    <w:name w:val="Title"/>
    <w:basedOn w:val="Normln"/>
    <w:next w:val="Normln"/>
    <w:link w:val="NzevChar"/>
    <w:uiPriority w:val="10"/>
    <w:qFormat/>
    <w:rsid w:val="00A07F2E"/>
    <w:pPr>
      <w:spacing w:before="240" w:after="60"/>
      <w:jc w:val="center"/>
      <w:outlineLvl w:val="0"/>
    </w:pPr>
    <w:rPr>
      <w:rFonts w:asciiTheme="majorHAnsi" w:eastAsiaTheme="majorEastAsia" w:hAnsiTheme="majorHAnsi"/>
      <w:b/>
      <w:bCs/>
      <w:kern w:val="28"/>
      <w:sz w:val="32"/>
      <w:szCs w:val="32"/>
      <w:lang w:eastAsia="en-US"/>
    </w:rPr>
  </w:style>
  <w:style w:type="character" w:customStyle="1" w:styleId="NzevChar">
    <w:name w:val="Název Char"/>
    <w:basedOn w:val="Standardnpsmoodstavce"/>
    <w:link w:val="Nzev"/>
    <w:uiPriority w:val="10"/>
    <w:rsid w:val="00A07F2E"/>
    <w:rPr>
      <w:rFonts w:asciiTheme="majorHAnsi" w:eastAsiaTheme="majorEastAsia" w:hAnsiTheme="majorHAnsi" w:cs="Times New Roman"/>
      <w:b/>
      <w:bCs/>
      <w:kern w:val="28"/>
      <w:sz w:val="32"/>
      <w:szCs w:val="32"/>
    </w:rPr>
  </w:style>
  <w:style w:type="character" w:styleId="Siln">
    <w:name w:val="Strong"/>
    <w:basedOn w:val="Standardnpsmoodstavce"/>
    <w:uiPriority w:val="22"/>
    <w:qFormat/>
    <w:rsid w:val="00A07F2E"/>
  </w:style>
  <w:style w:type="character" w:styleId="Zdraznn">
    <w:name w:val="Emphasis"/>
    <w:basedOn w:val="Standardnpsmoodstavce"/>
    <w:uiPriority w:val="20"/>
    <w:qFormat/>
    <w:rsid w:val="00A07F2E"/>
    <w:rPr>
      <w:rFonts w:asciiTheme="minorHAnsi" w:hAnsiTheme="minorHAnsi"/>
      <w:b/>
      <w:i/>
      <w:iCs/>
    </w:rPr>
  </w:style>
  <w:style w:type="paragraph" w:styleId="Bezmezer">
    <w:name w:val="No Spacing"/>
    <w:basedOn w:val="Normln"/>
    <w:uiPriority w:val="1"/>
    <w:qFormat/>
    <w:rsid w:val="00A07F2E"/>
    <w:pPr>
      <w:spacing w:after="0"/>
    </w:pPr>
    <w:rPr>
      <w:rFonts w:asciiTheme="minorHAnsi" w:eastAsiaTheme="minorHAnsi" w:hAnsiTheme="minorHAnsi"/>
      <w:sz w:val="24"/>
      <w:szCs w:val="32"/>
      <w:lang w:eastAsia="en-US"/>
    </w:rPr>
  </w:style>
  <w:style w:type="paragraph" w:styleId="Citt">
    <w:name w:val="Quote"/>
    <w:basedOn w:val="Normln"/>
    <w:next w:val="Normln"/>
    <w:link w:val="CittChar"/>
    <w:uiPriority w:val="29"/>
    <w:qFormat/>
    <w:rsid w:val="00A07F2E"/>
    <w:pPr>
      <w:spacing w:after="0"/>
    </w:pPr>
    <w:rPr>
      <w:rFonts w:asciiTheme="minorHAnsi" w:eastAsiaTheme="minorHAnsi" w:hAnsiTheme="minorHAnsi"/>
      <w:i/>
      <w:sz w:val="24"/>
      <w:lang w:eastAsia="en-US"/>
    </w:rPr>
  </w:style>
  <w:style w:type="character" w:customStyle="1" w:styleId="CittChar">
    <w:name w:val="Citát Char"/>
    <w:basedOn w:val="Standardnpsmoodstavce"/>
    <w:link w:val="Citt"/>
    <w:uiPriority w:val="29"/>
    <w:rsid w:val="00A07F2E"/>
    <w:rPr>
      <w:rFonts w:cs="Times New Roman"/>
      <w:i/>
      <w:sz w:val="24"/>
      <w:szCs w:val="24"/>
    </w:rPr>
  </w:style>
  <w:style w:type="paragraph" w:styleId="Vrazncitt">
    <w:name w:val="Intense Quote"/>
    <w:basedOn w:val="Normln"/>
    <w:next w:val="Normln"/>
    <w:link w:val="VrazncittChar"/>
    <w:uiPriority w:val="30"/>
    <w:qFormat/>
    <w:rsid w:val="00A07F2E"/>
    <w:pPr>
      <w:spacing w:after="0"/>
      <w:ind w:left="720" w:right="720"/>
    </w:pPr>
    <w:rPr>
      <w:rFonts w:asciiTheme="minorHAnsi" w:eastAsiaTheme="minorHAnsi" w:hAnsiTheme="minorHAnsi"/>
      <w:b/>
      <w:i/>
      <w:sz w:val="24"/>
      <w:szCs w:val="22"/>
      <w:lang w:eastAsia="en-US"/>
    </w:rPr>
  </w:style>
  <w:style w:type="character" w:customStyle="1" w:styleId="VrazncittChar">
    <w:name w:val="Výrazný citát Char"/>
    <w:basedOn w:val="Standardnpsmoodstavce"/>
    <w:link w:val="Vrazncitt"/>
    <w:uiPriority w:val="30"/>
    <w:rsid w:val="00A07F2E"/>
    <w:rPr>
      <w:rFonts w:cs="Times New Roman"/>
      <w:b/>
      <w:i/>
      <w:sz w:val="24"/>
    </w:rPr>
  </w:style>
  <w:style w:type="character" w:styleId="Zdraznnjemn">
    <w:name w:val="Subtle Emphasis"/>
    <w:uiPriority w:val="19"/>
    <w:qFormat/>
    <w:rsid w:val="00A07F2E"/>
    <w:rPr>
      <w:i/>
      <w:color w:val="5A5A5A" w:themeColor="text1" w:themeTint="A5"/>
    </w:rPr>
  </w:style>
  <w:style w:type="character" w:styleId="Zdraznnintenzivn">
    <w:name w:val="Intense Emphasis"/>
    <w:basedOn w:val="Standardnpsmoodstavce"/>
    <w:uiPriority w:val="21"/>
    <w:qFormat/>
    <w:rsid w:val="00A07F2E"/>
    <w:rPr>
      <w:b/>
      <w:i/>
      <w:sz w:val="24"/>
      <w:szCs w:val="24"/>
      <w:u w:val="single"/>
    </w:rPr>
  </w:style>
  <w:style w:type="character" w:styleId="Odkazjemn">
    <w:name w:val="Subtle Reference"/>
    <w:basedOn w:val="Standardnpsmoodstavce"/>
    <w:uiPriority w:val="31"/>
    <w:qFormat/>
    <w:rsid w:val="00A07F2E"/>
    <w:rPr>
      <w:sz w:val="24"/>
      <w:szCs w:val="24"/>
      <w:u w:val="single"/>
    </w:rPr>
  </w:style>
  <w:style w:type="character" w:styleId="Odkazintenzivn">
    <w:name w:val="Intense Reference"/>
    <w:basedOn w:val="Standardnpsmoodstavce"/>
    <w:uiPriority w:val="32"/>
    <w:qFormat/>
    <w:rsid w:val="00A07F2E"/>
    <w:rPr>
      <w:b/>
      <w:sz w:val="24"/>
      <w:u w:val="single"/>
    </w:rPr>
  </w:style>
  <w:style w:type="character" w:styleId="Nzevknihy">
    <w:name w:val="Book Title"/>
    <w:basedOn w:val="Standardnpsmoodstavce"/>
    <w:uiPriority w:val="33"/>
    <w:qFormat/>
    <w:rsid w:val="00A07F2E"/>
    <w:rPr>
      <w:rFonts w:asciiTheme="majorHAnsi" w:eastAsiaTheme="majorEastAsia" w:hAnsiTheme="majorHAnsi"/>
      <w:b/>
      <w:i/>
      <w:sz w:val="24"/>
      <w:szCs w:val="24"/>
    </w:rPr>
  </w:style>
  <w:style w:type="paragraph" w:styleId="Nadpisobsahu">
    <w:name w:val="TOC Heading"/>
    <w:basedOn w:val="Nadpis1"/>
    <w:next w:val="Normln"/>
    <w:uiPriority w:val="39"/>
    <w:unhideWhenUsed/>
    <w:qFormat/>
    <w:rsid w:val="00A07F2E"/>
    <w:pPr>
      <w:keepNext w:val="0"/>
      <w:tabs>
        <w:tab w:val="clear" w:pos="567"/>
      </w:tabs>
      <w:spacing w:before="360" w:after="0"/>
      <w:ind w:left="432" w:hanging="432"/>
      <w:outlineLvl w:val="9"/>
    </w:pPr>
    <w:rPr>
      <w:rFonts w:asciiTheme="minorHAnsi" w:eastAsiaTheme="minorHAnsi" w:hAnsiTheme="minorHAnsi" w:cs="Times New Roman"/>
      <w:bCs w:val="0"/>
      <w:kern w:val="0"/>
      <w:szCs w:val="28"/>
      <w:lang w:eastAsia="en-US"/>
    </w:rPr>
  </w:style>
  <w:style w:type="table" w:customStyle="1" w:styleId="Mkatabulky1">
    <w:name w:val="Mřížka tabulky1"/>
    <w:basedOn w:val="Normlntabulka"/>
    <w:next w:val="Mkatabulky"/>
    <w:uiPriority w:val="99"/>
    <w:rsid w:val="00A07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0">
    <w:name w:val="Point 0"/>
    <w:basedOn w:val="Normln"/>
    <w:rsid w:val="00A07F2E"/>
    <w:pPr>
      <w:spacing w:line="360" w:lineRule="auto"/>
      <w:ind w:left="850" w:hanging="850"/>
    </w:pPr>
    <w:rPr>
      <w:rFonts w:ascii="Times New Roman" w:eastAsiaTheme="minorHAnsi" w:hAnsi="Times New Roman"/>
      <w:sz w:val="24"/>
      <w:lang w:eastAsia="en-US"/>
    </w:rPr>
  </w:style>
  <w:style w:type="table" w:customStyle="1" w:styleId="Mkatabulky2">
    <w:name w:val="Mřížka tabulky2"/>
    <w:basedOn w:val="Normlntabulka"/>
    <w:next w:val="Mkatabulky"/>
    <w:uiPriority w:val="39"/>
    <w:rsid w:val="00A07F2E"/>
    <w:pPr>
      <w:spacing w:before="120" w:after="0" w:line="240" w:lineRule="auto"/>
      <w:ind w:left="714" w:hanging="357"/>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07F2E"/>
    <w:pPr>
      <w:spacing w:before="120" w:after="0" w:line="240" w:lineRule="auto"/>
      <w:ind w:left="714" w:hanging="357"/>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2">
    <w:name w:val="Odrážka 2"/>
    <w:basedOn w:val="Bullet2"/>
    <w:link w:val="Odrka2Char"/>
    <w:qFormat/>
    <w:rsid w:val="00A07F2E"/>
  </w:style>
  <w:style w:type="character" w:customStyle="1" w:styleId="Odrka2Char">
    <w:name w:val="Odrážka 2 Char"/>
    <w:basedOn w:val="Bullet2Char"/>
    <w:link w:val="Odrka2"/>
    <w:rsid w:val="00A07F2E"/>
    <w:rPr>
      <w:rFonts w:ascii="Arial" w:eastAsia="Times New Roman" w:hAnsi="Arial" w:cs="Times New Roman"/>
      <w:szCs w:val="24"/>
      <w:lang w:eastAsia="cs-CZ"/>
    </w:rPr>
  </w:style>
  <w:style w:type="table" w:customStyle="1" w:styleId="Mkatabulky4">
    <w:name w:val="Mřížka tabulky4"/>
    <w:basedOn w:val="Normlntabulka"/>
    <w:next w:val="Mkatabulky"/>
    <w:uiPriority w:val="39"/>
    <w:rsid w:val="00A07F2E"/>
    <w:pPr>
      <w:spacing w:after="0" w:line="240" w:lineRule="auto"/>
    </w:pPr>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et2vtabulce">
    <w:name w:val="Bulet2 vtabulce"/>
    <w:basedOn w:val="Bullet1"/>
    <w:uiPriority w:val="99"/>
    <w:qFormat/>
    <w:rsid w:val="00A07F2E"/>
    <w:pPr>
      <w:numPr>
        <w:numId w:val="0"/>
      </w:numPr>
      <w:tabs>
        <w:tab w:val="num" w:pos="709"/>
      </w:tabs>
      <w:spacing w:before="0" w:after="0" w:line="276" w:lineRule="auto"/>
      <w:ind w:left="709" w:hanging="284"/>
      <w:jc w:val="both"/>
    </w:pPr>
    <w:rPr>
      <w:sz w:val="20"/>
      <w:szCs w:val="20"/>
      <w:lang w:eastAsia="en-US"/>
    </w:rPr>
  </w:style>
  <w:style w:type="paragraph" w:styleId="Zkladntext">
    <w:name w:val="Body Text"/>
    <w:basedOn w:val="Normln"/>
    <w:link w:val="ZkladntextChar"/>
    <w:unhideWhenUsed/>
    <w:rsid w:val="00A07F2E"/>
    <w:rPr>
      <w:rFonts w:asciiTheme="minorHAnsi" w:hAnsiTheme="minorHAnsi" w:cstheme="minorHAnsi"/>
      <w:color w:val="000000" w:themeColor="text1"/>
      <w:szCs w:val="20"/>
      <w:lang w:eastAsia="en-GB"/>
    </w:rPr>
  </w:style>
  <w:style w:type="character" w:customStyle="1" w:styleId="ZkladntextChar">
    <w:name w:val="Základní text Char"/>
    <w:basedOn w:val="Standardnpsmoodstavce"/>
    <w:link w:val="Zkladntext"/>
    <w:rsid w:val="00A07F2E"/>
    <w:rPr>
      <w:rFonts w:eastAsia="Times New Roman" w:cstheme="minorHAnsi"/>
      <w:color w:val="000000" w:themeColor="text1"/>
      <w:szCs w:val="20"/>
      <w:lang w:eastAsia="en-GB"/>
    </w:rPr>
  </w:style>
  <w:style w:type="table" w:customStyle="1" w:styleId="Mkatabulky41">
    <w:name w:val="Mřížka tabulky41"/>
    <w:basedOn w:val="Normlntabulka"/>
    <w:next w:val="Mkatabulky"/>
    <w:uiPriority w:val="39"/>
    <w:rsid w:val="00A07F2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A07F2E"/>
    <w:pPr>
      <w:spacing w:before="0" w:after="0"/>
    </w:pPr>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semiHidden/>
    <w:rsid w:val="00A07F2E"/>
    <w:rPr>
      <w:rFonts w:ascii="Calibri" w:hAnsi="Calibri"/>
      <w:szCs w:val="21"/>
    </w:rPr>
  </w:style>
  <w:style w:type="paragraph" w:customStyle="1" w:styleId="offset5">
    <w:name w:val="offset5"/>
    <w:basedOn w:val="Normln"/>
    <w:rsid w:val="00A07F2E"/>
    <w:pPr>
      <w:spacing w:before="100" w:beforeAutospacing="1" w:after="100" w:afterAutospacing="1"/>
    </w:pPr>
    <w:rPr>
      <w:rFonts w:ascii="Times New Roman" w:hAnsi="Times New Roman"/>
      <w:sz w:val="24"/>
    </w:rPr>
  </w:style>
  <w:style w:type="character" w:styleId="PromnnHTML">
    <w:name w:val="HTML Variable"/>
    <w:basedOn w:val="Standardnpsmoodstavce"/>
    <w:uiPriority w:val="99"/>
    <w:semiHidden/>
    <w:unhideWhenUsed/>
    <w:rsid w:val="00A07F2E"/>
    <w:rPr>
      <w:i/>
      <w:iCs/>
    </w:rPr>
  </w:style>
  <w:style w:type="paragraph" w:customStyle="1" w:styleId="TableText">
    <w:name w:val="Table Text"/>
    <w:basedOn w:val="Normln"/>
    <w:rsid w:val="00A07F2E"/>
    <w:pPr>
      <w:spacing w:before="20" w:after="20" w:line="276" w:lineRule="auto"/>
      <w:ind w:left="17" w:right="17"/>
    </w:pPr>
    <w:rPr>
      <w:rFonts w:eastAsia="MS Mincho"/>
      <w:sz w:val="20"/>
      <w:szCs w:val="20"/>
      <w:lang w:eastAsia="en-US"/>
    </w:rPr>
  </w:style>
  <w:style w:type="paragraph" w:customStyle="1" w:styleId="Default">
    <w:name w:val="Default"/>
    <w:rsid w:val="00A07F2E"/>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unhideWhenUsed/>
    <w:rsid w:val="00A07F2E"/>
    <w:pPr>
      <w:spacing w:before="100" w:beforeAutospacing="1" w:after="100" w:afterAutospacing="1"/>
    </w:pPr>
    <w:rPr>
      <w:rFonts w:ascii="Times New Roman" w:hAnsi="Times New Roman"/>
      <w:sz w:val="24"/>
    </w:rPr>
  </w:style>
  <w:style w:type="character" w:customStyle="1" w:styleId="apple-style-span">
    <w:name w:val="apple-style-span"/>
    <w:basedOn w:val="Standardnpsmoodstavce"/>
    <w:rsid w:val="00A07F2E"/>
  </w:style>
  <w:style w:type="paragraph" w:customStyle="1" w:styleId="OdstavecZprava">
    <w:name w:val="Odstavec Zprava"/>
    <w:basedOn w:val="Normln"/>
    <w:rsid w:val="00A07F2E"/>
    <w:pPr>
      <w:spacing w:before="80" w:after="160"/>
      <w:ind w:left="3073" w:hanging="3073"/>
    </w:pPr>
    <w:rPr>
      <w:rFonts w:ascii="Times New Roman" w:hAnsi="Times New Roman"/>
      <w:bCs/>
      <w:sz w:val="24"/>
    </w:rPr>
  </w:style>
  <w:style w:type="paragraph" w:customStyle="1" w:styleId="Normln1">
    <w:name w:val="Normální1"/>
    <w:rsid w:val="00A07F2E"/>
    <w:pPr>
      <w:spacing w:after="160" w:line="259" w:lineRule="auto"/>
    </w:pPr>
    <w:rPr>
      <w:rFonts w:ascii="Calibri" w:eastAsia="Calibri" w:hAnsi="Calibri" w:cs="Calibri"/>
      <w:lang w:eastAsia="cs-CZ"/>
    </w:rPr>
  </w:style>
  <w:style w:type="paragraph" w:customStyle="1" w:styleId="Normln10">
    <w:name w:val="Normální 10"/>
    <w:link w:val="Normln10Char"/>
    <w:uiPriority w:val="99"/>
    <w:rsid w:val="00A07F2E"/>
    <w:pPr>
      <w:suppressAutoHyphens/>
      <w:spacing w:before="100" w:after="0"/>
      <w:jc w:val="both"/>
    </w:pPr>
    <w:rPr>
      <w:rFonts w:ascii="Arial" w:eastAsia="Times New Roman" w:hAnsi="Arial" w:cs="Times New Roman"/>
      <w:sz w:val="20"/>
      <w:szCs w:val="20"/>
      <w:lang w:eastAsia="cs-CZ"/>
    </w:rPr>
  </w:style>
  <w:style w:type="character" w:customStyle="1" w:styleId="Normln10Char">
    <w:name w:val="Normální 10 Char"/>
    <w:link w:val="Normln10"/>
    <w:uiPriority w:val="99"/>
    <w:locked/>
    <w:rsid w:val="00A07F2E"/>
    <w:rPr>
      <w:rFonts w:ascii="Arial" w:eastAsia="Times New Roman" w:hAnsi="Arial" w:cs="Times New Roman"/>
      <w:sz w:val="20"/>
      <w:szCs w:val="20"/>
      <w:lang w:eastAsia="cs-CZ"/>
    </w:rPr>
  </w:style>
  <w:style w:type="paragraph" w:customStyle="1" w:styleId="m-1634214079033462279gmail-msolistparagraph">
    <w:name w:val="m_-1634214079033462279gmail-msolistparagraph"/>
    <w:basedOn w:val="Normln"/>
    <w:rsid w:val="00A07F2E"/>
    <w:pPr>
      <w:spacing w:before="100" w:beforeAutospacing="1" w:after="100" w:afterAutospacing="1"/>
    </w:pPr>
    <w:rPr>
      <w:rFonts w:ascii="Times New Roman" w:hAnsi="Times New Roman"/>
      <w:sz w:val="24"/>
    </w:rPr>
  </w:style>
  <w:style w:type="paragraph" w:styleId="Revize">
    <w:name w:val="Revision"/>
    <w:hidden/>
    <w:uiPriority w:val="99"/>
    <w:semiHidden/>
    <w:rsid w:val="00A07F2E"/>
    <w:pPr>
      <w:spacing w:after="0" w:line="240" w:lineRule="auto"/>
    </w:pPr>
    <w:rPr>
      <w:rFonts w:ascii="Arial" w:eastAsia="Times New Roman" w:hAnsi="Arial" w:cs="Times New Roman"/>
      <w:szCs w:val="24"/>
      <w:lang w:eastAsia="cs-CZ"/>
    </w:rPr>
  </w:style>
  <w:style w:type="paragraph" w:customStyle="1" w:styleId="Bulettabulka2">
    <w:name w:val="Bulet tabulka 2"/>
    <w:basedOn w:val="Bulet2vtabulce"/>
    <w:uiPriority w:val="99"/>
    <w:qFormat/>
    <w:rsid w:val="00575DF0"/>
  </w:style>
  <w:style w:type="paragraph" w:customStyle="1" w:styleId="Table-bulet">
    <w:name w:val="Table - bulet"/>
    <w:basedOn w:val="Odstavecseseznamem"/>
    <w:uiPriority w:val="99"/>
    <w:qFormat/>
    <w:rsid w:val="001530C0"/>
    <w:pPr>
      <w:numPr>
        <w:numId w:val="58"/>
      </w:numPr>
      <w:tabs>
        <w:tab w:val="num" w:pos="360"/>
      </w:tabs>
      <w:spacing w:before="0" w:after="60" w:line="276" w:lineRule="auto"/>
      <w:ind w:left="426" w:hanging="284"/>
      <w:contextualSpacing/>
    </w:pPr>
    <w:rPr>
      <w:rFonts w:ascii="Arial" w:eastAsia="Times New Roman" w:hAnsi="Arial" w:cs="Arial"/>
      <w:sz w:val="20"/>
      <w:lang w:eastAsia="cs-CZ"/>
    </w:rPr>
  </w:style>
  <w:style w:type="character" w:styleId="Sledovanodkaz">
    <w:name w:val="FollowedHyperlink"/>
    <w:basedOn w:val="Standardnpsmoodstavce"/>
    <w:uiPriority w:val="99"/>
    <w:semiHidden/>
    <w:unhideWhenUsed/>
    <w:rsid w:val="009A3B7E"/>
    <w:rPr>
      <w:color w:val="800080" w:themeColor="followedHyperlink"/>
      <w:u w:val="single"/>
    </w:rPr>
  </w:style>
  <w:style w:type="character" w:customStyle="1" w:styleId="st1">
    <w:name w:val="st1"/>
    <w:basedOn w:val="Standardnpsmoodstavce"/>
    <w:rsid w:val="00210AA9"/>
  </w:style>
  <w:style w:type="paragraph" w:styleId="Rejstk1">
    <w:name w:val="index 1"/>
    <w:basedOn w:val="Normln"/>
    <w:next w:val="Normln"/>
    <w:autoRedefine/>
    <w:uiPriority w:val="99"/>
    <w:semiHidden/>
    <w:unhideWhenUsed/>
    <w:rsid w:val="009526AB"/>
    <w:pPr>
      <w:spacing w:before="0" w:after="0"/>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5371">
      <w:bodyDiv w:val="1"/>
      <w:marLeft w:val="0"/>
      <w:marRight w:val="0"/>
      <w:marTop w:val="0"/>
      <w:marBottom w:val="0"/>
      <w:divBdr>
        <w:top w:val="none" w:sz="0" w:space="0" w:color="auto"/>
        <w:left w:val="none" w:sz="0" w:space="0" w:color="auto"/>
        <w:bottom w:val="none" w:sz="0" w:space="0" w:color="auto"/>
        <w:right w:val="none" w:sz="0" w:space="0" w:color="auto"/>
      </w:divBdr>
    </w:div>
    <w:div w:id="66878170">
      <w:bodyDiv w:val="1"/>
      <w:marLeft w:val="0"/>
      <w:marRight w:val="0"/>
      <w:marTop w:val="0"/>
      <w:marBottom w:val="0"/>
      <w:divBdr>
        <w:top w:val="none" w:sz="0" w:space="0" w:color="auto"/>
        <w:left w:val="none" w:sz="0" w:space="0" w:color="auto"/>
        <w:bottom w:val="none" w:sz="0" w:space="0" w:color="auto"/>
        <w:right w:val="none" w:sz="0" w:space="0" w:color="auto"/>
      </w:divBdr>
    </w:div>
    <w:div w:id="121274258">
      <w:bodyDiv w:val="1"/>
      <w:marLeft w:val="0"/>
      <w:marRight w:val="0"/>
      <w:marTop w:val="0"/>
      <w:marBottom w:val="0"/>
      <w:divBdr>
        <w:top w:val="none" w:sz="0" w:space="0" w:color="auto"/>
        <w:left w:val="none" w:sz="0" w:space="0" w:color="auto"/>
        <w:bottom w:val="none" w:sz="0" w:space="0" w:color="auto"/>
        <w:right w:val="none" w:sz="0" w:space="0" w:color="auto"/>
      </w:divBdr>
    </w:div>
    <w:div w:id="131485166">
      <w:bodyDiv w:val="1"/>
      <w:marLeft w:val="0"/>
      <w:marRight w:val="0"/>
      <w:marTop w:val="0"/>
      <w:marBottom w:val="0"/>
      <w:divBdr>
        <w:top w:val="none" w:sz="0" w:space="0" w:color="auto"/>
        <w:left w:val="none" w:sz="0" w:space="0" w:color="auto"/>
        <w:bottom w:val="none" w:sz="0" w:space="0" w:color="auto"/>
        <w:right w:val="none" w:sz="0" w:space="0" w:color="auto"/>
      </w:divBdr>
    </w:div>
    <w:div w:id="199243383">
      <w:bodyDiv w:val="1"/>
      <w:marLeft w:val="0"/>
      <w:marRight w:val="0"/>
      <w:marTop w:val="0"/>
      <w:marBottom w:val="0"/>
      <w:divBdr>
        <w:top w:val="none" w:sz="0" w:space="0" w:color="auto"/>
        <w:left w:val="none" w:sz="0" w:space="0" w:color="auto"/>
        <w:bottom w:val="none" w:sz="0" w:space="0" w:color="auto"/>
        <w:right w:val="none" w:sz="0" w:space="0" w:color="auto"/>
      </w:divBdr>
    </w:div>
    <w:div w:id="314384228">
      <w:bodyDiv w:val="1"/>
      <w:marLeft w:val="0"/>
      <w:marRight w:val="0"/>
      <w:marTop w:val="0"/>
      <w:marBottom w:val="0"/>
      <w:divBdr>
        <w:top w:val="none" w:sz="0" w:space="0" w:color="auto"/>
        <w:left w:val="none" w:sz="0" w:space="0" w:color="auto"/>
        <w:bottom w:val="none" w:sz="0" w:space="0" w:color="auto"/>
        <w:right w:val="none" w:sz="0" w:space="0" w:color="auto"/>
      </w:divBdr>
    </w:div>
    <w:div w:id="316112117">
      <w:bodyDiv w:val="1"/>
      <w:marLeft w:val="0"/>
      <w:marRight w:val="0"/>
      <w:marTop w:val="0"/>
      <w:marBottom w:val="0"/>
      <w:divBdr>
        <w:top w:val="none" w:sz="0" w:space="0" w:color="auto"/>
        <w:left w:val="none" w:sz="0" w:space="0" w:color="auto"/>
        <w:bottom w:val="none" w:sz="0" w:space="0" w:color="auto"/>
        <w:right w:val="none" w:sz="0" w:space="0" w:color="auto"/>
      </w:divBdr>
    </w:div>
    <w:div w:id="329985521">
      <w:bodyDiv w:val="1"/>
      <w:marLeft w:val="0"/>
      <w:marRight w:val="0"/>
      <w:marTop w:val="0"/>
      <w:marBottom w:val="0"/>
      <w:divBdr>
        <w:top w:val="none" w:sz="0" w:space="0" w:color="auto"/>
        <w:left w:val="none" w:sz="0" w:space="0" w:color="auto"/>
        <w:bottom w:val="none" w:sz="0" w:space="0" w:color="auto"/>
        <w:right w:val="none" w:sz="0" w:space="0" w:color="auto"/>
      </w:divBdr>
    </w:div>
    <w:div w:id="331641776">
      <w:bodyDiv w:val="1"/>
      <w:marLeft w:val="0"/>
      <w:marRight w:val="0"/>
      <w:marTop w:val="0"/>
      <w:marBottom w:val="0"/>
      <w:divBdr>
        <w:top w:val="none" w:sz="0" w:space="0" w:color="auto"/>
        <w:left w:val="none" w:sz="0" w:space="0" w:color="auto"/>
        <w:bottom w:val="none" w:sz="0" w:space="0" w:color="auto"/>
        <w:right w:val="none" w:sz="0" w:space="0" w:color="auto"/>
      </w:divBdr>
    </w:div>
    <w:div w:id="392696753">
      <w:bodyDiv w:val="1"/>
      <w:marLeft w:val="0"/>
      <w:marRight w:val="0"/>
      <w:marTop w:val="0"/>
      <w:marBottom w:val="0"/>
      <w:divBdr>
        <w:top w:val="none" w:sz="0" w:space="0" w:color="auto"/>
        <w:left w:val="none" w:sz="0" w:space="0" w:color="auto"/>
        <w:bottom w:val="none" w:sz="0" w:space="0" w:color="auto"/>
        <w:right w:val="none" w:sz="0" w:space="0" w:color="auto"/>
      </w:divBdr>
    </w:div>
    <w:div w:id="556089313">
      <w:bodyDiv w:val="1"/>
      <w:marLeft w:val="0"/>
      <w:marRight w:val="0"/>
      <w:marTop w:val="0"/>
      <w:marBottom w:val="0"/>
      <w:divBdr>
        <w:top w:val="none" w:sz="0" w:space="0" w:color="auto"/>
        <w:left w:val="none" w:sz="0" w:space="0" w:color="auto"/>
        <w:bottom w:val="none" w:sz="0" w:space="0" w:color="auto"/>
        <w:right w:val="none" w:sz="0" w:space="0" w:color="auto"/>
      </w:divBdr>
    </w:div>
    <w:div w:id="596907653">
      <w:bodyDiv w:val="1"/>
      <w:marLeft w:val="0"/>
      <w:marRight w:val="0"/>
      <w:marTop w:val="0"/>
      <w:marBottom w:val="0"/>
      <w:divBdr>
        <w:top w:val="none" w:sz="0" w:space="0" w:color="auto"/>
        <w:left w:val="none" w:sz="0" w:space="0" w:color="auto"/>
        <w:bottom w:val="none" w:sz="0" w:space="0" w:color="auto"/>
        <w:right w:val="none" w:sz="0" w:space="0" w:color="auto"/>
      </w:divBdr>
    </w:div>
    <w:div w:id="722021352">
      <w:bodyDiv w:val="1"/>
      <w:marLeft w:val="0"/>
      <w:marRight w:val="0"/>
      <w:marTop w:val="0"/>
      <w:marBottom w:val="0"/>
      <w:divBdr>
        <w:top w:val="none" w:sz="0" w:space="0" w:color="auto"/>
        <w:left w:val="none" w:sz="0" w:space="0" w:color="auto"/>
        <w:bottom w:val="none" w:sz="0" w:space="0" w:color="auto"/>
        <w:right w:val="none" w:sz="0" w:space="0" w:color="auto"/>
      </w:divBdr>
    </w:div>
    <w:div w:id="775759016">
      <w:bodyDiv w:val="1"/>
      <w:marLeft w:val="0"/>
      <w:marRight w:val="0"/>
      <w:marTop w:val="0"/>
      <w:marBottom w:val="0"/>
      <w:divBdr>
        <w:top w:val="none" w:sz="0" w:space="0" w:color="auto"/>
        <w:left w:val="none" w:sz="0" w:space="0" w:color="auto"/>
        <w:bottom w:val="none" w:sz="0" w:space="0" w:color="auto"/>
        <w:right w:val="none" w:sz="0" w:space="0" w:color="auto"/>
      </w:divBdr>
    </w:div>
    <w:div w:id="788622787">
      <w:bodyDiv w:val="1"/>
      <w:marLeft w:val="0"/>
      <w:marRight w:val="0"/>
      <w:marTop w:val="0"/>
      <w:marBottom w:val="0"/>
      <w:divBdr>
        <w:top w:val="none" w:sz="0" w:space="0" w:color="auto"/>
        <w:left w:val="none" w:sz="0" w:space="0" w:color="auto"/>
        <w:bottom w:val="none" w:sz="0" w:space="0" w:color="auto"/>
        <w:right w:val="none" w:sz="0" w:space="0" w:color="auto"/>
      </w:divBdr>
    </w:div>
    <w:div w:id="808785067">
      <w:bodyDiv w:val="1"/>
      <w:marLeft w:val="0"/>
      <w:marRight w:val="0"/>
      <w:marTop w:val="0"/>
      <w:marBottom w:val="0"/>
      <w:divBdr>
        <w:top w:val="none" w:sz="0" w:space="0" w:color="auto"/>
        <w:left w:val="none" w:sz="0" w:space="0" w:color="auto"/>
        <w:bottom w:val="none" w:sz="0" w:space="0" w:color="auto"/>
        <w:right w:val="none" w:sz="0" w:space="0" w:color="auto"/>
      </w:divBdr>
    </w:div>
    <w:div w:id="819274251">
      <w:bodyDiv w:val="1"/>
      <w:marLeft w:val="0"/>
      <w:marRight w:val="0"/>
      <w:marTop w:val="0"/>
      <w:marBottom w:val="0"/>
      <w:divBdr>
        <w:top w:val="none" w:sz="0" w:space="0" w:color="auto"/>
        <w:left w:val="none" w:sz="0" w:space="0" w:color="auto"/>
        <w:bottom w:val="none" w:sz="0" w:space="0" w:color="auto"/>
        <w:right w:val="none" w:sz="0" w:space="0" w:color="auto"/>
      </w:divBdr>
    </w:div>
    <w:div w:id="849179848">
      <w:bodyDiv w:val="1"/>
      <w:marLeft w:val="0"/>
      <w:marRight w:val="0"/>
      <w:marTop w:val="0"/>
      <w:marBottom w:val="0"/>
      <w:divBdr>
        <w:top w:val="none" w:sz="0" w:space="0" w:color="auto"/>
        <w:left w:val="none" w:sz="0" w:space="0" w:color="auto"/>
        <w:bottom w:val="none" w:sz="0" w:space="0" w:color="auto"/>
        <w:right w:val="none" w:sz="0" w:space="0" w:color="auto"/>
      </w:divBdr>
    </w:div>
    <w:div w:id="873663795">
      <w:bodyDiv w:val="1"/>
      <w:marLeft w:val="0"/>
      <w:marRight w:val="0"/>
      <w:marTop w:val="0"/>
      <w:marBottom w:val="0"/>
      <w:divBdr>
        <w:top w:val="none" w:sz="0" w:space="0" w:color="auto"/>
        <w:left w:val="none" w:sz="0" w:space="0" w:color="auto"/>
        <w:bottom w:val="none" w:sz="0" w:space="0" w:color="auto"/>
        <w:right w:val="none" w:sz="0" w:space="0" w:color="auto"/>
      </w:divBdr>
    </w:div>
    <w:div w:id="951135401">
      <w:bodyDiv w:val="1"/>
      <w:marLeft w:val="0"/>
      <w:marRight w:val="0"/>
      <w:marTop w:val="0"/>
      <w:marBottom w:val="0"/>
      <w:divBdr>
        <w:top w:val="none" w:sz="0" w:space="0" w:color="auto"/>
        <w:left w:val="none" w:sz="0" w:space="0" w:color="auto"/>
        <w:bottom w:val="none" w:sz="0" w:space="0" w:color="auto"/>
        <w:right w:val="none" w:sz="0" w:space="0" w:color="auto"/>
      </w:divBdr>
    </w:div>
    <w:div w:id="977954158">
      <w:bodyDiv w:val="1"/>
      <w:marLeft w:val="0"/>
      <w:marRight w:val="0"/>
      <w:marTop w:val="0"/>
      <w:marBottom w:val="0"/>
      <w:divBdr>
        <w:top w:val="none" w:sz="0" w:space="0" w:color="auto"/>
        <w:left w:val="none" w:sz="0" w:space="0" w:color="auto"/>
        <w:bottom w:val="none" w:sz="0" w:space="0" w:color="auto"/>
        <w:right w:val="none" w:sz="0" w:space="0" w:color="auto"/>
      </w:divBdr>
    </w:div>
    <w:div w:id="999384640">
      <w:bodyDiv w:val="1"/>
      <w:marLeft w:val="0"/>
      <w:marRight w:val="0"/>
      <w:marTop w:val="0"/>
      <w:marBottom w:val="0"/>
      <w:divBdr>
        <w:top w:val="none" w:sz="0" w:space="0" w:color="auto"/>
        <w:left w:val="none" w:sz="0" w:space="0" w:color="auto"/>
        <w:bottom w:val="none" w:sz="0" w:space="0" w:color="auto"/>
        <w:right w:val="none" w:sz="0" w:space="0" w:color="auto"/>
      </w:divBdr>
    </w:div>
    <w:div w:id="1004086586">
      <w:bodyDiv w:val="1"/>
      <w:marLeft w:val="0"/>
      <w:marRight w:val="0"/>
      <w:marTop w:val="0"/>
      <w:marBottom w:val="0"/>
      <w:divBdr>
        <w:top w:val="none" w:sz="0" w:space="0" w:color="auto"/>
        <w:left w:val="none" w:sz="0" w:space="0" w:color="auto"/>
        <w:bottom w:val="none" w:sz="0" w:space="0" w:color="auto"/>
        <w:right w:val="none" w:sz="0" w:space="0" w:color="auto"/>
      </w:divBdr>
    </w:div>
    <w:div w:id="1113791335">
      <w:bodyDiv w:val="1"/>
      <w:marLeft w:val="0"/>
      <w:marRight w:val="0"/>
      <w:marTop w:val="0"/>
      <w:marBottom w:val="0"/>
      <w:divBdr>
        <w:top w:val="none" w:sz="0" w:space="0" w:color="auto"/>
        <w:left w:val="none" w:sz="0" w:space="0" w:color="auto"/>
        <w:bottom w:val="none" w:sz="0" w:space="0" w:color="auto"/>
        <w:right w:val="none" w:sz="0" w:space="0" w:color="auto"/>
      </w:divBdr>
    </w:div>
    <w:div w:id="1211841975">
      <w:bodyDiv w:val="1"/>
      <w:marLeft w:val="0"/>
      <w:marRight w:val="0"/>
      <w:marTop w:val="0"/>
      <w:marBottom w:val="0"/>
      <w:divBdr>
        <w:top w:val="none" w:sz="0" w:space="0" w:color="auto"/>
        <w:left w:val="none" w:sz="0" w:space="0" w:color="auto"/>
        <w:bottom w:val="none" w:sz="0" w:space="0" w:color="auto"/>
        <w:right w:val="none" w:sz="0" w:space="0" w:color="auto"/>
      </w:divBdr>
    </w:div>
    <w:div w:id="1213539115">
      <w:bodyDiv w:val="1"/>
      <w:marLeft w:val="0"/>
      <w:marRight w:val="0"/>
      <w:marTop w:val="0"/>
      <w:marBottom w:val="0"/>
      <w:divBdr>
        <w:top w:val="none" w:sz="0" w:space="0" w:color="auto"/>
        <w:left w:val="none" w:sz="0" w:space="0" w:color="auto"/>
        <w:bottom w:val="none" w:sz="0" w:space="0" w:color="auto"/>
        <w:right w:val="none" w:sz="0" w:space="0" w:color="auto"/>
      </w:divBdr>
    </w:div>
    <w:div w:id="1253859296">
      <w:bodyDiv w:val="1"/>
      <w:marLeft w:val="0"/>
      <w:marRight w:val="0"/>
      <w:marTop w:val="0"/>
      <w:marBottom w:val="0"/>
      <w:divBdr>
        <w:top w:val="none" w:sz="0" w:space="0" w:color="auto"/>
        <w:left w:val="none" w:sz="0" w:space="0" w:color="auto"/>
        <w:bottom w:val="none" w:sz="0" w:space="0" w:color="auto"/>
        <w:right w:val="none" w:sz="0" w:space="0" w:color="auto"/>
      </w:divBdr>
    </w:div>
    <w:div w:id="1279069192">
      <w:bodyDiv w:val="1"/>
      <w:marLeft w:val="0"/>
      <w:marRight w:val="0"/>
      <w:marTop w:val="0"/>
      <w:marBottom w:val="0"/>
      <w:divBdr>
        <w:top w:val="none" w:sz="0" w:space="0" w:color="auto"/>
        <w:left w:val="none" w:sz="0" w:space="0" w:color="auto"/>
        <w:bottom w:val="none" w:sz="0" w:space="0" w:color="auto"/>
        <w:right w:val="none" w:sz="0" w:space="0" w:color="auto"/>
      </w:divBdr>
    </w:div>
    <w:div w:id="1285691502">
      <w:bodyDiv w:val="1"/>
      <w:marLeft w:val="0"/>
      <w:marRight w:val="0"/>
      <w:marTop w:val="0"/>
      <w:marBottom w:val="0"/>
      <w:divBdr>
        <w:top w:val="none" w:sz="0" w:space="0" w:color="auto"/>
        <w:left w:val="none" w:sz="0" w:space="0" w:color="auto"/>
        <w:bottom w:val="none" w:sz="0" w:space="0" w:color="auto"/>
        <w:right w:val="none" w:sz="0" w:space="0" w:color="auto"/>
      </w:divBdr>
    </w:div>
    <w:div w:id="1324774779">
      <w:bodyDiv w:val="1"/>
      <w:marLeft w:val="0"/>
      <w:marRight w:val="0"/>
      <w:marTop w:val="0"/>
      <w:marBottom w:val="0"/>
      <w:divBdr>
        <w:top w:val="none" w:sz="0" w:space="0" w:color="auto"/>
        <w:left w:val="none" w:sz="0" w:space="0" w:color="auto"/>
        <w:bottom w:val="none" w:sz="0" w:space="0" w:color="auto"/>
        <w:right w:val="none" w:sz="0" w:space="0" w:color="auto"/>
      </w:divBdr>
    </w:div>
    <w:div w:id="1411125262">
      <w:bodyDiv w:val="1"/>
      <w:marLeft w:val="0"/>
      <w:marRight w:val="0"/>
      <w:marTop w:val="0"/>
      <w:marBottom w:val="0"/>
      <w:divBdr>
        <w:top w:val="none" w:sz="0" w:space="0" w:color="auto"/>
        <w:left w:val="none" w:sz="0" w:space="0" w:color="auto"/>
        <w:bottom w:val="none" w:sz="0" w:space="0" w:color="auto"/>
        <w:right w:val="none" w:sz="0" w:space="0" w:color="auto"/>
      </w:divBdr>
    </w:div>
    <w:div w:id="1436947165">
      <w:bodyDiv w:val="1"/>
      <w:marLeft w:val="0"/>
      <w:marRight w:val="0"/>
      <w:marTop w:val="0"/>
      <w:marBottom w:val="0"/>
      <w:divBdr>
        <w:top w:val="none" w:sz="0" w:space="0" w:color="auto"/>
        <w:left w:val="none" w:sz="0" w:space="0" w:color="auto"/>
        <w:bottom w:val="none" w:sz="0" w:space="0" w:color="auto"/>
        <w:right w:val="none" w:sz="0" w:space="0" w:color="auto"/>
      </w:divBdr>
    </w:div>
    <w:div w:id="1442214809">
      <w:bodyDiv w:val="1"/>
      <w:marLeft w:val="0"/>
      <w:marRight w:val="0"/>
      <w:marTop w:val="0"/>
      <w:marBottom w:val="0"/>
      <w:divBdr>
        <w:top w:val="none" w:sz="0" w:space="0" w:color="auto"/>
        <w:left w:val="none" w:sz="0" w:space="0" w:color="auto"/>
        <w:bottom w:val="none" w:sz="0" w:space="0" w:color="auto"/>
        <w:right w:val="none" w:sz="0" w:space="0" w:color="auto"/>
      </w:divBdr>
    </w:div>
    <w:div w:id="1458989262">
      <w:bodyDiv w:val="1"/>
      <w:marLeft w:val="0"/>
      <w:marRight w:val="0"/>
      <w:marTop w:val="0"/>
      <w:marBottom w:val="0"/>
      <w:divBdr>
        <w:top w:val="none" w:sz="0" w:space="0" w:color="auto"/>
        <w:left w:val="none" w:sz="0" w:space="0" w:color="auto"/>
        <w:bottom w:val="none" w:sz="0" w:space="0" w:color="auto"/>
        <w:right w:val="none" w:sz="0" w:space="0" w:color="auto"/>
      </w:divBdr>
    </w:div>
    <w:div w:id="1546601158">
      <w:bodyDiv w:val="1"/>
      <w:marLeft w:val="0"/>
      <w:marRight w:val="0"/>
      <w:marTop w:val="0"/>
      <w:marBottom w:val="0"/>
      <w:divBdr>
        <w:top w:val="none" w:sz="0" w:space="0" w:color="auto"/>
        <w:left w:val="none" w:sz="0" w:space="0" w:color="auto"/>
        <w:bottom w:val="none" w:sz="0" w:space="0" w:color="auto"/>
        <w:right w:val="none" w:sz="0" w:space="0" w:color="auto"/>
      </w:divBdr>
    </w:div>
    <w:div w:id="1605115338">
      <w:bodyDiv w:val="1"/>
      <w:marLeft w:val="0"/>
      <w:marRight w:val="0"/>
      <w:marTop w:val="0"/>
      <w:marBottom w:val="0"/>
      <w:divBdr>
        <w:top w:val="none" w:sz="0" w:space="0" w:color="auto"/>
        <w:left w:val="none" w:sz="0" w:space="0" w:color="auto"/>
        <w:bottom w:val="none" w:sz="0" w:space="0" w:color="auto"/>
        <w:right w:val="none" w:sz="0" w:space="0" w:color="auto"/>
      </w:divBdr>
    </w:div>
    <w:div w:id="1666782672">
      <w:bodyDiv w:val="1"/>
      <w:marLeft w:val="0"/>
      <w:marRight w:val="0"/>
      <w:marTop w:val="0"/>
      <w:marBottom w:val="0"/>
      <w:divBdr>
        <w:top w:val="none" w:sz="0" w:space="0" w:color="auto"/>
        <w:left w:val="none" w:sz="0" w:space="0" w:color="auto"/>
        <w:bottom w:val="none" w:sz="0" w:space="0" w:color="auto"/>
        <w:right w:val="none" w:sz="0" w:space="0" w:color="auto"/>
      </w:divBdr>
    </w:div>
    <w:div w:id="1698316112">
      <w:bodyDiv w:val="1"/>
      <w:marLeft w:val="0"/>
      <w:marRight w:val="0"/>
      <w:marTop w:val="0"/>
      <w:marBottom w:val="0"/>
      <w:divBdr>
        <w:top w:val="none" w:sz="0" w:space="0" w:color="auto"/>
        <w:left w:val="none" w:sz="0" w:space="0" w:color="auto"/>
        <w:bottom w:val="none" w:sz="0" w:space="0" w:color="auto"/>
        <w:right w:val="none" w:sz="0" w:space="0" w:color="auto"/>
      </w:divBdr>
    </w:div>
    <w:div w:id="1727292840">
      <w:bodyDiv w:val="1"/>
      <w:marLeft w:val="0"/>
      <w:marRight w:val="0"/>
      <w:marTop w:val="0"/>
      <w:marBottom w:val="0"/>
      <w:divBdr>
        <w:top w:val="none" w:sz="0" w:space="0" w:color="auto"/>
        <w:left w:val="none" w:sz="0" w:space="0" w:color="auto"/>
        <w:bottom w:val="none" w:sz="0" w:space="0" w:color="auto"/>
        <w:right w:val="none" w:sz="0" w:space="0" w:color="auto"/>
      </w:divBdr>
    </w:div>
    <w:div w:id="1777478379">
      <w:bodyDiv w:val="1"/>
      <w:marLeft w:val="0"/>
      <w:marRight w:val="0"/>
      <w:marTop w:val="0"/>
      <w:marBottom w:val="0"/>
      <w:divBdr>
        <w:top w:val="none" w:sz="0" w:space="0" w:color="auto"/>
        <w:left w:val="none" w:sz="0" w:space="0" w:color="auto"/>
        <w:bottom w:val="none" w:sz="0" w:space="0" w:color="auto"/>
        <w:right w:val="none" w:sz="0" w:space="0" w:color="auto"/>
      </w:divBdr>
    </w:div>
    <w:div w:id="1812206909">
      <w:bodyDiv w:val="1"/>
      <w:marLeft w:val="0"/>
      <w:marRight w:val="0"/>
      <w:marTop w:val="0"/>
      <w:marBottom w:val="0"/>
      <w:divBdr>
        <w:top w:val="none" w:sz="0" w:space="0" w:color="auto"/>
        <w:left w:val="none" w:sz="0" w:space="0" w:color="auto"/>
        <w:bottom w:val="none" w:sz="0" w:space="0" w:color="auto"/>
        <w:right w:val="none" w:sz="0" w:space="0" w:color="auto"/>
      </w:divBdr>
    </w:div>
    <w:div w:id="1831828742">
      <w:bodyDiv w:val="1"/>
      <w:marLeft w:val="0"/>
      <w:marRight w:val="0"/>
      <w:marTop w:val="0"/>
      <w:marBottom w:val="0"/>
      <w:divBdr>
        <w:top w:val="none" w:sz="0" w:space="0" w:color="auto"/>
        <w:left w:val="none" w:sz="0" w:space="0" w:color="auto"/>
        <w:bottom w:val="none" w:sz="0" w:space="0" w:color="auto"/>
        <w:right w:val="none" w:sz="0" w:space="0" w:color="auto"/>
      </w:divBdr>
    </w:div>
    <w:div w:id="1844969938">
      <w:bodyDiv w:val="1"/>
      <w:marLeft w:val="0"/>
      <w:marRight w:val="0"/>
      <w:marTop w:val="0"/>
      <w:marBottom w:val="0"/>
      <w:divBdr>
        <w:top w:val="none" w:sz="0" w:space="0" w:color="auto"/>
        <w:left w:val="none" w:sz="0" w:space="0" w:color="auto"/>
        <w:bottom w:val="none" w:sz="0" w:space="0" w:color="auto"/>
        <w:right w:val="none" w:sz="0" w:space="0" w:color="auto"/>
      </w:divBdr>
    </w:div>
    <w:div w:id="1879513314">
      <w:bodyDiv w:val="1"/>
      <w:marLeft w:val="0"/>
      <w:marRight w:val="0"/>
      <w:marTop w:val="0"/>
      <w:marBottom w:val="0"/>
      <w:divBdr>
        <w:top w:val="none" w:sz="0" w:space="0" w:color="auto"/>
        <w:left w:val="none" w:sz="0" w:space="0" w:color="auto"/>
        <w:bottom w:val="none" w:sz="0" w:space="0" w:color="auto"/>
        <w:right w:val="none" w:sz="0" w:space="0" w:color="auto"/>
      </w:divBdr>
    </w:div>
    <w:div w:id="1924802832">
      <w:bodyDiv w:val="1"/>
      <w:marLeft w:val="0"/>
      <w:marRight w:val="0"/>
      <w:marTop w:val="0"/>
      <w:marBottom w:val="0"/>
      <w:divBdr>
        <w:top w:val="none" w:sz="0" w:space="0" w:color="auto"/>
        <w:left w:val="none" w:sz="0" w:space="0" w:color="auto"/>
        <w:bottom w:val="none" w:sz="0" w:space="0" w:color="auto"/>
        <w:right w:val="none" w:sz="0" w:space="0" w:color="auto"/>
      </w:divBdr>
    </w:div>
    <w:div w:id="2032489020">
      <w:bodyDiv w:val="1"/>
      <w:marLeft w:val="0"/>
      <w:marRight w:val="0"/>
      <w:marTop w:val="0"/>
      <w:marBottom w:val="0"/>
      <w:divBdr>
        <w:top w:val="none" w:sz="0" w:space="0" w:color="auto"/>
        <w:left w:val="none" w:sz="0" w:space="0" w:color="auto"/>
        <w:bottom w:val="none" w:sz="0" w:space="0" w:color="auto"/>
        <w:right w:val="none" w:sz="0" w:space="0" w:color="auto"/>
      </w:divBdr>
    </w:div>
    <w:div w:id="2105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hart" Target="charts/chart5.xm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4.xml"/><Relationship Id="rId25" Type="http://schemas.openxmlformats.org/officeDocument/2006/relationships/image" Target="media/image6.emf"/><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yperlink" Target="file:///O:\31320\Trkanova\aktualizace%20NAP%20CM\do%20meziresortu\p&#345;ipom&#237;nky\Do%20vl&#225;dy\III%20NAP%20CM%202019.docx" TargetMode="Externa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eader" Target="header2.xml"/><Relationship Id="rId28" Type="http://schemas.openxmlformats.org/officeDocument/2006/relationships/image" Target="media/image9.emf"/><Relationship Id="rId36"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chart" Target="charts/chart6.xml"/><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chart" Target="charts/chart7.xml"/><Relationship Id="rId27" Type="http://schemas.openxmlformats.org/officeDocument/2006/relationships/image" Target="media/image8.emf"/><Relationship Id="rId30" Type="http://schemas.openxmlformats.org/officeDocument/2006/relationships/footer" Target="footer4.xm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Jandova\Studie%20M&#381;P\Studie_M&#381;P_2018\data_2018.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oleObject" Target="file:///\\frhome\data$\31300\31320\Vo&#345;&#237;&#353;ek\NAP%20CM%20informace%20pro%20EK\predikce.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List_aplikace_Microsoft_Excel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List_aplikace_Microsoft_Excel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List_aplikace_Microsoft_Excel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List_aplikace_Microsoft_Excel4.xlsx"/></Relationships>
</file>

<file path=word/charts/_rels/chart7.xml.rels><?xml version="1.0" encoding="UTF-8" standalone="yes"?>
<Relationships xmlns="http://schemas.openxmlformats.org/package/2006/relationships"><Relationship Id="rId3" Type="http://schemas.openxmlformats.org/officeDocument/2006/relationships/oleObject" Target="file:///\\frhome\data$\31300\31320\Vo&#345;&#237;&#353;ek\NAP%20CM%20informace%20pro%20EK\predikc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0" i="0" u="none" strike="noStrike" baseline="0">
                <a:solidFill>
                  <a:srgbClr val="000000"/>
                </a:solidFill>
                <a:latin typeface="Arial"/>
                <a:ea typeface="Arial"/>
                <a:cs typeface="Arial"/>
              </a:defRPr>
            </a:pPr>
            <a:r>
              <a:rPr lang="cs-CZ" sz="900" b="0" i="0" u="none" strike="noStrike" baseline="0">
                <a:solidFill>
                  <a:srgbClr val="000000"/>
                </a:solidFill>
                <a:latin typeface="Arial"/>
                <a:cs typeface="Arial"/>
              </a:rPr>
              <a:t>Produkce CO</a:t>
            </a:r>
            <a:r>
              <a:rPr lang="cs-CZ" sz="900" b="0" i="0" u="none" strike="noStrike" baseline="-25000">
                <a:solidFill>
                  <a:srgbClr val="000000"/>
                </a:solidFill>
                <a:latin typeface="Arial"/>
                <a:cs typeface="Arial"/>
              </a:rPr>
              <a:t>2</a:t>
            </a:r>
            <a:r>
              <a:rPr lang="cs-CZ" sz="900" b="0" i="0" u="none" strike="noStrike" baseline="0">
                <a:solidFill>
                  <a:srgbClr val="000000"/>
                </a:solidFill>
                <a:latin typeface="Arial"/>
                <a:cs typeface="Arial"/>
              </a:rPr>
              <a:t> jednotlivými druhy dopravy </a:t>
            </a:r>
          </a:p>
          <a:p>
            <a:pPr>
              <a:defRPr sz="900" b="0" i="0" u="none" strike="noStrike" baseline="0">
                <a:solidFill>
                  <a:srgbClr val="000000"/>
                </a:solidFill>
                <a:latin typeface="Arial"/>
                <a:ea typeface="Arial"/>
                <a:cs typeface="Arial"/>
              </a:defRPr>
            </a:pPr>
            <a:r>
              <a:rPr lang="cs-CZ" sz="900" b="0" i="0" u="none" strike="noStrike" baseline="0">
                <a:solidFill>
                  <a:srgbClr val="000000"/>
                </a:solidFill>
                <a:latin typeface="Arial"/>
                <a:cs typeface="Arial"/>
              </a:rPr>
              <a:t> </a:t>
            </a:r>
            <a:r>
              <a:rPr lang="cs-CZ" sz="900" b="0" i="1" u="none" strike="noStrike" baseline="0">
                <a:solidFill>
                  <a:srgbClr val="000000"/>
                </a:solidFill>
                <a:latin typeface="Arial"/>
                <a:cs typeface="Arial"/>
              </a:rPr>
              <a:t> </a:t>
            </a:r>
          </a:p>
        </c:rich>
      </c:tx>
      <c:layout>
        <c:manualLayout>
          <c:xMode val="edge"/>
          <c:yMode val="edge"/>
          <c:x val="0.27205856999833783"/>
          <c:y val="3.1531531531531529E-2"/>
        </c:manualLayout>
      </c:layout>
      <c:overlay val="0"/>
      <c:spPr>
        <a:noFill/>
        <a:ln w="25400">
          <a:noFill/>
        </a:ln>
      </c:spPr>
    </c:title>
    <c:autoTitleDeleted val="0"/>
    <c:plotArea>
      <c:layout>
        <c:manualLayout>
          <c:layoutTarget val="inner"/>
          <c:xMode val="edge"/>
          <c:yMode val="edge"/>
          <c:x val="8.5440299344025292E-2"/>
          <c:y val="0.11855147684004289"/>
          <c:w val="0.67812761459425075"/>
          <c:h val="0.77338656611585521"/>
        </c:manualLayout>
      </c:layout>
      <c:lineChart>
        <c:grouping val="standard"/>
        <c:varyColors val="0"/>
        <c:ser>
          <c:idx val="0"/>
          <c:order val="0"/>
          <c:tx>
            <c:strRef>
              <c:f>'CO2'!$A$7</c:f>
              <c:strCache>
                <c:ptCount val="1"/>
                <c:pt idx="0">
                  <c:v>IAD</c:v>
                </c:pt>
              </c:strCache>
            </c:strRef>
          </c:tx>
          <c:spPr>
            <a:ln w="12700">
              <a:solidFill>
                <a:srgbClr val="FF6600"/>
              </a:solidFill>
              <a:prstDash val="solid"/>
            </a:ln>
          </c:spPr>
          <c:marker>
            <c:symbol val="diamond"/>
            <c:size val="3"/>
            <c:spPr>
              <a:solidFill>
                <a:srgbClr val="FF6600"/>
              </a:solidFill>
              <a:ln>
                <a:solidFill>
                  <a:srgbClr val="FF6600"/>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('CO2'!$E$7:$V$7,'CO2'!$W$7:$AC$7)</c:f>
              <c:numCache>
                <c:formatCode>#,##0</c:formatCode>
                <c:ptCount val="25"/>
                <c:pt idx="0">
                  <c:v>4656.7522370801998</c:v>
                </c:pt>
                <c:pt idx="1">
                  <c:v>5346.9173716799996</c:v>
                </c:pt>
                <c:pt idx="2">
                  <c:v>5640.5189747163204</c:v>
                </c:pt>
                <c:pt idx="3">
                  <c:v>6353.0370707411503</c:v>
                </c:pt>
                <c:pt idx="4">
                  <c:v>6445.1969452457497</c:v>
                </c:pt>
                <c:pt idx="5">
                  <c:v>6518.99561966895</c:v>
                </c:pt>
                <c:pt idx="6">
                  <c:v>7163.8930334459101</c:v>
                </c:pt>
                <c:pt idx="7">
                  <c:v>7134.0730475566897</c:v>
                </c:pt>
                <c:pt idx="8">
                  <c:v>7476.48483333267</c:v>
                </c:pt>
                <c:pt idx="9">
                  <c:v>7781.3725990397897</c:v>
                </c:pt>
                <c:pt idx="10">
                  <c:v>8757.0306292702408</c:v>
                </c:pt>
                <c:pt idx="11">
                  <c:v>9042.7163337573002</c:v>
                </c:pt>
                <c:pt idx="12">
                  <c:v>9485.0300575496694</c:v>
                </c:pt>
                <c:pt idx="13">
                  <c:v>9816.6104463245501</c:v>
                </c:pt>
                <c:pt idx="14">
                  <c:v>10463.332199066201</c:v>
                </c:pt>
                <c:pt idx="15">
                  <c:v>10599.915441900201</c:v>
                </c:pt>
                <c:pt idx="16">
                  <c:v>10600.0930086813</c:v>
                </c:pt>
                <c:pt idx="17">
                  <c:v>10076.4632360714</c:v>
                </c:pt>
                <c:pt idx="18">
                  <c:v>10102.445834968201</c:v>
                </c:pt>
                <c:pt idx="19">
                  <c:v>9930.7667985098997</c:v>
                </c:pt>
                <c:pt idx="20">
                  <c:v>9818.0285833971902</c:v>
                </c:pt>
                <c:pt idx="21">
                  <c:v>10212.4541625359</c:v>
                </c:pt>
                <c:pt idx="22">
                  <c:v>10661.8480908331</c:v>
                </c:pt>
                <c:pt idx="23">
                  <c:v>11141.185959160101</c:v>
                </c:pt>
                <c:pt idx="24">
                  <c:v>11330.8016086516</c:v>
                </c:pt>
              </c:numCache>
            </c:numRef>
          </c:val>
          <c:smooth val="0"/>
          <c:extLst xmlns:c16r2="http://schemas.microsoft.com/office/drawing/2015/06/chart">
            <c:ext xmlns:c16="http://schemas.microsoft.com/office/drawing/2014/chart" uri="{C3380CC4-5D6E-409C-BE32-E72D297353CC}">
              <c16:uniqueId val="{00000000-FA15-451C-82F8-3A56D6144C32}"/>
            </c:ext>
          </c:extLst>
        </c:ser>
        <c:ser>
          <c:idx val="1"/>
          <c:order val="1"/>
          <c:tx>
            <c:strRef>
              <c:f>'CO2'!$A$8</c:f>
              <c:strCache>
                <c:ptCount val="1"/>
                <c:pt idx="0">
                  <c:v>Car transport</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'CO2'!$E$8:$T$8</c:f>
              <c:numCache>
                <c:formatCode>General</c:formatCode>
                <c:ptCount val="16"/>
              </c:numCache>
            </c:numRef>
          </c:val>
          <c:smooth val="0"/>
          <c:extLst xmlns:c16r2="http://schemas.microsoft.com/office/drawing/2015/06/chart">
            <c:ext xmlns:c16="http://schemas.microsoft.com/office/drawing/2014/chart" uri="{C3380CC4-5D6E-409C-BE32-E72D297353CC}">
              <c16:uniqueId val="{00000001-FA15-451C-82F8-3A56D6144C32}"/>
            </c:ext>
          </c:extLst>
        </c:ser>
        <c:ser>
          <c:idx val="2"/>
          <c:order val="2"/>
          <c:tx>
            <c:strRef>
              <c:f>'CO2'!$A$9</c:f>
              <c:strCache>
                <c:ptCount val="1"/>
                <c:pt idx="0">
                  <c:v>Silniční veřejná </c:v>
                </c:pt>
              </c:strCache>
            </c:strRef>
          </c:tx>
          <c:spPr>
            <a:ln w="12700">
              <a:solidFill>
                <a:srgbClr val="FF00FF"/>
              </a:solidFill>
              <a:prstDash val="solid"/>
            </a:ln>
          </c:spPr>
          <c:marker>
            <c:symbol val="square"/>
            <c:size val="3"/>
            <c:spPr>
              <a:solidFill>
                <a:srgbClr val="FF00FF"/>
              </a:solidFill>
              <a:ln>
                <a:solidFill>
                  <a:srgbClr val="FF00FF"/>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('CO2'!$E$9:$V$9,'CO2'!$W$9:$AC$9)</c:f>
              <c:numCache>
                <c:formatCode>#,##0</c:formatCode>
                <c:ptCount val="25"/>
                <c:pt idx="0">
                  <c:v>707.515296172018</c:v>
                </c:pt>
                <c:pt idx="1">
                  <c:v>737.74933260403498</c:v>
                </c:pt>
                <c:pt idx="2">
                  <c:v>801.314441346546</c:v>
                </c:pt>
                <c:pt idx="3">
                  <c:v>862.44758504869299</c:v>
                </c:pt>
                <c:pt idx="4">
                  <c:v>882.44000102526502</c:v>
                </c:pt>
                <c:pt idx="5">
                  <c:v>927.39190892532497</c:v>
                </c:pt>
                <c:pt idx="6">
                  <c:v>1089.1827703451099</c:v>
                </c:pt>
                <c:pt idx="7">
                  <c:v>1154.1929127956901</c:v>
                </c:pt>
                <c:pt idx="8">
                  <c:v>1243.8428352057899</c:v>
                </c:pt>
                <c:pt idx="9">
                  <c:v>1342.2471210700601</c:v>
                </c:pt>
                <c:pt idx="10">
                  <c:v>1543.84268148312</c:v>
                </c:pt>
                <c:pt idx="11">
                  <c:v>1631.4014940795</c:v>
                </c:pt>
                <c:pt idx="12">
                  <c:v>1830.06424462107</c:v>
                </c:pt>
                <c:pt idx="13">
                  <c:v>1921.0911175030401</c:v>
                </c:pt>
                <c:pt idx="14">
                  <c:v>1992.0989615496601</c:v>
                </c:pt>
                <c:pt idx="15">
                  <c:v>1965.0461909358401</c:v>
                </c:pt>
                <c:pt idx="16">
                  <c:v>1896.5750100062</c:v>
                </c:pt>
                <c:pt idx="17">
                  <c:v>1804.6427192112301</c:v>
                </c:pt>
                <c:pt idx="18">
                  <c:v>1809.1782634271499</c:v>
                </c:pt>
                <c:pt idx="19">
                  <c:v>1779.8310501828</c:v>
                </c:pt>
                <c:pt idx="20">
                  <c:v>1783.9985920966501</c:v>
                </c:pt>
                <c:pt idx="21">
                  <c:v>1853.51903961678</c:v>
                </c:pt>
                <c:pt idx="22">
                  <c:v>1930.96879284076</c:v>
                </c:pt>
                <c:pt idx="23">
                  <c:v>1996.3913997462901</c:v>
                </c:pt>
                <c:pt idx="24">
                  <c:v>2075.2651171849002</c:v>
                </c:pt>
              </c:numCache>
            </c:numRef>
          </c:val>
          <c:smooth val="0"/>
          <c:extLst xmlns:c16r2="http://schemas.microsoft.com/office/drawing/2015/06/chart">
            <c:ext xmlns:c16="http://schemas.microsoft.com/office/drawing/2014/chart" uri="{C3380CC4-5D6E-409C-BE32-E72D297353CC}">
              <c16:uniqueId val="{00000002-FA15-451C-82F8-3A56D6144C32}"/>
            </c:ext>
          </c:extLst>
        </c:ser>
        <c:ser>
          <c:idx val="3"/>
          <c:order val="3"/>
          <c:tx>
            <c:strRef>
              <c:f>'CO2'!$A$10</c:f>
              <c:strCache>
                <c:ptCount val="1"/>
                <c:pt idx="0">
                  <c:v>Public road</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'CO2'!$E$10:$U$10</c:f>
              <c:numCache>
                <c:formatCode>General</c:formatCode>
                <c:ptCount val="17"/>
              </c:numCache>
            </c:numRef>
          </c:val>
          <c:smooth val="0"/>
          <c:extLst xmlns:c16r2="http://schemas.microsoft.com/office/drawing/2015/06/chart">
            <c:ext xmlns:c16="http://schemas.microsoft.com/office/drawing/2014/chart" uri="{C3380CC4-5D6E-409C-BE32-E72D297353CC}">
              <c16:uniqueId val="{00000003-FA15-451C-82F8-3A56D6144C32}"/>
            </c:ext>
          </c:extLst>
        </c:ser>
        <c:ser>
          <c:idx val="4"/>
          <c:order val="4"/>
          <c:tx>
            <c:strRef>
              <c:f>'CO2'!$A$11</c:f>
              <c:strCache>
                <c:ptCount val="1"/>
                <c:pt idx="0">
                  <c:v>Silniční nákladní</c:v>
                </c:pt>
              </c:strCache>
            </c:strRef>
          </c:tx>
          <c:spPr>
            <a:ln w="12700">
              <a:solidFill>
                <a:srgbClr val="003300"/>
              </a:solidFill>
              <a:prstDash val="solid"/>
            </a:ln>
          </c:spPr>
          <c:marker>
            <c:symbol val="triangle"/>
            <c:size val="3"/>
            <c:spPr>
              <a:solidFill>
                <a:srgbClr val="003300"/>
              </a:solidFill>
              <a:ln>
                <a:solidFill>
                  <a:srgbClr val="003300"/>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('CO2'!$E$11:$V$11,'CO2'!$W$11:$AC$11)</c:f>
              <c:numCache>
                <c:formatCode>#,##0</c:formatCode>
                <c:ptCount val="25"/>
                <c:pt idx="0">
                  <c:v>1950.5677143574501</c:v>
                </c:pt>
                <c:pt idx="1">
                  <c:v>2022.96223525509</c:v>
                </c:pt>
                <c:pt idx="2">
                  <c:v>2189.2275893331998</c:v>
                </c:pt>
                <c:pt idx="3">
                  <c:v>2353.65683254431</c:v>
                </c:pt>
                <c:pt idx="4">
                  <c:v>2400.4834398637399</c:v>
                </c:pt>
                <c:pt idx="5">
                  <c:v>2522.5201370361801</c:v>
                </c:pt>
                <c:pt idx="6">
                  <c:v>2963.54862655744</c:v>
                </c:pt>
                <c:pt idx="7">
                  <c:v>3131.9379525853501</c:v>
                </c:pt>
                <c:pt idx="8">
                  <c:v>3390.44077792295</c:v>
                </c:pt>
                <c:pt idx="9">
                  <c:v>3628.9255475792702</c:v>
                </c:pt>
                <c:pt idx="10">
                  <c:v>4191.13010838638</c:v>
                </c:pt>
                <c:pt idx="11">
                  <c:v>4467.4575929427001</c:v>
                </c:pt>
                <c:pt idx="12">
                  <c:v>5036.4039882351399</c:v>
                </c:pt>
                <c:pt idx="13">
                  <c:v>5279.4178266771696</c:v>
                </c:pt>
                <c:pt idx="14">
                  <c:v>5464.7719730011604</c:v>
                </c:pt>
                <c:pt idx="15">
                  <c:v>5407.8516109315897</c:v>
                </c:pt>
                <c:pt idx="16">
                  <c:v>5217.0658615192096</c:v>
                </c:pt>
                <c:pt idx="17">
                  <c:v>4963.4481318501603</c:v>
                </c:pt>
                <c:pt idx="18">
                  <c:v>4975.0879430945097</c:v>
                </c:pt>
                <c:pt idx="19">
                  <c:v>4892.5590743165503</c:v>
                </c:pt>
                <c:pt idx="20">
                  <c:v>4898.9839542831896</c:v>
                </c:pt>
                <c:pt idx="21">
                  <c:v>5079.3109108379804</c:v>
                </c:pt>
                <c:pt idx="22">
                  <c:v>5271.6691069020198</c:v>
                </c:pt>
                <c:pt idx="23">
                  <c:v>5432.6310008009204</c:v>
                </c:pt>
                <c:pt idx="24">
                  <c:v>5640.8046117285003</c:v>
                </c:pt>
              </c:numCache>
            </c:numRef>
          </c:val>
          <c:smooth val="0"/>
          <c:extLst xmlns:c16r2="http://schemas.microsoft.com/office/drawing/2015/06/chart">
            <c:ext xmlns:c16="http://schemas.microsoft.com/office/drawing/2014/chart" uri="{C3380CC4-5D6E-409C-BE32-E72D297353CC}">
              <c16:uniqueId val="{00000004-FA15-451C-82F8-3A56D6144C32}"/>
            </c:ext>
          </c:extLst>
        </c:ser>
        <c:ser>
          <c:idx val="5"/>
          <c:order val="5"/>
          <c:tx>
            <c:strRef>
              <c:f>'CO2'!$A$12</c:f>
              <c:strCache>
                <c:ptCount val="1"/>
                <c:pt idx="0">
                  <c:v>Road freight</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'CO2'!$E$12:$T$12</c:f>
              <c:numCache>
                <c:formatCode>General</c:formatCode>
                <c:ptCount val="16"/>
              </c:numCache>
            </c:numRef>
          </c:val>
          <c:smooth val="0"/>
          <c:extLst xmlns:c16r2="http://schemas.microsoft.com/office/drawing/2015/06/chart">
            <c:ext xmlns:c16="http://schemas.microsoft.com/office/drawing/2014/chart" uri="{C3380CC4-5D6E-409C-BE32-E72D297353CC}">
              <c16:uniqueId val="{00000005-FA15-451C-82F8-3A56D6144C32}"/>
            </c:ext>
          </c:extLst>
        </c:ser>
        <c:ser>
          <c:idx val="7"/>
          <c:order val="6"/>
          <c:tx>
            <c:strRef>
              <c:f>'CO2'!$A$13</c:f>
              <c:strCache>
                <c:ptCount val="1"/>
                <c:pt idx="0">
                  <c:v>MHD autobusy</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'CO2'!$E$13:$U$13</c:f>
              <c:numCache>
                <c:formatCode>#,##0</c:formatCode>
                <c:ptCount val="17"/>
                <c:pt idx="0">
                  <c:v>406</c:v>
                </c:pt>
                <c:pt idx="1">
                  <c:v>355</c:v>
                </c:pt>
                <c:pt idx="2">
                  <c:v>441</c:v>
                </c:pt>
                <c:pt idx="3">
                  <c:v>539</c:v>
                </c:pt>
                <c:pt idx="4">
                  <c:v>544</c:v>
                </c:pt>
                <c:pt idx="5">
                  <c:v>576</c:v>
                </c:pt>
                <c:pt idx="6">
                  <c:v>584</c:v>
                </c:pt>
              </c:numCache>
            </c:numRef>
          </c:val>
          <c:smooth val="0"/>
          <c:extLst xmlns:c16r2="http://schemas.microsoft.com/office/drawing/2015/06/chart">
            <c:ext xmlns:c16="http://schemas.microsoft.com/office/drawing/2014/chart" uri="{C3380CC4-5D6E-409C-BE32-E72D297353CC}">
              <c16:uniqueId val="{00000006-FA15-451C-82F8-3A56D6144C32}"/>
            </c:ext>
          </c:extLst>
        </c:ser>
        <c:ser>
          <c:idx val="8"/>
          <c:order val="7"/>
          <c:tx>
            <c:strRef>
              <c:f>'CO2'!$A$14</c:f>
              <c:strCache>
                <c:ptCount val="1"/>
                <c:pt idx="0">
                  <c:v>Urban buses</c:v>
                </c:pt>
              </c:strCache>
            </c:strRef>
          </c:tx>
          <c:spPr>
            <a:ln w="12700">
              <a:solidFill>
                <a:srgbClr val="FFFF00"/>
              </a:solidFill>
              <a:prstDash val="solid"/>
            </a:ln>
          </c:spPr>
          <c:marker>
            <c:symbol val="triangle"/>
            <c:size val="3"/>
            <c:spPr>
              <a:solidFill>
                <a:srgbClr val="FFFF00"/>
              </a:solidFill>
              <a:ln>
                <a:solidFill>
                  <a:srgbClr val="FFFF00"/>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'CO2'!$E$14:$T$14</c:f>
              <c:numCache>
                <c:formatCode>General</c:formatCode>
                <c:ptCount val="16"/>
              </c:numCache>
            </c:numRef>
          </c:val>
          <c:smooth val="0"/>
          <c:extLst xmlns:c16r2="http://schemas.microsoft.com/office/drawing/2015/06/chart">
            <c:ext xmlns:c16="http://schemas.microsoft.com/office/drawing/2014/chart" uri="{C3380CC4-5D6E-409C-BE32-E72D297353CC}">
              <c16:uniqueId val="{00000007-FA15-451C-82F8-3A56D6144C32}"/>
            </c:ext>
          </c:extLst>
        </c:ser>
        <c:ser>
          <c:idx val="9"/>
          <c:order val="8"/>
          <c:tx>
            <c:strRef>
              <c:f>'CO2'!$A$15</c:f>
              <c:strCache>
                <c:ptCount val="1"/>
                <c:pt idx="0">
                  <c:v>Železniční motor.trakce</c:v>
                </c:pt>
              </c:strCache>
            </c:strRef>
          </c:tx>
          <c:spPr>
            <a:ln w="3175">
              <a:solidFill>
                <a:srgbClr val="0000FF"/>
              </a:solidFill>
              <a:prstDash val="solid"/>
            </a:ln>
          </c:spPr>
          <c:marker>
            <c:symbol val="x"/>
            <c:size val="3"/>
            <c:spPr>
              <a:solidFill>
                <a:srgbClr val="FFFFFF"/>
              </a:solidFill>
              <a:ln>
                <a:solidFill>
                  <a:srgbClr val="0000FF"/>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('CO2'!$E$15:$V$15,'CO2'!$W$15:$AC$15)</c:f>
              <c:numCache>
                <c:formatCode>#,##0</c:formatCode>
                <c:ptCount val="25"/>
                <c:pt idx="0">
                  <c:v>415.25639999999999</c:v>
                </c:pt>
                <c:pt idx="1">
                  <c:v>334.7097</c:v>
                </c:pt>
                <c:pt idx="2">
                  <c:v>333.89460000000003</c:v>
                </c:pt>
                <c:pt idx="3">
                  <c:v>329.22629999999998</c:v>
                </c:pt>
                <c:pt idx="4">
                  <c:v>283.06200000000001</c:v>
                </c:pt>
                <c:pt idx="5">
                  <c:v>356.32578150000001</c:v>
                </c:pt>
                <c:pt idx="6">
                  <c:v>332.11842300000001</c:v>
                </c:pt>
                <c:pt idx="7">
                  <c:v>328.99392239999997</c:v>
                </c:pt>
                <c:pt idx="8">
                  <c:v>301.30838399999999</c:v>
                </c:pt>
                <c:pt idx="9">
                  <c:v>292.12887599999999</c:v>
                </c:pt>
                <c:pt idx="10">
                  <c:v>285.83837879999999</c:v>
                </c:pt>
                <c:pt idx="11">
                  <c:v>282.35382629999998</c:v>
                </c:pt>
                <c:pt idx="12">
                  <c:v>285.1566588</c:v>
                </c:pt>
                <c:pt idx="13">
                  <c:v>304.3126944</c:v>
                </c:pt>
                <c:pt idx="14">
                  <c:v>300.93158549999998</c:v>
                </c:pt>
                <c:pt idx="15">
                  <c:v>333.55003499999998</c:v>
                </c:pt>
                <c:pt idx="16">
                  <c:v>302.52955200000002</c:v>
                </c:pt>
                <c:pt idx="17">
                  <c:v>293.39183639999999</c:v>
                </c:pt>
                <c:pt idx="18">
                  <c:v>286.666965</c:v>
                </c:pt>
                <c:pt idx="19">
                  <c:v>276.93733859999998</c:v>
                </c:pt>
                <c:pt idx="20">
                  <c:v>270.59615700000001</c:v>
                </c:pt>
                <c:pt idx="21">
                  <c:v>273.96444659999997</c:v>
                </c:pt>
                <c:pt idx="22">
                  <c:v>264.11233290000001</c:v>
                </c:pt>
                <c:pt idx="23">
                  <c:v>270.56466449999999</c:v>
                </c:pt>
                <c:pt idx="24">
                  <c:v>270.56466449999999</c:v>
                </c:pt>
              </c:numCache>
            </c:numRef>
          </c:val>
          <c:smooth val="0"/>
          <c:extLst xmlns:c16r2="http://schemas.microsoft.com/office/drawing/2015/06/chart">
            <c:ext xmlns:c16="http://schemas.microsoft.com/office/drawing/2014/chart" uri="{C3380CC4-5D6E-409C-BE32-E72D297353CC}">
              <c16:uniqueId val="{00000008-FA15-451C-82F8-3A56D6144C32}"/>
            </c:ext>
          </c:extLst>
        </c:ser>
        <c:ser>
          <c:idx val="10"/>
          <c:order val="9"/>
          <c:tx>
            <c:strRef>
              <c:f>'CO2'!$A$16</c:f>
              <c:strCache>
                <c:ptCount val="1"/>
                <c:pt idx="0">
                  <c:v>Railway motor traction</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'CO2'!$E$15:$V$15</c:f>
              <c:numCache>
                <c:formatCode>#,##0</c:formatCode>
                <c:ptCount val="18"/>
                <c:pt idx="0">
                  <c:v>415.25639999999999</c:v>
                </c:pt>
                <c:pt idx="1">
                  <c:v>334.7097</c:v>
                </c:pt>
                <c:pt idx="2">
                  <c:v>333.89460000000003</c:v>
                </c:pt>
                <c:pt idx="3">
                  <c:v>329.22629999999998</c:v>
                </c:pt>
                <c:pt idx="4">
                  <c:v>283.06200000000001</c:v>
                </c:pt>
                <c:pt idx="5">
                  <c:v>356.32578150000001</c:v>
                </c:pt>
                <c:pt idx="6">
                  <c:v>332.11842300000001</c:v>
                </c:pt>
                <c:pt idx="7">
                  <c:v>328.99392239999997</c:v>
                </c:pt>
                <c:pt idx="8">
                  <c:v>301.30838399999999</c:v>
                </c:pt>
                <c:pt idx="9">
                  <c:v>292.12887599999999</c:v>
                </c:pt>
                <c:pt idx="10">
                  <c:v>285.83837879999999</c:v>
                </c:pt>
                <c:pt idx="11">
                  <c:v>282.35382629999998</c:v>
                </c:pt>
                <c:pt idx="12">
                  <c:v>285.1566588</c:v>
                </c:pt>
                <c:pt idx="13">
                  <c:v>304.3126944</c:v>
                </c:pt>
                <c:pt idx="14">
                  <c:v>300.93158549999998</c:v>
                </c:pt>
                <c:pt idx="15">
                  <c:v>333.55003499999998</c:v>
                </c:pt>
                <c:pt idx="16">
                  <c:v>302.52955200000002</c:v>
                </c:pt>
                <c:pt idx="17">
                  <c:v>293.39183639999999</c:v>
                </c:pt>
              </c:numCache>
            </c:numRef>
          </c:val>
          <c:smooth val="0"/>
          <c:extLst xmlns:c16r2="http://schemas.microsoft.com/office/drawing/2015/06/chart">
            <c:ext xmlns:c16="http://schemas.microsoft.com/office/drawing/2014/chart" uri="{C3380CC4-5D6E-409C-BE32-E72D297353CC}">
              <c16:uniqueId val="{00000009-FA15-451C-82F8-3A56D6144C32}"/>
            </c:ext>
          </c:extLst>
        </c:ser>
        <c:ser>
          <c:idx val="11"/>
          <c:order val="10"/>
          <c:tx>
            <c:strRef>
              <c:f>'CO2'!$A$17</c:f>
              <c:strCache>
                <c:ptCount val="1"/>
                <c:pt idx="0">
                  <c:v>Vodní</c:v>
                </c:pt>
              </c:strCache>
            </c:strRef>
          </c:tx>
          <c:spPr>
            <a:ln w="3175">
              <a:solidFill>
                <a:srgbClr val="008000"/>
              </a:solidFill>
              <a:prstDash val="solid"/>
            </a:ln>
          </c:spPr>
          <c:marker>
            <c:symbol val="circle"/>
            <c:size val="3"/>
            <c:spPr>
              <a:solidFill>
                <a:srgbClr val="FFFFFF"/>
              </a:solidFill>
              <a:ln>
                <a:solidFill>
                  <a:srgbClr val="008000"/>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('CO2'!$E$17:$V$17,'CO2'!$W$17:$AC$17)</c:f>
              <c:numCache>
                <c:formatCode>#,##0</c:formatCode>
                <c:ptCount val="25"/>
                <c:pt idx="0">
                  <c:v>54.315300000000001</c:v>
                </c:pt>
                <c:pt idx="1">
                  <c:v>53.5002</c:v>
                </c:pt>
                <c:pt idx="2">
                  <c:v>55.204500000000003</c:v>
                </c:pt>
                <c:pt idx="3">
                  <c:v>45.942</c:v>
                </c:pt>
                <c:pt idx="4">
                  <c:v>38.531999999999996</c:v>
                </c:pt>
                <c:pt idx="5">
                  <c:v>37.839905999999999</c:v>
                </c:pt>
                <c:pt idx="6">
                  <c:v>22.1412282</c:v>
                </c:pt>
                <c:pt idx="7">
                  <c:v>15.8170155</c:v>
                </c:pt>
                <c:pt idx="8">
                  <c:v>24.850176000000001</c:v>
                </c:pt>
                <c:pt idx="9">
                  <c:v>12.431016</c:v>
                </c:pt>
                <c:pt idx="10">
                  <c:v>12.427755599999999</c:v>
                </c:pt>
                <c:pt idx="11">
                  <c:v>18.616735800000001</c:v>
                </c:pt>
                <c:pt idx="12">
                  <c:v>15.4976445</c:v>
                </c:pt>
                <c:pt idx="13">
                  <c:v>19.0195434</c:v>
                </c:pt>
                <c:pt idx="14">
                  <c:v>15.838504500000001</c:v>
                </c:pt>
                <c:pt idx="15">
                  <c:v>12.706668000000001</c:v>
                </c:pt>
                <c:pt idx="16">
                  <c:v>15.922608</c:v>
                </c:pt>
                <c:pt idx="17">
                  <c:v>12.756166800000001</c:v>
                </c:pt>
                <c:pt idx="18">
                  <c:v>9.5555655000000002</c:v>
                </c:pt>
                <c:pt idx="19">
                  <c:v>15.915939</c:v>
                </c:pt>
                <c:pt idx="20">
                  <c:v>6.3669684000000002</c:v>
                </c:pt>
                <c:pt idx="21">
                  <c:v>9.5568992999999995</c:v>
                </c:pt>
                <c:pt idx="22">
                  <c:v>9.5462288999999991</c:v>
                </c:pt>
                <c:pt idx="23">
                  <c:v>12.732454799999999</c:v>
                </c:pt>
                <c:pt idx="24">
                  <c:v>12.732454799999999</c:v>
                </c:pt>
              </c:numCache>
            </c:numRef>
          </c:val>
          <c:smooth val="0"/>
          <c:extLst xmlns:c16r2="http://schemas.microsoft.com/office/drawing/2015/06/chart">
            <c:ext xmlns:c16="http://schemas.microsoft.com/office/drawing/2014/chart" uri="{C3380CC4-5D6E-409C-BE32-E72D297353CC}">
              <c16:uniqueId val="{0000000A-FA15-451C-82F8-3A56D6144C32}"/>
            </c:ext>
          </c:extLst>
        </c:ser>
        <c:ser>
          <c:idx val="12"/>
          <c:order val="11"/>
          <c:tx>
            <c:strRef>
              <c:f>'CO2'!$A$18</c:f>
              <c:strCache>
                <c:ptCount val="1"/>
                <c:pt idx="0">
                  <c:v>Inland waterway</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'CO2'!$E$17:$T$17</c:f>
              <c:numCache>
                <c:formatCode>#,##0</c:formatCode>
                <c:ptCount val="16"/>
                <c:pt idx="0">
                  <c:v>54.315300000000001</c:v>
                </c:pt>
                <c:pt idx="1">
                  <c:v>53.5002</c:v>
                </c:pt>
                <c:pt idx="2">
                  <c:v>55.204500000000003</c:v>
                </c:pt>
                <c:pt idx="3">
                  <c:v>45.942</c:v>
                </c:pt>
                <c:pt idx="4">
                  <c:v>38.531999999999996</c:v>
                </c:pt>
                <c:pt idx="5">
                  <c:v>37.839905999999999</c:v>
                </c:pt>
                <c:pt idx="6">
                  <c:v>22.1412282</c:v>
                </c:pt>
                <c:pt idx="7">
                  <c:v>15.8170155</c:v>
                </c:pt>
                <c:pt idx="8">
                  <c:v>24.850176000000001</c:v>
                </c:pt>
                <c:pt idx="9">
                  <c:v>12.431016</c:v>
                </c:pt>
                <c:pt idx="10">
                  <c:v>12.427755599999999</c:v>
                </c:pt>
                <c:pt idx="11">
                  <c:v>18.616735800000001</c:v>
                </c:pt>
                <c:pt idx="12">
                  <c:v>15.4976445</c:v>
                </c:pt>
                <c:pt idx="13">
                  <c:v>19.0195434</c:v>
                </c:pt>
                <c:pt idx="14">
                  <c:v>15.838504500000001</c:v>
                </c:pt>
                <c:pt idx="15">
                  <c:v>12.706668000000001</c:v>
                </c:pt>
              </c:numCache>
            </c:numRef>
          </c:val>
          <c:smooth val="0"/>
          <c:extLst xmlns:c16r2="http://schemas.microsoft.com/office/drawing/2015/06/chart">
            <c:ext xmlns:c16="http://schemas.microsoft.com/office/drawing/2014/chart" uri="{C3380CC4-5D6E-409C-BE32-E72D297353CC}">
              <c16:uniqueId val="{0000000B-FA15-451C-82F8-3A56D6144C32}"/>
            </c:ext>
          </c:extLst>
        </c:ser>
        <c:ser>
          <c:idx val="13"/>
          <c:order val="12"/>
          <c:tx>
            <c:strRef>
              <c:f>'CO2'!$A$19</c:f>
              <c:strCache>
                <c:ptCount val="1"/>
                <c:pt idx="0">
                  <c:v>Letecká</c:v>
                </c:pt>
              </c:strCache>
            </c:strRef>
          </c:tx>
          <c:spPr>
            <a:ln w="3175">
              <a:solidFill>
                <a:srgbClr val="FFFF00"/>
              </a:solidFill>
              <a:prstDash val="solid"/>
            </a:ln>
          </c:spPr>
          <c:marker>
            <c:symbol val="triangle"/>
            <c:size val="3"/>
            <c:spPr>
              <a:solidFill>
                <a:srgbClr val="FFFF00"/>
              </a:solidFill>
              <a:ln>
                <a:solidFill>
                  <a:srgbClr val="FFFF00"/>
                </a:solidFill>
                <a:prstDash val="solid"/>
              </a:ln>
            </c:spPr>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('CO2'!$E$19:$V$19,'CO2'!$W$19:$AC$19)</c:f>
              <c:numCache>
                <c:formatCode>#,##0</c:formatCode>
                <c:ptCount val="25"/>
                <c:pt idx="0">
                  <c:v>437.81241399999999</c:v>
                </c:pt>
                <c:pt idx="1">
                  <c:v>537.27360699999997</c:v>
                </c:pt>
                <c:pt idx="2">
                  <c:v>571.41123000000005</c:v>
                </c:pt>
                <c:pt idx="3">
                  <c:v>434.61657200000002</c:v>
                </c:pt>
                <c:pt idx="4">
                  <c:v>493.21345200000002</c:v>
                </c:pt>
                <c:pt idx="5">
                  <c:v>581.06349999999998</c:v>
                </c:pt>
                <c:pt idx="6">
                  <c:v>550.30999999999995</c:v>
                </c:pt>
                <c:pt idx="7">
                  <c:v>593.40557488577497</c:v>
                </c:pt>
                <c:pt idx="8">
                  <c:v>633.33952610258598</c:v>
                </c:pt>
                <c:pt idx="9">
                  <c:v>550.70188313278402</c:v>
                </c:pt>
                <c:pt idx="10">
                  <c:v>737.37245492044406</c:v>
                </c:pt>
                <c:pt idx="11">
                  <c:v>945.67070570701196</c:v>
                </c:pt>
                <c:pt idx="12">
                  <c:v>979.166061131162</c:v>
                </c:pt>
                <c:pt idx="13">
                  <c:v>1015.28587680353</c:v>
                </c:pt>
                <c:pt idx="14">
                  <c:v>1064.80990565619</c:v>
                </c:pt>
                <c:pt idx="15">
                  <c:v>1126.8789678077801</c:v>
                </c:pt>
                <c:pt idx="16">
                  <c:v>1031.0026677199301</c:v>
                </c:pt>
                <c:pt idx="17">
                  <c:v>965.96520920368403</c:v>
                </c:pt>
                <c:pt idx="18">
                  <c:v>953.51404483222905</c:v>
                </c:pt>
                <c:pt idx="19">
                  <c:v>891.55923914669495</c:v>
                </c:pt>
                <c:pt idx="20">
                  <c:v>860.462890757374</c:v>
                </c:pt>
                <c:pt idx="21">
                  <c:v>888.47635000000002</c:v>
                </c:pt>
                <c:pt idx="22">
                  <c:v>897.73355000000004</c:v>
                </c:pt>
                <c:pt idx="23">
                  <c:v>965.84445000000005</c:v>
                </c:pt>
                <c:pt idx="24">
                  <c:v>1083.49055</c:v>
                </c:pt>
              </c:numCache>
            </c:numRef>
          </c:val>
          <c:smooth val="0"/>
          <c:extLst xmlns:c16r2="http://schemas.microsoft.com/office/drawing/2015/06/chart">
            <c:ext xmlns:c16="http://schemas.microsoft.com/office/drawing/2014/chart" uri="{C3380CC4-5D6E-409C-BE32-E72D297353CC}">
              <c16:uniqueId val="{0000000C-FA15-451C-82F8-3A56D6144C32}"/>
            </c:ext>
          </c:extLst>
        </c:ser>
        <c:ser>
          <c:idx val="6"/>
          <c:order val="13"/>
          <c:tx>
            <c:strRef>
              <c:f>'CO2'!$A$20</c:f>
              <c:strCache>
                <c:ptCount val="1"/>
                <c:pt idx="0">
                  <c:v>Air</c:v>
                </c:pt>
              </c:strCache>
            </c:strRef>
          </c:tx>
          <c:spPr>
            <a:ln w="28575">
              <a:noFill/>
            </a:ln>
          </c:spPr>
          <c:marker>
            <c:symbol val="none"/>
          </c:marker>
          <c:cat>
            <c:numRef>
              <c:f>('CO2'!$E$6:$V$6,'CO2'!$W$6:$AC$6)</c:f>
              <c:numCache>
                <c:formatCode>General</c:formatCode>
                <c:ptCount val="25"/>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numCache>
            </c:numRef>
          </c:cat>
          <c:val>
            <c:numRef>
              <c:f>'CO2'!$E$19:$T$19</c:f>
              <c:numCache>
                <c:formatCode>#,##0</c:formatCode>
                <c:ptCount val="16"/>
                <c:pt idx="0">
                  <c:v>437.81241399999999</c:v>
                </c:pt>
                <c:pt idx="1">
                  <c:v>537.27360699999997</c:v>
                </c:pt>
                <c:pt idx="2">
                  <c:v>571.41123000000005</c:v>
                </c:pt>
                <c:pt idx="3">
                  <c:v>434.61657200000002</c:v>
                </c:pt>
                <c:pt idx="4">
                  <c:v>493.21345200000002</c:v>
                </c:pt>
                <c:pt idx="5">
                  <c:v>581.06349999999998</c:v>
                </c:pt>
                <c:pt idx="6">
                  <c:v>550.30999999999995</c:v>
                </c:pt>
                <c:pt idx="7">
                  <c:v>593.40557488577497</c:v>
                </c:pt>
                <c:pt idx="8">
                  <c:v>633.33952610258598</c:v>
                </c:pt>
                <c:pt idx="9">
                  <c:v>550.70188313278402</c:v>
                </c:pt>
                <c:pt idx="10">
                  <c:v>737.37245492044406</c:v>
                </c:pt>
                <c:pt idx="11">
                  <c:v>945.67070570701196</c:v>
                </c:pt>
                <c:pt idx="12">
                  <c:v>979.166061131162</c:v>
                </c:pt>
                <c:pt idx="13">
                  <c:v>1015.28587680353</c:v>
                </c:pt>
                <c:pt idx="14">
                  <c:v>1064.80990565619</c:v>
                </c:pt>
                <c:pt idx="15">
                  <c:v>1126.8789678077801</c:v>
                </c:pt>
              </c:numCache>
            </c:numRef>
          </c:val>
          <c:smooth val="0"/>
          <c:extLst xmlns:c16r2="http://schemas.microsoft.com/office/drawing/2015/06/chart">
            <c:ext xmlns:c16="http://schemas.microsoft.com/office/drawing/2014/chart" uri="{C3380CC4-5D6E-409C-BE32-E72D297353CC}">
              <c16:uniqueId val="{0000000D-FA15-451C-82F8-3A56D6144C32}"/>
            </c:ext>
          </c:extLst>
        </c:ser>
        <c:dLbls>
          <c:showLegendKey val="0"/>
          <c:showVal val="0"/>
          <c:showCatName val="0"/>
          <c:showSerName val="0"/>
          <c:showPercent val="0"/>
          <c:showBubbleSize val="0"/>
        </c:dLbls>
        <c:marker val="1"/>
        <c:smooth val="0"/>
        <c:axId val="388630664"/>
        <c:axId val="388629880"/>
      </c:lineChart>
      <c:catAx>
        <c:axId val="388630664"/>
        <c:scaling>
          <c:orientation val="minMax"/>
        </c:scaling>
        <c:delete val="0"/>
        <c:axPos val="b"/>
        <c:title>
          <c:tx>
            <c:rich>
              <a:bodyPr/>
              <a:lstStyle/>
              <a:p>
                <a:pPr>
                  <a:defRPr sz="900" b="0" i="0" u="none" strike="noStrike" baseline="0">
                    <a:solidFill>
                      <a:srgbClr val="000000"/>
                    </a:solidFill>
                    <a:latin typeface="Arial"/>
                    <a:ea typeface="Arial"/>
                    <a:cs typeface="Arial"/>
                  </a:defRPr>
                </a:pPr>
                <a:r>
                  <a:rPr lang="cs-CZ" sz="900" b="0" i="0" u="none" strike="noStrike" baseline="0">
                    <a:solidFill>
                      <a:srgbClr val="000000"/>
                    </a:solidFill>
                    <a:latin typeface="Arial"/>
                    <a:cs typeface="Arial"/>
                  </a:rPr>
                  <a:t>rok</a:t>
                </a:r>
              </a:p>
              <a:p>
                <a:pPr>
                  <a:defRPr sz="900" b="0" i="0" u="none" strike="noStrike" baseline="0">
                    <a:solidFill>
                      <a:srgbClr val="000000"/>
                    </a:solidFill>
                    <a:latin typeface="Arial"/>
                    <a:ea typeface="Arial"/>
                    <a:cs typeface="Arial"/>
                  </a:defRPr>
                </a:pPr>
                <a:endParaRPr lang="cs-CZ" sz="900" b="0" i="1" u="none" strike="noStrike" baseline="0">
                  <a:solidFill>
                    <a:srgbClr val="000000"/>
                  </a:solidFill>
                  <a:latin typeface="Arial"/>
                  <a:cs typeface="Arial"/>
                </a:endParaRPr>
              </a:p>
            </c:rich>
          </c:tx>
          <c:layout>
            <c:manualLayout>
              <c:xMode val="edge"/>
              <c:yMode val="edge"/>
              <c:x val="0.72212262127027937"/>
              <c:y val="0.7860376912345415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cs-CZ"/>
          </a:p>
        </c:txPr>
        <c:crossAx val="388629880"/>
        <c:crosses val="autoZero"/>
        <c:auto val="1"/>
        <c:lblAlgn val="ctr"/>
        <c:lblOffset val="100"/>
        <c:tickLblSkip val="2"/>
        <c:tickMarkSkip val="1"/>
        <c:noMultiLvlLbl val="0"/>
      </c:catAx>
      <c:valAx>
        <c:axId val="388629880"/>
        <c:scaling>
          <c:orientation val="minMax"/>
        </c:scaling>
        <c:delete val="0"/>
        <c:axPos val="l"/>
        <c:title>
          <c:tx>
            <c:rich>
              <a:bodyPr rot="0" vert="horz"/>
              <a:lstStyle/>
              <a:p>
                <a:pPr algn="ctr">
                  <a:defRPr sz="900" b="1" i="0" u="none" strike="noStrike" baseline="0">
                    <a:solidFill>
                      <a:srgbClr val="000000"/>
                    </a:solidFill>
                    <a:latin typeface="Arial"/>
                    <a:ea typeface="Arial"/>
                    <a:cs typeface="Arial"/>
                  </a:defRPr>
                </a:pPr>
                <a:r>
                  <a:rPr lang="cs-CZ" sz="900" b="1" i="0" u="none" strike="noStrike" baseline="0">
                    <a:solidFill>
                      <a:srgbClr val="000000"/>
                    </a:solidFill>
                    <a:latin typeface="Arial"/>
                    <a:cs typeface="Arial"/>
                  </a:rPr>
                  <a:t>tis. tun</a:t>
                </a:r>
              </a:p>
            </c:rich>
          </c:tx>
          <c:layout>
            <c:manualLayout>
              <c:xMode val="edge"/>
              <c:yMode val="edge"/>
              <c:x val="8.6218232959787873E-3"/>
              <c:y val="3.0725962071642458E-2"/>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cs-CZ"/>
          </a:p>
        </c:txPr>
        <c:crossAx val="388630664"/>
        <c:crosses val="autoZero"/>
        <c:crossBetween val="midCat"/>
      </c:valAx>
      <c:spPr>
        <a:solidFill>
          <a:srgbClr val="FFFFFF"/>
        </a:solidFill>
        <a:ln w="25400">
          <a:noFill/>
        </a:ln>
      </c:spPr>
    </c:plotArea>
    <c:legend>
      <c:legendPos val="r"/>
      <c:legendEntry>
        <c:idx val="1"/>
        <c:delete val="1"/>
      </c:legendEntry>
      <c:legendEntry>
        <c:idx val="3"/>
        <c:delete val="1"/>
      </c:legendEntry>
      <c:legendEntry>
        <c:idx val="5"/>
        <c:delete val="1"/>
      </c:legendEntry>
      <c:legendEntry>
        <c:idx val="6"/>
        <c:delete val="1"/>
      </c:legendEntry>
      <c:legendEntry>
        <c:idx val="7"/>
        <c:delete val="1"/>
      </c:legendEntry>
      <c:legendEntry>
        <c:idx val="8"/>
        <c:txPr>
          <a:bodyPr/>
          <a:lstStyle/>
          <a:p>
            <a:pPr>
              <a:defRPr sz="825" b="1" i="0" u="none" strike="noStrike" baseline="0">
                <a:solidFill>
                  <a:srgbClr val="000000"/>
                </a:solidFill>
                <a:latin typeface="Arial"/>
                <a:ea typeface="Arial"/>
                <a:cs typeface="Arial"/>
              </a:defRPr>
            </a:pPr>
            <a:endParaRPr lang="cs-CZ"/>
          </a:p>
        </c:txPr>
      </c:legendEntry>
      <c:legendEntry>
        <c:idx val="9"/>
        <c:delete val="1"/>
      </c:legendEntry>
      <c:legendEntry>
        <c:idx val="10"/>
        <c:txPr>
          <a:bodyPr/>
          <a:lstStyle/>
          <a:p>
            <a:pPr>
              <a:defRPr sz="825" b="1" i="0" u="none" strike="noStrike" baseline="0">
                <a:solidFill>
                  <a:srgbClr val="000000"/>
                </a:solidFill>
                <a:latin typeface="Arial"/>
                <a:ea typeface="Arial"/>
                <a:cs typeface="Arial"/>
              </a:defRPr>
            </a:pPr>
            <a:endParaRPr lang="cs-CZ"/>
          </a:p>
        </c:txPr>
      </c:legendEntry>
      <c:legendEntry>
        <c:idx val="11"/>
        <c:delete val="1"/>
      </c:legendEntry>
      <c:legendEntry>
        <c:idx val="12"/>
        <c:txPr>
          <a:bodyPr/>
          <a:lstStyle/>
          <a:p>
            <a:pPr>
              <a:defRPr sz="825" b="1" i="0" u="none" strike="noStrike" baseline="0">
                <a:solidFill>
                  <a:srgbClr val="000000"/>
                </a:solidFill>
                <a:latin typeface="Arial"/>
                <a:ea typeface="Arial"/>
                <a:cs typeface="Arial"/>
              </a:defRPr>
            </a:pPr>
            <a:endParaRPr lang="cs-CZ"/>
          </a:p>
        </c:txPr>
      </c:legendEntry>
      <c:legendEntry>
        <c:idx val="13"/>
        <c:delete val="1"/>
      </c:legendEntry>
      <c:layout>
        <c:manualLayout>
          <c:xMode val="edge"/>
          <c:yMode val="edge"/>
          <c:x val="0.77212598425196854"/>
          <c:y val="1.5015251471944385E-2"/>
          <c:w val="0.21673788216745946"/>
          <c:h val="0.49070648148148149"/>
        </c:manualLayout>
      </c:layout>
      <c:overlay val="0"/>
      <c:spPr>
        <a:solidFill>
          <a:srgbClr val="FFFFFF"/>
        </a:solidFill>
        <a:ln w="3175">
          <a:solidFill>
            <a:srgbClr val="000000"/>
          </a:solidFill>
          <a:prstDash val="solid"/>
        </a:ln>
      </c:spPr>
      <c:txPr>
        <a:bodyPr/>
        <a:lstStyle/>
        <a:p>
          <a:pPr>
            <a:defRPr sz="825" b="1" i="0" u="none" strike="noStrike" baseline="0">
              <a:solidFill>
                <a:srgbClr val="000000"/>
              </a:solidFill>
              <a:latin typeface="Arial"/>
              <a:ea typeface="Arial"/>
              <a:cs typeface="Arial"/>
            </a:defRPr>
          </a:pPr>
          <a:endParaRPr lang="cs-CZ"/>
        </a:p>
      </c:txPr>
    </c:legend>
    <c:plotVisOnly val="1"/>
    <c:dispBlanksAs val="gap"/>
    <c:showDLblsOverMax val="0"/>
  </c:chart>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90048118985127"/>
          <c:y val="5.0925925925925923E-2"/>
          <c:w val="0.85487729658792644"/>
          <c:h val="0.73577136191309422"/>
        </c:manualLayout>
      </c:layout>
      <c:lineChart>
        <c:grouping val="standard"/>
        <c:varyColors val="0"/>
        <c:ser>
          <c:idx val="0"/>
          <c:order val="0"/>
          <c:tx>
            <c:strRef>
              <c:f>Elektromobilita!$C$3</c:f>
              <c:strCache>
                <c:ptCount val="1"/>
                <c:pt idx="0">
                  <c:v>nízký</c:v>
                </c:pt>
              </c:strCache>
            </c:strRef>
          </c:tx>
          <c:spPr>
            <a:ln w="28575" cap="rnd">
              <a:solidFill>
                <a:schemeClr val="accent1"/>
              </a:solidFill>
              <a:round/>
            </a:ln>
            <a:effectLst/>
          </c:spPr>
          <c:marker>
            <c:symbol val="none"/>
          </c:marker>
          <c:dLbls>
            <c:dLbl>
              <c:idx val="0"/>
              <c:delete val="1"/>
              <c:extLst xmlns:c16r2="http://schemas.microsoft.com/office/drawing/2015/06/chart">
                <c:ext xmlns:c16="http://schemas.microsoft.com/office/drawing/2014/chart" uri="{C3380CC4-5D6E-409C-BE32-E72D297353CC}">
                  <c16:uniqueId val="{00000000-21B6-4C9C-AE2E-3BF6F7BEC267}"/>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1-21B6-4C9C-AE2E-3BF6F7BEC267}"/>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2-21B6-4C9C-AE2E-3BF6F7BEC267}"/>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21B6-4C9C-AE2E-3BF6F7BEC267}"/>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4-21B6-4C9C-AE2E-3BF6F7BEC267}"/>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5-21B6-4C9C-AE2E-3BF6F7BEC267}"/>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6-21B6-4C9C-AE2E-3BF6F7BEC267}"/>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07-21B6-4C9C-AE2E-3BF6F7BEC267}"/>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08-21B6-4C9C-AE2E-3BF6F7BEC26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Elektromobilita!$B$4:$B$14</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cat>
          <c:val>
            <c:numRef>
              <c:f>Elektromobilita!$C$4:$C$14</c:f>
              <c:numCache>
                <c:formatCode>#,##0</c:formatCode>
                <c:ptCount val="11"/>
                <c:pt idx="0">
                  <c:v>5800</c:v>
                </c:pt>
                <c:pt idx="1">
                  <c:v>7300</c:v>
                </c:pt>
                <c:pt idx="2">
                  <c:v>9300</c:v>
                </c:pt>
                <c:pt idx="3">
                  <c:v>13800</c:v>
                </c:pt>
                <c:pt idx="4">
                  <c:v>22300</c:v>
                </c:pt>
                <c:pt idx="5">
                  <c:v>35800</c:v>
                </c:pt>
                <c:pt idx="6">
                  <c:v>56800</c:v>
                </c:pt>
                <c:pt idx="7">
                  <c:v>84800</c:v>
                </c:pt>
                <c:pt idx="8">
                  <c:v>122800</c:v>
                </c:pt>
                <c:pt idx="9">
                  <c:v>170800</c:v>
                </c:pt>
                <c:pt idx="10">
                  <c:v>220800</c:v>
                </c:pt>
              </c:numCache>
            </c:numRef>
          </c:val>
          <c:smooth val="0"/>
          <c:extLst xmlns:c16r2="http://schemas.microsoft.com/office/drawing/2015/06/chart">
            <c:ext xmlns:c16="http://schemas.microsoft.com/office/drawing/2014/chart" uri="{C3380CC4-5D6E-409C-BE32-E72D297353CC}">
              <c16:uniqueId val="{00000009-21B6-4C9C-AE2E-3BF6F7BEC267}"/>
            </c:ext>
          </c:extLst>
        </c:ser>
        <c:ser>
          <c:idx val="1"/>
          <c:order val="1"/>
          <c:tx>
            <c:strRef>
              <c:f>Elektromobilita!$D$3</c:f>
              <c:strCache>
                <c:ptCount val="1"/>
                <c:pt idx="0">
                  <c:v>vysoký</c:v>
                </c:pt>
              </c:strCache>
            </c:strRef>
          </c:tx>
          <c:spPr>
            <a:ln w="28575" cap="rnd">
              <a:solidFill>
                <a:schemeClr val="accent2"/>
              </a:solidFill>
              <a:round/>
            </a:ln>
            <a:effectLst/>
          </c:spPr>
          <c:marker>
            <c:symbol val="none"/>
          </c:marker>
          <c:dLbls>
            <c:dLbl>
              <c:idx val="0"/>
              <c:delete val="1"/>
              <c:extLst xmlns:c16r2="http://schemas.microsoft.com/office/drawing/2015/06/chart">
                <c:ext xmlns:c16="http://schemas.microsoft.com/office/drawing/2014/chart" uri="{C3380CC4-5D6E-409C-BE32-E72D297353CC}">
                  <c16:uniqueId val="{0000000A-21B6-4C9C-AE2E-3BF6F7BEC267}"/>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B-21B6-4C9C-AE2E-3BF6F7BEC267}"/>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C-21B6-4C9C-AE2E-3BF6F7BEC267}"/>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D-21B6-4C9C-AE2E-3BF6F7BEC267}"/>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E-21B6-4C9C-AE2E-3BF6F7BEC267}"/>
                </c:ext>
                <c:ext xmlns:c15="http://schemas.microsoft.com/office/drawing/2012/chart" uri="{CE6537A1-D6FC-4f65-9D91-7224C49458BB}"/>
              </c:extLst>
            </c:dLbl>
            <c:dLbl>
              <c:idx val="5"/>
              <c:layout>
                <c:manualLayout>
                  <c:x val="-6.0882108486439296E-2"/>
                  <c:y val="4.401611256926217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21B6-4C9C-AE2E-3BF6F7BEC267}"/>
                </c:ext>
                <c:ext xmlns:c15="http://schemas.microsoft.com/office/drawing/2012/chart" uri="{CE6537A1-D6FC-4f65-9D91-7224C49458BB}">
                  <c15:layout/>
                </c:ext>
              </c:extLst>
            </c:dLbl>
            <c:dLbl>
              <c:idx val="6"/>
              <c:delete val="1"/>
              <c:extLst xmlns:c16r2="http://schemas.microsoft.com/office/drawing/2015/06/chart">
                <c:ext xmlns:c16="http://schemas.microsoft.com/office/drawing/2014/chart" uri="{C3380CC4-5D6E-409C-BE32-E72D297353CC}">
                  <c16:uniqueId val="{00000010-21B6-4C9C-AE2E-3BF6F7BEC267}"/>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1-21B6-4C9C-AE2E-3BF6F7BEC267}"/>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12-21B6-4C9C-AE2E-3BF6F7BEC267}"/>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3-21B6-4C9C-AE2E-3BF6F7BEC26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Elektromobilita!$B$4:$B$14</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cat>
          <c:val>
            <c:numRef>
              <c:f>Elektromobilita!$D$4:$D$14</c:f>
              <c:numCache>
                <c:formatCode>#,##0</c:formatCode>
                <c:ptCount val="11"/>
                <c:pt idx="0">
                  <c:v>5800</c:v>
                </c:pt>
                <c:pt idx="1">
                  <c:v>7800</c:v>
                </c:pt>
                <c:pt idx="2">
                  <c:v>12000</c:v>
                </c:pt>
                <c:pt idx="3">
                  <c:v>19500</c:v>
                </c:pt>
                <c:pt idx="4">
                  <c:v>31500</c:v>
                </c:pt>
                <c:pt idx="5">
                  <c:v>49500</c:v>
                </c:pt>
                <c:pt idx="6">
                  <c:v>76500</c:v>
                </c:pt>
                <c:pt idx="7">
                  <c:v>126000</c:v>
                </c:pt>
                <c:pt idx="8">
                  <c:v>198000</c:v>
                </c:pt>
                <c:pt idx="9">
                  <c:v>316000</c:v>
                </c:pt>
                <c:pt idx="10">
                  <c:v>500000</c:v>
                </c:pt>
              </c:numCache>
            </c:numRef>
          </c:val>
          <c:smooth val="0"/>
          <c:extLst xmlns:c16r2="http://schemas.microsoft.com/office/drawing/2015/06/chart">
            <c:ext xmlns:c16="http://schemas.microsoft.com/office/drawing/2014/chart" uri="{C3380CC4-5D6E-409C-BE32-E72D297353CC}">
              <c16:uniqueId val="{00000014-21B6-4C9C-AE2E-3BF6F7BEC267}"/>
            </c:ext>
          </c:extLst>
        </c:ser>
        <c:dLbls>
          <c:dLblPos val="t"/>
          <c:showLegendKey val="0"/>
          <c:showVal val="1"/>
          <c:showCatName val="0"/>
          <c:showSerName val="0"/>
          <c:showPercent val="0"/>
          <c:showBubbleSize val="0"/>
        </c:dLbls>
        <c:smooth val="0"/>
        <c:axId val="390783272"/>
        <c:axId val="390782880"/>
      </c:lineChart>
      <c:catAx>
        <c:axId val="390783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90782880"/>
        <c:crosses val="autoZero"/>
        <c:auto val="1"/>
        <c:lblAlgn val="ctr"/>
        <c:lblOffset val="100"/>
        <c:noMultiLvlLbl val="0"/>
      </c:catAx>
      <c:valAx>
        <c:axId val="3907828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90783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cs-CZ" sz="1050">
                <a:latin typeface="Arial" panose="020B0604020202020204" pitchFamily="34" charset="0"/>
                <a:cs typeface="Arial" panose="020B0604020202020204" pitchFamily="34" charset="0"/>
              </a:rPr>
              <a:t>Rok 2025 - </a:t>
            </a:r>
            <a:r>
              <a:rPr lang="cs-CZ" sz="1050" baseline="0">
                <a:latin typeface="Arial" panose="020B0604020202020204" pitchFamily="34" charset="0"/>
                <a:cs typeface="Arial" panose="020B0604020202020204" pitchFamily="34" charset="0"/>
              </a:rPr>
              <a:t>6 200 dobíjecích bodů</a:t>
            </a:r>
            <a:endParaRPr lang="cs-CZ" sz="1050">
              <a:latin typeface="Arial" panose="020B0604020202020204" pitchFamily="34" charset="0"/>
              <a:cs typeface="Arial" panose="020B0604020202020204" pitchFamily="34" charset="0"/>
            </a:endParaRPr>
          </a:p>
        </c:rich>
      </c:tx>
      <c:layout/>
      <c:overlay val="0"/>
    </c:title>
    <c:autoTitleDeleted val="0"/>
    <c:plotArea>
      <c:layout/>
      <c:pieChart>
        <c:varyColors val="1"/>
        <c:ser>
          <c:idx val="0"/>
          <c:order val="0"/>
          <c:tx>
            <c:strRef>
              <c:f>List1!$D$4</c:f>
              <c:strCache>
                <c:ptCount val="1"/>
                <c:pt idx="0">
                  <c:v>Počet</c:v>
                </c:pt>
              </c:strCache>
            </c:strRef>
          </c:tx>
          <c:dLbls>
            <c:numFmt formatCode="0.0%" sourceLinked="0"/>
            <c:spPr>
              <a:noFill/>
              <a:ln>
                <a:noFill/>
              </a:ln>
              <a:effectLst/>
            </c:spPr>
            <c:txPr>
              <a:bodyPr/>
              <a:lstStyle/>
              <a:p>
                <a:pPr>
                  <a:defRPr b="1" i="0" baseline="0">
                    <a:latin typeface="Arial" panose="020B0604020202020204" pitchFamily="34" charset="0"/>
                    <a:cs typeface="Arial" panose="020B0604020202020204" pitchFamily="34" charset="0"/>
                  </a:defRPr>
                </a:pPr>
                <a:endParaRPr lang="cs-CZ"/>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List1!$C$5:$C$9</c:f>
              <c:strCache>
                <c:ptCount val="5"/>
                <c:pt idx="0">
                  <c:v>350 kW</c:v>
                </c:pt>
                <c:pt idx="1">
                  <c:v>150+ kW</c:v>
                </c:pt>
                <c:pt idx="2">
                  <c:v>50 kW*</c:v>
                </c:pt>
                <c:pt idx="3">
                  <c:v>11-22 kW</c:v>
                </c:pt>
                <c:pt idx="4">
                  <c:v>3,7-11 kW</c:v>
                </c:pt>
              </c:strCache>
            </c:strRef>
          </c:cat>
          <c:val>
            <c:numRef>
              <c:f>List1!$D$5:$D$9</c:f>
              <c:numCache>
                <c:formatCode>General</c:formatCode>
                <c:ptCount val="5"/>
                <c:pt idx="0">
                  <c:v>25</c:v>
                </c:pt>
                <c:pt idx="1">
                  <c:v>400</c:v>
                </c:pt>
                <c:pt idx="2">
                  <c:v>700</c:v>
                </c:pt>
                <c:pt idx="3">
                  <c:v>950</c:v>
                </c:pt>
                <c:pt idx="4" formatCode="#,##0">
                  <c:v>4125</c:v>
                </c:pt>
              </c:numCache>
            </c:numRef>
          </c:val>
          <c:extLst xmlns:c16r2="http://schemas.microsoft.com/office/drawing/2015/06/chart">
            <c:ext xmlns:c16="http://schemas.microsoft.com/office/drawing/2014/chart" uri="{C3380CC4-5D6E-409C-BE32-E72D297353CC}">
              <c16:uniqueId val="{00000000-BC40-4488-932E-69BC4183E89B}"/>
            </c:ext>
          </c:extLst>
        </c:ser>
        <c:ser>
          <c:idx val="1"/>
          <c:order val="1"/>
          <c:tx>
            <c:strRef>
              <c:f>List1!$E$4</c:f>
              <c:strCache>
                <c:ptCount val="1"/>
                <c:pt idx="0">
                  <c:v>%</c:v>
                </c:pt>
              </c:strCache>
            </c:strRef>
          </c:tx>
          <c:cat>
            <c:strRef>
              <c:f>List1!$C$5:$C$9</c:f>
              <c:strCache>
                <c:ptCount val="5"/>
                <c:pt idx="0">
                  <c:v>350 kW</c:v>
                </c:pt>
                <c:pt idx="1">
                  <c:v>150+ kW</c:v>
                </c:pt>
                <c:pt idx="2">
                  <c:v>50 kW*</c:v>
                </c:pt>
                <c:pt idx="3">
                  <c:v>11-22 kW</c:v>
                </c:pt>
                <c:pt idx="4">
                  <c:v>3,7-11 kW</c:v>
                </c:pt>
              </c:strCache>
            </c:strRef>
          </c:cat>
          <c:val>
            <c:numRef>
              <c:f>List1!$E$5:$E$9</c:f>
              <c:numCache>
                <c:formatCode>0%</c:formatCode>
                <c:ptCount val="5"/>
                <c:pt idx="0" formatCode="0.00%">
                  <c:v>4.0000000000000001E-3</c:v>
                </c:pt>
                <c:pt idx="1">
                  <c:v>0.06</c:v>
                </c:pt>
                <c:pt idx="2">
                  <c:v>0.11</c:v>
                </c:pt>
                <c:pt idx="3">
                  <c:v>0.15</c:v>
                </c:pt>
                <c:pt idx="4" formatCode="0.00%">
                  <c:v>0.6653</c:v>
                </c:pt>
              </c:numCache>
            </c:numRef>
          </c:val>
          <c:extLst xmlns:c16r2="http://schemas.microsoft.com/office/drawing/2015/06/chart">
            <c:ext xmlns:c16="http://schemas.microsoft.com/office/drawing/2014/chart" uri="{C3380CC4-5D6E-409C-BE32-E72D297353CC}">
              <c16:uniqueId val="{00000001-BC40-4488-932E-69BC4183E89B}"/>
            </c:ext>
          </c:extLst>
        </c:ser>
        <c:dLbls>
          <c:showLegendKey val="0"/>
          <c:showVal val="0"/>
          <c:showCatName val="0"/>
          <c:showSerName val="0"/>
          <c:showPercent val="0"/>
          <c:showBubbleSize val="0"/>
          <c:showLeaderLines val="1"/>
        </c:dLbls>
        <c:firstSliceAng val="0"/>
      </c:pieChart>
    </c:plotArea>
    <c:legend>
      <c:legendPos val="r"/>
      <c:layout/>
      <c:overlay val="0"/>
      <c:txPr>
        <a:bodyPr/>
        <a:lstStyle/>
        <a:p>
          <a:pPr>
            <a:defRPr>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cs-CZ" sz="1050">
                <a:latin typeface="Arial" panose="020B0604020202020204" pitchFamily="34" charset="0"/>
                <a:cs typeface="Arial" panose="020B0604020202020204" pitchFamily="34" charset="0"/>
              </a:rPr>
              <a:t>Rok 2030 - 19 000 dobíjecích bodů</a:t>
            </a:r>
          </a:p>
        </c:rich>
      </c:tx>
      <c:layout>
        <c:manualLayout>
          <c:xMode val="edge"/>
          <c:yMode val="edge"/>
          <c:x val="0.13088282838817333"/>
          <c:y val="2.6431690526005087E-2"/>
        </c:manualLayout>
      </c:layout>
      <c:overlay val="0"/>
    </c:title>
    <c:autoTitleDeleted val="0"/>
    <c:plotArea>
      <c:layout/>
      <c:pieChart>
        <c:varyColors val="1"/>
        <c:ser>
          <c:idx val="0"/>
          <c:order val="0"/>
          <c:dLbls>
            <c:numFmt formatCode="0.0%" sourceLinked="0"/>
            <c:spPr>
              <a:noFill/>
              <a:ln>
                <a:noFill/>
              </a:ln>
              <a:effectLst/>
            </c:spPr>
            <c:txPr>
              <a:bodyPr/>
              <a:lstStyle/>
              <a:p>
                <a:pPr>
                  <a:defRPr b="1" i="0" baseline="0">
                    <a:latin typeface="Arial" panose="020B0604020202020204" pitchFamily="34" charset="0"/>
                    <a:cs typeface="Arial" panose="020B0604020202020204" pitchFamily="34" charset="0"/>
                  </a:defRPr>
                </a:pPr>
                <a:endParaRPr lang="cs-CZ"/>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List1!$C$5:$C$9</c:f>
              <c:strCache>
                <c:ptCount val="5"/>
                <c:pt idx="0">
                  <c:v>350 kW</c:v>
                </c:pt>
                <c:pt idx="1">
                  <c:v>150+ kW</c:v>
                </c:pt>
                <c:pt idx="2">
                  <c:v>50 kW*</c:v>
                </c:pt>
                <c:pt idx="3">
                  <c:v>11-22 kW</c:v>
                </c:pt>
                <c:pt idx="4">
                  <c:v>3,7-11 kW</c:v>
                </c:pt>
              </c:strCache>
            </c:strRef>
          </c:cat>
          <c:val>
            <c:numRef>
              <c:f>List1!$F$5:$F$9</c:f>
              <c:numCache>
                <c:formatCode>General</c:formatCode>
                <c:ptCount val="5"/>
                <c:pt idx="0">
                  <c:v>150</c:v>
                </c:pt>
                <c:pt idx="1">
                  <c:v>1350</c:v>
                </c:pt>
                <c:pt idx="2">
                  <c:v>600</c:v>
                </c:pt>
                <c:pt idx="3">
                  <c:v>1400</c:v>
                </c:pt>
                <c:pt idx="4" formatCode="#,##0">
                  <c:v>15500</c:v>
                </c:pt>
              </c:numCache>
            </c:numRef>
          </c:val>
          <c:extLst xmlns:c16r2="http://schemas.microsoft.com/office/drawing/2015/06/chart">
            <c:ext xmlns:c16="http://schemas.microsoft.com/office/drawing/2014/chart" uri="{C3380CC4-5D6E-409C-BE32-E72D297353CC}">
              <c16:uniqueId val="{00000000-DAB8-4A0B-8853-5C6476BB4223}"/>
            </c:ext>
          </c:extLst>
        </c:ser>
        <c:ser>
          <c:idx val="1"/>
          <c:order val="1"/>
          <c:tx>
            <c:strRef>
              <c:f>List1!$C$5:$C$9</c:f>
              <c:strCache>
                <c:ptCount val="1"/>
                <c:pt idx="0">
                  <c:v>350 kW 150+ kW 50 kW* 11-22 kW 3,7-11 kW</c:v>
                </c:pt>
              </c:strCache>
            </c:strRef>
          </c:tx>
          <c:cat>
            <c:strRef>
              <c:f>List1!$C$5:$C$9</c:f>
              <c:strCache>
                <c:ptCount val="5"/>
                <c:pt idx="0">
                  <c:v>350 kW</c:v>
                </c:pt>
                <c:pt idx="1">
                  <c:v>150+ kW</c:v>
                </c:pt>
                <c:pt idx="2">
                  <c:v>50 kW*</c:v>
                </c:pt>
                <c:pt idx="3">
                  <c:v>11-22 kW</c:v>
                </c:pt>
                <c:pt idx="4">
                  <c:v>3,7-11 kW</c:v>
                </c:pt>
              </c:strCache>
            </c:strRef>
          </c:cat>
          <c:val>
            <c:numLit>
              <c:formatCode>General</c:formatCode>
              <c:ptCount val="1"/>
              <c:pt idx="0">
                <c:v>1</c:v>
              </c:pt>
            </c:numLit>
          </c:val>
          <c:extLst xmlns:c16r2="http://schemas.microsoft.com/office/drawing/2015/06/chart">
            <c:ext xmlns:c16="http://schemas.microsoft.com/office/drawing/2014/chart" uri="{C3380CC4-5D6E-409C-BE32-E72D297353CC}">
              <c16:uniqueId val="{00000001-DAB8-4A0B-8853-5C6476BB4223}"/>
            </c:ext>
          </c:extLst>
        </c:ser>
        <c:dLbls>
          <c:showLegendKey val="0"/>
          <c:showVal val="0"/>
          <c:showCatName val="0"/>
          <c:showSerName val="0"/>
          <c:showPercent val="0"/>
          <c:showBubbleSize val="0"/>
          <c:showLeaderLines val="1"/>
        </c:dLbls>
        <c:firstSliceAng val="0"/>
      </c:pieChart>
    </c:plotArea>
    <c:legend>
      <c:legendPos val="r"/>
      <c:layout/>
      <c:overlay val="0"/>
      <c:txPr>
        <a:bodyPr/>
        <a:lstStyle/>
        <a:p>
          <a:pPr rtl="0">
            <a:defRPr>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cs-CZ" sz="1050">
                <a:latin typeface="Arial" panose="020B0604020202020204" pitchFamily="34" charset="0"/>
                <a:cs typeface="Arial" panose="020B0604020202020204" pitchFamily="34" charset="0"/>
              </a:rPr>
              <a:t>Rok 2025</a:t>
            </a:r>
            <a:r>
              <a:rPr lang="cs-CZ" sz="1050" b="1" i="0" u="none" strike="noStrike" kern="1200" baseline="0">
                <a:solidFill>
                  <a:sysClr val="windowText" lastClr="000000"/>
                </a:solidFill>
                <a:latin typeface="Arial" panose="020B0604020202020204" pitchFamily="34" charset="0"/>
                <a:ea typeface="+mn-ea"/>
                <a:cs typeface="Arial" panose="020B0604020202020204" pitchFamily="34" charset="0"/>
              </a:rPr>
              <a:t> </a:t>
            </a:r>
            <a:r>
              <a:rPr lang="cs-CZ" sz="1050">
                <a:latin typeface="Arial" panose="020B0604020202020204" pitchFamily="34" charset="0"/>
                <a:cs typeface="Arial" panose="020B0604020202020204" pitchFamily="34" charset="0"/>
              </a:rPr>
              <a:t>- 11 000 dobíjecích bodů</a:t>
            </a:r>
          </a:p>
        </c:rich>
      </c:tx>
      <c:layout/>
      <c:overlay val="0"/>
    </c:title>
    <c:autoTitleDeleted val="0"/>
    <c:plotArea>
      <c:layout/>
      <c:pieChart>
        <c:varyColors val="1"/>
        <c:ser>
          <c:idx val="0"/>
          <c:order val="0"/>
          <c:tx>
            <c:strRef>
              <c:f>List1!$K$4</c:f>
              <c:strCache>
                <c:ptCount val="1"/>
                <c:pt idx="0">
                  <c:v>Počet</c:v>
                </c:pt>
              </c:strCache>
            </c:strRef>
          </c:tx>
          <c:dLbls>
            <c:numFmt formatCode="0.0%" sourceLinked="0"/>
            <c:spPr>
              <a:noFill/>
              <a:ln>
                <a:noFill/>
              </a:ln>
              <a:effectLst/>
            </c:spPr>
            <c:txPr>
              <a:bodyPr/>
              <a:lstStyle/>
              <a:p>
                <a:pPr>
                  <a:defRPr b="1" i="0" baseline="0">
                    <a:latin typeface="Arial" panose="020B0604020202020204" pitchFamily="34" charset="0"/>
                    <a:cs typeface="Arial" panose="020B0604020202020204" pitchFamily="34" charset="0"/>
                  </a:defRPr>
                </a:pPr>
                <a:endParaRPr lang="cs-CZ"/>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List1!$J$5:$J$9</c:f>
              <c:strCache>
                <c:ptCount val="5"/>
                <c:pt idx="0">
                  <c:v>350 kW</c:v>
                </c:pt>
                <c:pt idx="1">
                  <c:v>150+ kW</c:v>
                </c:pt>
                <c:pt idx="2">
                  <c:v>50 kW*</c:v>
                </c:pt>
                <c:pt idx="3">
                  <c:v>11-22 kW</c:v>
                </c:pt>
                <c:pt idx="4">
                  <c:v>3,7-11 kW</c:v>
                </c:pt>
              </c:strCache>
            </c:strRef>
          </c:cat>
          <c:val>
            <c:numRef>
              <c:f>List1!$K$5:$K$9</c:f>
              <c:numCache>
                <c:formatCode>General</c:formatCode>
                <c:ptCount val="5"/>
                <c:pt idx="0">
                  <c:v>50</c:v>
                </c:pt>
                <c:pt idx="1">
                  <c:v>600</c:v>
                </c:pt>
                <c:pt idx="2">
                  <c:v>900</c:v>
                </c:pt>
                <c:pt idx="3">
                  <c:v>2000</c:v>
                </c:pt>
                <c:pt idx="4" formatCode="#,##0">
                  <c:v>7500</c:v>
                </c:pt>
              </c:numCache>
            </c:numRef>
          </c:val>
          <c:extLst xmlns:c16r2="http://schemas.microsoft.com/office/drawing/2015/06/chart">
            <c:ext xmlns:c16="http://schemas.microsoft.com/office/drawing/2014/chart" uri="{C3380CC4-5D6E-409C-BE32-E72D297353CC}">
              <c16:uniqueId val="{00000000-D664-4A7D-8679-513F2185CF27}"/>
            </c:ext>
          </c:extLst>
        </c:ser>
        <c:dLbls>
          <c:showLegendKey val="0"/>
          <c:showVal val="0"/>
          <c:showCatName val="0"/>
          <c:showSerName val="0"/>
          <c:showPercent val="0"/>
          <c:showBubbleSize val="0"/>
          <c:showLeaderLines val="1"/>
        </c:dLbls>
        <c:firstSliceAng val="0"/>
      </c:pieChart>
    </c:plotArea>
    <c:legend>
      <c:legendPos val="r"/>
      <c:layout/>
      <c:overlay val="0"/>
      <c:txPr>
        <a:bodyPr/>
        <a:lstStyle/>
        <a:p>
          <a:pPr>
            <a:defRPr b="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050">
                <a:latin typeface="Arial" panose="020B0604020202020204" pitchFamily="34" charset="0"/>
                <a:cs typeface="Arial" panose="020B0604020202020204" pitchFamily="34" charset="0"/>
              </a:rPr>
              <a:t>Rok 2030 - 35 000 dobíjecích bodů </a:t>
            </a:r>
            <a:endParaRPr lang="en-US" sz="1050">
              <a:latin typeface="Arial" panose="020B0604020202020204" pitchFamily="34" charset="0"/>
              <a:cs typeface="Arial" panose="020B0604020202020204" pitchFamily="34" charset="0"/>
            </a:endParaRPr>
          </a:p>
        </c:rich>
      </c:tx>
      <c:layout/>
      <c:overlay val="0"/>
    </c:title>
    <c:autoTitleDeleted val="0"/>
    <c:plotArea>
      <c:layout/>
      <c:pieChart>
        <c:varyColors val="1"/>
        <c:ser>
          <c:idx val="0"/>
          <c:order val="0"/>
          <c:dLbls>
            <c:numFmt formatCode="0.0%" sourceLinked="0"/>
            <c:spPr>
              <a:noFill/>
              <a:ln>
                <a:noFill/>
              </a:ln>
              <a:effectLst/>
            </c:spPr>
            <c:txPr>
              <a:bodyPr/>
              <a:lstStyle/>
              <a:p>
                <a:pPr>
                  <a:defRPr b="1">
                    <a:latin typeface="Arial" panose="020B0604020202020204" pitchFamily="34" charset="0"/>
                    <a:cs typeface="Arial" panose="020B0604020202020204" pitchFamily="34" charset="0"/>
                  </a:defRPr>
                </a:pPr>
                <a:endParaRPr lang="cs-CZ"/>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List1!$J$5:$J$9</c:f>
              <c:strCache>
                <c:ptCount val="5"/>
                <c:pt idx="0">
                  <c:v>350 kW</c:v>
                </c:pt>
                <c:pt idx="1">
                  <c:v>150+ kW</c:v>
                </c:pt>
                <c:pt idx="2">
                  <c:v>50 kW*</c:v>
                </c:pt>
                <c:pt idx="3">
                  <c:v>11-22 kW</c:v>
                </c:pt>
                <c:pt idx="4">
                  <c:v>3,7-11 kW</c:v>
                </c:pt>
              </c:strCache>
            </c:strRef>
          </c:cat>
          <c:val>
            <c:numRef>
              <c:f>List1!$M$5:$M$9</c:f>
              <c:numCache>
                <c:formatCode>General</c:formatCode>
                <c:ptCount val="5"/>
                <c:pt idx="0">
                  <c:v>250</c:v>
                </c:pt>
                <c:pt idx="1">
                  <c:v>2500</c:v>
                </c:pt>
                <c:pt idx="2">
                  <c:v>800</c:v>
                </c:pt>
                <c:pt idx="3">
                  <c:v>3000</c:v>
                </c:pt>
                <c:pt idx="4" formatCode="#,##0">
                  <c:v>28000</c:v>
                </c:pt>
              </c:numCache>
            </c:numRef>
          </c:val>
          <c:extLst xmlns:c16r2="http://schemas.microsoft.com/office/drawing/2015/06/chart">
            <c:ext xmlns:c16="http://schemas.microsoft.com/office/drawing/2014/chart" uri="{C3380CC4-5D6E-409C-BE32-E72D297353CC}">
              <c16:uniqueId val="{00000000-017F-4202-BC0A-2304F42214E1}"/>
            </c:ext>
          </c:extLst>
        </c:ser>
        <c:dLbls>
          <c:showLegendKey val="0"/>
          <c:showVal val="0"/>
          <c:showCatName val="0"/>
          <c:showSerName val="0"/>
          <c:showPercent val="0"/>
          <c:showBubbleSize val="0"/>
          <c:showLeaderLines val="1"/>
        </c:dLbls>
        <c:firstSliceAng val="0"/>
      </c:pieChart>
    </c:plotArea>
    <c:legend>
      <c:legendPos val="r"/>
      <c:layout/>
      <c:overlay val="0"/>
      <c:txPr>
        <a:bodyPr/>
        <a:lstStyle/>
        <a:p>
          <a:pPr rtl="0">
            <a:defRPr sz="1000" b="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Vývoj</a:t>
            </a:r>
            <a:r>
              <a:rPr lang="cs-CZ" baseline="0"/>
              <a:t> počtu vozidel na vodík (ks)</a:t>
            </a:r>
            <a:endParaRPr lang="cs-CZ"/>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vodík!$D$4</c:f>
              <c:strCache>
                <c:ptCount val="1"/>
                <c:pt idx="0">
                  <c:v>nízký</c:v>
                </c:pt>
              </c:strCache>
            </c:strRef>
          </c:tx>
          <c:spPr>
            <a:ln w="28575" cap="rnd">
              <a:solidFill>
                <a:schemeClr val="accent1"/>
              </a:solidFill>
              <a:round/>
            </a:ln>
            <a:effectLst/>
          </c:spPr>
          <c:marker>
            <c:symbol val="none"/>
          </c:marker>
          <c:dLbls>
            <c:dLbl>
              <c:idx val="10"/>
              <c:layout>
                <c:manualLayout>
                  <c:x val="-8.3333333333333332E-3"/>
                  <c:y val="8.33333333333333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2F7-4968-8D9F-E188B224156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vodík!$C$5:$C$15</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cat>
          <c:val>
            <c:numRef>
              <c:f>vodík!$D$5:$D$15</c:f>
              <c:numCache>
                <c:formatCode>General</c:formatCode>
                <c:ptCount val="11"/>
                <c:pt idx="0">
                  <c:v>1</c:v>
                </c:pt>
                <c:pt idx="1">
                  <c:v>3</c:v>
                </c:pt>
                <c:pt idx="2" formatCode="#,##0">
                  <c:v>8</c:v>
                </c:pt>
                <c:pt idx="3" formatCode="#,##0">
                  <c:v>26</c:v>
                </c:pt>
                <c:pt idx="4" formatCode="#,##0">
                  <c:v>146</c:v>
                </c:pt>
                <c:pt idx="5" formatCode="#,##0">
                  <c:v>626</c:v>
                </c:pt>
                <c:pt idx="6" formatCode="#,##0">
                  <c:v>2100</c:v>
                </c:pt>
                <c:pt idx="7" formatCode="#,##0">
                  <c:v>6000</c:v>
                </c:pt>
                <c:pt idx="8" formatCode="#,##0">
                  <c:v>13000</c:v>
                </c:pt>
                <c:pt idx="9" formatCode="#,##0">
                  <c:v>22000</c:v>
                </c:pt>
                <c:pt idx="10" formatCode="#,##0">
                  <c:v>40000</c:v>
                </c:pt>
              </c:numCache>
            </c:numRef>
          </c:val>
          <c:smooth val="0"/>
          <c:extLst xmlns:c16r2="http://schemas.microsoft.com/office/drawing/2015/06/chart">
            <c:ext xmlns:c16="http://schemas.microsoft.com/office/drawing/2014/chart" uri="{C3380CC4-5D6E-409C-BE32-E72D297353CC}">
              <c16:uniqueId val="{00000001-42F7-4968-8D9F-E188B224156A}"/>
            </c:ext>
          </c:extLst>
        </c:ser>
        <c:ser>
          <c:idx val="1"/>
          <c:order val="1"/>
          <c:tx>
            <c:strRef>
              <c:f>vodík!$E$4</c:f>
              <c:strCache>
                <c:ptCount val="1"/>
                <c:pt idx="0">
                  <c:v>vysoký</c:v>
                </c:pt>
              </c:strCache>
            </c:strRef>
          </c:tx>
          <c:spPr>
            <a:ln w="28575" cap="rnd">
              <a:solidFill>
                <a:schemeClr val="accent2"/>
              </a:solidFill>
              <a:round/>
            </a:ln>
            <a:effectLst/>
          </c:spPr>
          <c:marker>
            <c:symbol val="none"/>
          </c:marker>
          <c:dLbls>
            <c:dLbl>
              <c:idx val="5"/>
              <c:layout>
                <c:manualLayout>
                  <c:x val="-6.3888888888888884E-2"/>
                  <c:y val="-6.481481481481472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2F7-4968-8D9F-E188B224156A}"/>
                </c:ext>
                <c:ext xmlns:c15="http://schemas.microsoft.com/office/drawing/2012/chart" uri="{CE6537A1-D6FC-4f65-9D91-7224C49458BB}"/>
              </c:extLst>
            </c:dLbl>
            <c:dLbl>
              <c:idx val="10"/>
              <c:layout>
                <c:manualLayout>
                  <c:x val="-0.05"/>
                  <c:y val="-6.94444444444444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2F7-4968-8D9F-E188B224156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vodík!$C$5:$C$15</c:f>
              <c:numCache>
                <c:formatCode>General</c:formatCode>
                <c:ptCount val="11"/>
                <c:pt idx="0">
                  <c:v>2020</c:v>
                </c:pt>
                <c:pt idx="1">
                  <c:v>2021</c:v>
                </c:pt>
                <c:pt idx="2">
                  <c:v>2022</c:v>
                </c:pt>
                <c:pt idx="3">
                  <c:v>2023</c:v>
                </c:pt>
                <c:pt idx="4">
                  <c:v>2024</c:v>
                </c:pt>
                <c:pt idx="5">
                  <c:v>2025</c:v>
                </c:pt>
                <c:pt idx="6">
                  <c:v>2026</c:v>
                </c:pt>
                <c:pt idx="7">
                  <c:v>2027</c:v>
                </c:pt>
                <c:pt idx="8">
                  <c:v>2028</c:v>
                </c:pt>
                <c:pt idx="9">
                  <c:v>2029</c:v>
                </c:pt>
                <c:pt idx="10">
                  <c:v>2030</c:v>
                </c:pt>
              </c:numCache>
            </c:numRef>
          </c:cat>
          <c:val>
            <c:numRef>
              <c:f>vodík!$E$5:$E$15</c:f>
              <c:numCache>
                <c:formatCode>#,##0</c:formatCode>
                <c:ptCount val="11"/>
                <c:pt idx="0">
                  <c:v>1</c:v>
                </c:pt>
                <c:pt idx="1">
                  <c:v>3</c:v>
                </c:pt>
                <c:pt idx="2">
                  <c:v>12</c:v>
                </c:pt>
                <c:pt idx="3">
                  <c:v>60</c:v>
                </c:pt>
                <c:pt idx="4">
                  <c:v>260</c:v>
                </c:pt>
                <c:pt idx="5">
                  <c:v>1060</c:v>
                </c:pt>
                <c:pt idx="6">
                  <c:v>4000</c:v>
                </c:pt>
                <c:pt idx="7">
                  <c:v>9500</c:v>
                </c:pt>
                <c:pt idx="8">
                  <c:v>19000</c:v>
                </c:pt>
                <c:pt idx="9">
                  <c:v>32000</c:v>
                </c:pt>
                <c:pt idx="10">
                  <c:v>50000</c:v>
                </c:pt>
              </c:numCache>
            </c:numRef>
          </c:val>
          <c:smooth val="0"/>
          <c:extLst xmlns:c16r2="http://schemas.microsoft.com/office/drawing/2015/06/chart">
            <c:ext xmlns:c16="http://schemas.microsoft.com/office/drawing/2014/chart" uri="{C3380CC4-5D6E-409C-BE32-E72D297353CC}">
              <c16:uniqueId val="{00000004-42F7-4968-8D9F-E188B224156A}"/>
            </c:ext>
          </c:extLst>
        </c:ser>
        <c:dLbls>
          <c:showLegendKey val="0"/>
          <c:showVal val="0"/>
          <c:showCatName val="0"/>
          <c:showSerName val="0"/>
          <c:showPercent val="0"/>
          <c:showBubbleSize val="0"/>
        </c:dLbls>
        <c:smooth val="0"/>
        <c:axId val="280541624"/>
        <c:axId val="382560392"/>
      </c:lineChart>
      <c:catAx>
        <c:axId val="280541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82560392"/>
        <c:crosses val="autoZero"/>
        <c:auto val="1"/>
        <c:lblAlgn val="ctr"/>
        <c:lblOffset val="100"/>
        <c:noMultiLvlLbl val="0"/>
      </c:catAx>
      <c:valAx>
        <c:axId val="382560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80541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C700-336C-471B-A74A-10FB857F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410BA284.dotm</Template>
  <TotalTime>436</TotalTime>
  <Pages>106</Pages>
  <Words>36398</Words>
  <Characters>214754</Characters>
  <Application>Microsoft Office Word</Application>
  <DocSecurity>0</DocSecurity>
  <Lines>1789</Lines>
  <Paragraphs>501</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250651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Trkanová Martina</dc:creator>
  <cp:lastModifiedBy>Trkanová Martina</cp:lastModifiedBy>
  <cp:revision>17</cp:revision>
  <cp:lastPrinted>2020-03-05T11:19:00Z</cp:lastPrinted>
  <dcterms:created xsi:type="dcterms:W3CDTF">2020-03-05T09:19:00Z</dcterms:created>
  <dcterms:modified xsi:type="dcterms:W3CDTF">2020-03-10T13:01:00Z</dcterms:modified>
</cp:coreProperties>
</file>